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7" w:type="dxa"/>
        <w:tblInd w:w="-432" w:type="dxa"/>
        <w:tblLayout w:type="fixed"/>
        <w:tblLook w:val="0000" w:firstRow="0" w:lastRow="0" w:firstColumn="0" w:lastColumn="0" w:noHBand="0" w:noVBand="0"/>
      </w:tblPr>
      <w:tblGrid>
        <w:gridCol w:w="2070"/>
        <w:gridCol w:w="4424"/>
        <w:gridCol w:w="4003"/>
      </w:tblGrid>
      <w:tr w:rsidR="0087455A" w:rsidRPr="007120E8" w14:paraId="24F79BFB" w14:textId="77777777" w:rsidTr="009C3216">
        <w:trPr>
          <w:trHeight w:val="720"/>
        </w:trPr>
        <w:tc>
          <w:tcPr>
            <w:tcW w:w="6494" w:type="dxa"/>
            <w:gridSpan w:val="2"/>
            <w:tcBorders>
              <w:bottom w:val="single" w:sz="18" w:space="0" w:color="auto"/>
            </w:tcBorders>
          </w:tcPr>
          <w:p w14:paraId="0579F7B5" w14:textId="77777777" w:rsidR="0087455A" w:rsidRPr="007120E8" w:rsidRDefault="0024162E" w:rsidP="00B41EBD">
            <w:pPr>
              <w:rPr>
                <w:rFonts w:ascii="Univers" w:hAnsi="Univers"/>
                <w:b/>
                <w:sz w:val="28"/>
                <w:szCs w:val="28"/>
                <w:lang w:val="es-AR"/>
              </w:rPr>
            </w:pPr>
            <w:r w:rsidRPr="007120E8">
              <w:rPr>
                <w:rFonts w:ascii="Univers" w:hAnsi="Univers"/>
                <w:b/>
                <w:sz w:val="28"/>
                <w:szCs w:val="28"/>
                <w:lang w:val="es-AR"/>
              </w:rPr>
              <w:t>NACIONES</w:t>
            </w:r>
          </w:p>
          <w:p w14:paraId="33208E61" w14:textId="77777777" w:rsidR="0087455A" w:rsidRPr="007120E8" w:rsidRDefault="0024162E" w:rsidP="00B41EBD">
            <w:pPr>
              <w:rPr>
                <w:rFonts w:ascii="Univers" w:hAnsi="Univers"/>
                <w:b/>
                <w:sz w:val="28"/>
                <w:szCs w:val="28"/>
                <w:lang w:val="es-AR"/>
              </w:rPr>
            </w:pPr>
            <w:r w:rsidRPr="007120E8">
              <w:rPr>
                <w:rFonts w:ascii="Univers" w:hAnsi="Univers"/>
                <w:b/>
                <w:sz w:val="28"/>
                <w:szCs w:val="28"/>
                <w:lang w:val="es-AR"/>
              </w:rPr>
              <w:t>UNIDAS</w:t>
            </w:r>
          </w:p>
        </w:tc>
        <w:tc>
          <w:tcPr>
            <w:tcW w:w="4003" w:type="dxa"/>
            <w:tcBorders>
              <w:bottom w:val="single" w:sz="18" w:space="0" w:color="auto"/>
            </w:tcBorders>
          </w:tcPr>
          <w:p w14:paraId="0302FEDA" w14:textId="59E97AFD" w:rsidR="0087455A" w:rsidRPr="007120E8" w:rsidRDefault="00B8113D" w:rsidP="00B8113D">
            <w:pPr>
              <w:tabs>
                <w:tab w:val="center" w:pos="2187"/>
                <w:tab w:val="right" w:pos="4374"/>
              </w:tabs>
              <w:jc w:val="left"/>
              <w:rPr>
                <w:rFonts w:asciiTheme="minorBidi" w:hAnsiTheme="minorBidi" w:cstheme="minorBidi"/>
                <w:sz w:val="52"/>
                <w:szCs w:val="52"/>
                <w:lang w:val="es-AR"/>
              </w:rPr>
            </w:pPr>
            <w:r w:rsidRPr="007120E8">
              <w:rPr>
                <w:rFonts w:asciiTheme="minorBidi" w:hAnsiTheme="minorBidi" w:cstheme="minorBidi"/>
                <w:b/>
                <w:sz w:val="72"/>
                <w:lang w:val="es-AR"/>
              </w:rPr>
              <w:tab/>
            </w:r>
            <w:r w:rsidRPr="007120E8">
              <w:rPr>
                <w:rFonts w:asciiTheme="minorBidi" w:hAnsiTheme="minorBidi" w:cstheme="minorBidi"/>
                <w:b/>
                <w:sz w:val="72"/>
                <w:lang w:val="es-AR"/>
              </w:rPr>
              <w:tab/>
            </w:r>
            <w:r w:rsidR="0024162E" w:rsidRPr="007120E8">
              <w:rPr>
                <w:rFonts w:asciiTheme="minorBidi" w:hAnsiTheme="minorBidi" w:cstheme="minorBidi"/>
                <w:b/>
                <w:sz w:val="72"/>
                <w:lang w:val="es-AR"/>
              </w:rPr>
              <w:t>EP</w:t>
            </w:r>
          </w:p>
        </w:tc>
      </w:tr>
      <w:tr w:rsidR="0087455A" w:rsidRPr="007120E8" w14:paraId="40BAA409" w14:textId="77777777" w:rsidTr="009C3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A27BB29" w14:textId="77777777" w:rsidR="0087455A" w:rsidRPr="007120E8" w:rsidRDefault="0024162E" w:rsidP="00B41EBD">
            <w:pPr>
              <w:spacing w:before="120"/>
              <w:rPr>
                <w:lang w:val="es-AR"/>
              </w:rPr>
            </w:pPr>
            <w:r w:rsidRPr="007120E8">
              <w:rPr>
                <w:noProof/>
                <w:lang w:val="en-US"/>
              </w:rPr>
              <w:drawing>
                <wp:anchor distT="0" distB="0" distL="114300" distR="114300" simplePos="0" relativeHeight="251660288" behindDoc="0" locked="0" layoutInCell="1" allowOverlap="1" wp14:anchorId="148670E4" wp14:editId="371C6035">
                  <wp:simplePos x="0" y="0"/>
                  <wp:positionH relativeFrom="column">
                    <wp:posOffset>33655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7120E8">
              <w:rPr>
                <w:noProof/>
                <w:lang w:val="en-US"/>
              </w:rPr>
              <w:drawing>
                <wp:anchor distT="0" distB="0" distL="114300" distR="114300" simplePos="0" relativeHeight="251661312" behindDoc="1" locked="0" layoutInCell="0" allowOverlap="1" wp14:anchorId="625069F7" wp14:editId="41FE1F3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7143EF9B" w14:textId="77777777" w:rsidR="0087455A" w:rsidRPr="007120E8" w:rsidRDefault="0087455A"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564BF3BC" w14:textId="77777777" w:rsidR="0087455A" w:rsidRPr="007120E8"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7120E8">
              <w:rPr>
                <w:rFonts w:ascii="Univers" w:hAnsi="Univers"/>
                <w:b/>
                <w:sz w:val="32"/>
                <w:lang w:val="es-AR"/>
              </w:rPr>
              <w:t>Programa de las</w:t>
            </w:r>
          </w:p>
          <w:p w14:paraId="3AD258D3" w14:textId="77777777" w:rsidR="0087455A" w:rsidRPr="007120E8"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7120E8">
              <w:rPr>
                <w:rFonts w:ascii="Univers" w:hAnsi="Univers"/>
                <w:b/>
                <w:sz w:val="32"/>
                <w:lang w:val="es-AR"/>
              </w:rPr>
              <w:t>Naciones Unidas</w:t>
            </w:r>
          </w:p>
          <w:p w14:paraId="32A67537" w14:textId="77777777" w:rsidR="0087455A" w:rsidRPr="007120E8"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7120E8">
              <w:rPr>
                <w:rFonts w:ascii="Univers" w:hAnsi="Univers"/>
                <w:b/>
                <w:sz w:val="32"/>
                <w:lang w:val="es-AR"/>
              </w:rPr>
              <w:t>para el Medio Ambiente</w:t>
            </w:r>
          </w:p>
          <w:p w14:paraId="36EB7B4C" w14:textId="77777777" w:rsidR="0087455A" w:rsidRPr="007120E8" w:rsidRDefault="0087455A"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02E5F4EB" w14:textId="77777777" w:rsidR="0087455A" w:rsidRPr="007120E8" w:rsidRDefault="0087455A" w:rsidP="00B41EBD">
            <w:pPr>
              <w:spacing w:before="720"/>
              <w:ind w:left="158"/>
              <w:rPr>
                <w:lang w:val="es-AR"/>
              </w:rPr>
            </w:pPr>
          </w:p>
        </w:tc>
        <w:tc>
          <w:tcPr>
            <w:tcW w:w="4003" w:type="dxa"/>
            <w:tcBorders>
              <w:top w:val="nil"/>
              <w:left w:val="nil"/>
              <w:bottom w:val="single" w:sz="36" w:space="0" w:color="auto"/>
              <w:right w:val="nil"/>
            </w:tcBorders>
          </w:tcPr>
          <w:p w14:paraId="4AF19AD6" w14:textId="77777777" w:rsidR="0087455A" w:rsidRPr="007120E8" w:rsidRDefault="0087455A" w:rsidP="00B41EBD">
            <w:pPr>
              <w:rPr>
                <w:lang w:val="es-AR"/>
              </w:rPr>
            </w:pPr>
          </w:p>
          <w:p w14:paraId="31CDD7D1" w14:textId="77777777" w:rsidR="0087455A" w:rsidRPr="007120E8" w:rsidRDefault="0024162E" w:rsidP="00B41EBD">
            <w:pPr>
              <w:rPr>
                <w:lang w:val="es-AR"/>
              </w:rPr>
            </w:pPr>
            <w:proofErr w:type="spellStart"/>
            <w:r w:rsidRPr="007120E8">
              <w:rPr>
                <w:lang w:val="es-AR"/>
              </w:rPr>
              <w:t>Distr</w:t>
            </w:r>
            <w:proofErr w:type="spellEnd"/>
            <w:r w:rsidRPr="007120E8">
              <w:rPr>
                <w:lang w:val="es-AR"/>
              </w:rPr>
              <w:t>.</w:t>
            </w:r>
          </w:p>
          <w:p w14:paraId="40DD2FC3" w14:textId="77777777" w:rsidR="0087455A" w:rsidRPr="007120E8" w:rsidRDefault="0024162E" w:rsidP="00B41EBD">
            <w:pPr>
              <w:rPr>
                <w:lang w:val="es-AR"/>
              </w:rPr>
            </w:pPr>
            <w:r w:rsidRPr="007120E8">
              <w:rPr>
                <w:lang w:val="es-AR"/>
              </w:rPr>
              <w:t>GENERAL</w:t>
            </w:r>
          </w:p>
          <w:p w14:paraId="007E2695" w14:textId="77777777" w:rsidR="0087455A" w:rsidRPr="007120E8" w:rsidRDefault="0087455A" w:rsidP="00B41EBD">
            <w:pPr>
              <w:rPr>
                <w:lang w:val="es-AR"/>
              </w:rPr>
            </w:pPr>
          </w:p>
          <w:p w14:paraId="029AD456" w14:textId="14D0D441" w:rsidR="0087455A" w:rsidRPr="007120E8" w:rsidRDefault="0024162E" w:rsidP="00B41EBD">
            <w:pPr>
              <w:rPr>
                <w:lang w:val="es-AR"/>
              </w:rPr>
            </w:pPr>
            <w:r w:rsidRPr="007120E8">
              <w:rPr>
                <w:lang w:val="es-AR"/>
              </w:rPr>
              <w:fldChar w:fldCharType="begin"/>
            </w:r>
            <w:r w:rsidRPr="007120E8">
              <w:rPr>
                <w:lang w:val="es-AR"/>
              </w:rPr>
              <w:instrText xml:space="preserve"> DOCPROPERTY "Document number"  \* MERGEFORMAT </w:instrText>
            </w:r>
            <w:r w:rsidRPr="007120E8">
              <w:rPr>
                <w:lang w:val="es-AR"/>
              </w:rPr>
              <w:fldChar w:fldCharType="separate"/>
            </w:r>
            <w:r w:rsidR="005A43F3">
              <w:rPr>
                <w:lang w:val="es-AR"/>
              </w:rPr>
              <w:t>UNEP/</w:t>
            </w:r>
            <w:proofErr w:type="spellStart"/>
            <w:r w:rsidR="005A43F3">
              <w:rPr>
                <w:lang w:val="es-AR"/>
              </w:rPr>
              <w:t>OzL.Pro</w:t>
            </w:r>
            <w:proofErr w:type="spellEnd"/>
            <w:r w:rsidR="005A43F3">
              <w:rPr>
                <w:lang w:val="es-AR"/>
              </w:rPr>
              <w:t>/</w:t>
            </w:r>
            <w:proofErr w:type="spellStart"/>
            <w:r w:rsidR="005A43F3">
              <w:rPr>
                <w:lang w:val="es-AR"/>
              </w:rPr>
              <w:t>ExCom</w:t>
            </w:r>
            <w:proofErr w:type="spellEnd"/>
            <w:r w:rsidR="005A43F3">
              <w:rPr>
                <w:lang w:val="es-AR"/>
              </w:rPr>
              <w:t>/87/45</w:t>
            </w:r>
            <w:r w:rsidRPr="007120E8">
              <w:rPr>
                <w:lang w:val="es-AR"/>
              </w:rPr>
              <w:fldChar w:fldCharType="end"/>
            </w:r>
          </w:p>
          <w:p w14:paraId="08D08F2F" w14:textId="60CDA3B3" w:rsidR="0087455A" w:rsidRPr="007120E8" w:rsidRDefault="00F55F80" w:rsidP="00B41EBD">
            <w:pPr>
              <w:rPr>
                <w:caps/>
                <w:lang w:val="es-AR"/>
              </w:rPr>
            </w:pPr>
            <w:r>
              <w:rPr>
                <w:caps/>
                <w:lang w:val="es-AR"/>
              </w:rPr>
              <w:t>3</w:t>
            </w:r>
            <w:r w:rsidR="00353C83" w:rsidRPr="007120E8">
              <w:rPr>
                <w:caps/>
                <w:lang w:val="es-AR"/>
              </w:rPr>
              <w:t xml:space="preserve"> </w:t>
            </w:r>
            <w:r w:rsidR="00114CAA" w:rsidRPr="007120E8">
              <w:rPr>
                <w:lang w:val="es-AR"/>
              </w:rPr>
              <w:t xml:space="preserve">de </w:t>
            </w:r>
            <w:r>
              <w:rPr>
                <w:lang w:val="es-AR"/>
              </w:rPr>
              <w:t xml:space="preserve">junio </w:t>
            </w:r>
            <w:r w:rsidR="00114CAA" w:rsidRPr="007120E8">
              <w:rPr>
                <w:lang w:val="es-AR"/>
              </w:rPr>
              <w:t xml:space="preserve">de </w:t>
            </w:r>
            <w:r w:rsidR="001C2D22" w:rsidRPr="007120E8">
              <w:rPr>
                <w:caps/>
                <w:lang w:val="es-AR"/>
              </w:rPr>
              <w:t>20</w:t>
            </w:r>
            <w:r w:rsidR="00C40E04" w:rsidRPr="007120E8">
              <w:rPr>
                <w:caps/>
                <w:lang w:val="es-AR"/>
              </w:rPr>
              <w:t>2</w:t>
            </w:r>
            <w:r w:rsidR="006F7AAF" w:rsidRPr="007120E8">
              <w:rPr>
                <w:caps/>
                <w:lang w:val="es-AR"/>
              </w:rPr>
              <w:t>1</w:t>
            </w:r>
          </w:p>
          <w:p w14:paraId="4411B5EE" w14:textId="77777777" w:rsidR="00114CAA" w:rsidRPr="007120E8" w:rsidRDefault="00114CAA" w:rsidP="00B41EBD">
            <w:pPr>
              <w:rPr>
                <w:caps/>
                <w:lang w:val="es-AR"/>
              </w:rPr>
            </w:pPr>
          </w:p>
          <w:p w14:paraId="767D5155" w14:textId="77777777" w:rsidR="0087455A" w:rsidRPr="007120E8" w:rsidRDefault="0024162E" w:rsidP="00B41EBD">
            <w:pPr>
              <w:rPr>
                <w:lang w:val="es-AR"/>
              </w:rPr>
            </w:pPr>
            <w:r w:rsidRPr="007120E8">
              <w:rPr>
                <w:lang w:val="es-AR"/>
              </w:rPr>
              <w:t xml:space="preserve">ESPAÑOL </w:t>
            </w:r>
          </w:p>
          <w:p w14:paraId="40A623DD" w14:textId="77777777" w:rsidR="0087455A" w:rsidRPr="007120E8" w:rsidRDefault="0024162E" w:rsidP="00B41EBD">
            <w:pPr>
              <w:rPr>
                <w:lang w:val="es-AR"/>
              </w:rPr>
            </w:pPr>
            <w:r w:rsidRPr="007120E8">
              <w:rPr>
                <w:lang w:val="es-AR"/>
              </w:rPr>
              <w:t>ORIGINAL: INGLÉS</w:t>
            </w:r>
          </w:p>
        </w:tc>
      </w:tr>
    </w:tbl>
    <w:p w14:paraId="03DD752F" w14:textId="77777777" w:rsidR="0087455A" w:rsidRPr="007120E8" w:rsidRDefault="0024162E" w:rsidP="00B41EBD">
      <w:pPr>
        <w:jc w:val="left"/>
        <w:rPr>
          <w:lang w:val="es-AR"/>
        </w:rPr>
      </w:pPr>
      <w:r w:rsidRPr="007120E8">
        <w:rPr>
          <w:lang w:val="es-AR"/>
        </w:rPr>
        <w:t>COMITÉ EJECUTIVO DEL FONDO MULTILATERAL</w:t>
      </w:r>
      <w:r w:rsidRPr="007120E8">
        <w:rPr>
          <w:lang w:val="es-AR"/>
        </w:rPr>
        <w:br/>
        <w:t xml:space="preserve">  PARA LA APLICACIÓN DEL</w:t>
      </w:r>
      <w:r w:rsidRPr="007120E8">
        <w:rPr>
          <w:lang w:val="es-AR"/>
        </w:rPr>
        <w:br/>
        <w:t xml:space="preserve">  PROTOCOLO DE MONTREAL</w:t>
      </w:r>
    </w:p>
    <w:p w14:paraId="61E54937" w14:textId="2595B6F7" w:rsidR="00F55F80" w:rsidRPr="007120E8" w:rsidRDefault="00106F6E" w:rsidP="00F55F80">
      <w:pPr>
        <w:jc w:val="left"/>
        <w:rPr>
          <w:lang w:val="es-AR"/>
        </w:rPr>
      </w:pPr>
      <w:r w:rsidRPr="007120E8">
        <w:rPr>
          <w:lang w:val="es-AR"/>
        </w:rPr>
        <w:t xml:space="preserve">Octogésima </w:t>
      </w:r>
      <w:r w:rsidR="006915A5" w:rsidRPr="007120E8">
        <w:rPr>
          <w:lang w:val="es-AR"/>
        </w:rPr>
        <w:t>s</w:t>
      </w:r>
      <w:r w:rsidR="00F55F80">
        <w:rPr>
          <w:lang w:val="es-AR"/>
        </w:rPr>
        <w:t xml:space="preserve">éptima </w:t>
      </w:r>
      <w:r w:rsidR="00C20BB4" w:rsidRPr="007120E8">
        <w:rPr>
          <w:lang w:val="es-AR"/>
        </w:rPr>
        <w:t>reunión</w:t>
      </w:r>
      <w:r w:rsidR="003863A4" w:rsidRPr="007120E8">
        <w:rPr>
          <w:lang w:val="es-AR"/>
        </w:rPr>
        <w:br/>
        <w:t xml:space="preserve">Montreal, </w:t>
      </w:r>
      <w:r w:rsidR="00F55F80" w:rsidRPr="00086EF2">
        <w:rPr>
          <w:lang w:val="es-AR"/>
        </w:rPr>
        <w:t>28 de junio – 2 de julio de 2021</w:t>
      </w:r>
      <w:r w:rsidR="00F55F80" w:rsidRPr="00086EF2">
        <w:rPr>
          <w:rStyle w:val="FootnoteReference"/>
          <w:lang w:val="es-AR"/>
        </w:rPr>
        <w:footnoteReference w:id="1"/>
      </w:r>
    </w:p>
    <w:p w14:paraId="3436A536" w14:textId="6A70D87B" w:rsidR="0092685B" w:rsidRPr="007120E8" w:rsidRDefault="0092685B" w:rsidP="00B41EBD">
      <w:pPr>
        <w:jc w:val="left"/>
        <w:rPr>
          <w:lang w:val="es-AR"/>
        </w:rPr>
      </w:pPr>
    </w:p>
    <w:p w14:paraId="1CA889B8" w14:textId="5063F2BD" w:rsidR="00A2155A" w:rsidRDefault="00A2155A" w:rsidP="00D420E0">
      <w:pPr>
        <w:jc w:val="center"/>
        <w:rPr>
          <w:b/>
          <w:lang w:val="es-AR"/>
        </w:rPr>
      </w:pPr>
    </w:p>
    <w:p w14:paraId="2564220A" w14:textId="77777777" w:rsidR="00EB2CAE" w:rsidRDefault="00EB2CAE" w:rsidP="00D420E0">
      <w:pPr>
        <w:jc w:val="center"/>
        <w:rPr>
          <w:b/>
          <w:lang w:val="es-AR"/>
        </w:rPr>
      </w:pPr>
      <w:bookmarkStart w:id="0" w:name="_GoBack"/>
      <w:bookmarkEnd w:id="0"/>
    </w:p>
    <w:p w14:paraId="12DD8FB6" w14:textId="2D682B35" w:rsidR="00D420E0" w:rsidRDefault="005A43F3" w:rsidP="00D420E0">
      <w:pPr>
        <w:jc w:val="center"/>
        <w:rPr>
          <w:b/>
          <w:lang w:val="es-419"/>
        </w:rPr>
      </w:pPr>
      <w:r>
        <w:rPr>
          <w:b/>
          <w:lang w:val="es-AR"/>
        </w:rPr>
        <w:t>E</w:t>
      </w:r>
      <w:r w:rsidRPr="00D420E0">
        <w:rPr>
          <w:b/>
          <w:lang w:val="es-419"/>
        </w:rPr>
        <w:t>STRATEGIAS, MEDIDAS NORMATIVAS Y COMPROMISOS POTENCIALES, ASÍ COMO PROYECTOS Y ACTIVIDADES QUE PODRÍAN INTEGRARSE EN LA ETAPA I DE LOS PLANES DE REDUCCIÓN DE LOS HFC PARA LOS PAÍSES QUE OPERAN AL AMPARO DEL ARTÍCULO 5 (DECISIÓN 84/54 B))</w:t>
      </w:r>
    </w:p>
    <w:p w14:paraId="104E666D" w14:textId="77777777" w:rsidR="00EB2CAE" w:rsidRPr="00D420E0" w:rsidRDefault="00EB2CAE" w:rsidP="00D420E0">
      <w:pPr>
        <w:jc w:val="center"/>
        <w:rPr>
          <w:b/>
          <w:caps/>
          <w:lang w:val="es-419"/>
        </w:rPr>
      </w:pPr>
    </w:p>
    <w:p w14:paraId="58DEE3FA" w14:textId="77777777" w:rsidR="00D420E0" w:rsidRPr="00D420E0" w:rsidRDefault="00D420E0" w:rsidP="00D420E0">
      <w:pPr>
        <w:jc w:val="center"/>
        <w:rPr>
          <w:b/>
          <w:lang w:val="es-419"/>
        </w:rPr>
      </w:pPr>
    </w:p>
    <w:p w14:paraId="79DCC3C3" w14:textId="77777777" w:rsidR="00D420E0" w:rsidRPr="00D420E0" w:rsidRDefault="00D420E0" w:rsidP="00D420E0">
      <w:pPr>
        <w:pStyle w:val="Heading1"/>
        <w:numPr>
          <w:ilvl w:val="0"/>
          <w:numId w:val="0"/>
        </w:numPr>
        <w:rPr>
          <w:b/>
        </w:rPr>
      </w:pPr>
      <w:proofErr w:type="spellStart"/>
      <w:r w:rsidRPr="00D420E0">
        <w:rPr>
          <w:b/>
        </w:rPr>
        <w:t>Antecedentes</w:t>
      </w:r>
      <w:proofErr w:type="spellEnd"/>
    </w:p>
    <w:p w14:paraId="254EF6CB" w14:textId="77777777" w:rsidR="00D420E0" w:rsidRPr="00D420E0" w:rsidRDefault="00D420E0" w:rsidP="00D420E0">
      <w:pPr>
        <w:pStyle w:val="Heading1"/>
        <w:rPr>
          <w:lang w:val="es-419"/>
        </w:rPr>
      </w:pPr>
      <w:r w:rsidRPr="00D420E0">
        <w:rPr>
          <w:lang w:val="es-419"/>
        </w:rPr>
        <w:t>En la 84ª reunión, el Comité Ejecutivo consideró solicitudes de financiación para la preparación de planes de reducción y de proyectos piloto de demostración de HFC incluidos en las enmiendas al programa de trabajo de un organismo de ejecución.</w:t>
      </w:r>
      <w:r w:rsidRPr="00D420E0">
        <w:rPr>
          <w:rStyle w:val="FootnoteReference"/>
        </w:rPr>
        <w:footnoteReference w:id="2"/>
      </w:r>
      <w:r w:rsidRPr="00D420E0">
        <w:rPr>
          <w:lang w:val="es-419"/>
        </w:rPr>
        <w:t xml:space="preserve"> Durante el debate, los miembros subrayaron que los planes de reducción darían lugar a una disminución sostenida del consumo de HFC, limitarían el crecimiento del consumo de HFC, y proporcionarían orientaciones sobre el tipo de compromiso requerido por parte de los Gobiernos a fin de dar al Comité Ejecutivo la confianza de que la eliminación del consumo de HFC sería permanente. También se propuso que se pidiese a la Secretaría que preparase un documento, en el que incluyeran un análisis y opciones de posibles estrategias, actividades de proyectos y medidas normativas para su inclusión en los planes de reducción que garantizasen el logro de reducciones sostenidas o límites al consumo. Además se propuso que el documento también reflejara el análisis de la Secretaría acerca de las implicaciones de las actividades de ejecución en paralelo o integrada de eliminación de los HCFC y de reducción de los HFC,</w:t>
      </w:r>
      <w:r w:rsidRPr="00D420E0">
        <w:rPr>
          <w:rStyle w:val="FootnoteReference"/>
        </w:rPr>
        <w:footnoteReference w:id="3"/>
      </w:r>
      <w:r w:rsidRPr="00D420E0">
        <w:rPr>
          <w:lang w:val="es-419"/>
        </w:rPr>
        <w:t xml:space="preserve"> que se examinaría en la cuestión 12 del orden del día. Posteriormente, el Comité Ejecutivo examinó un proyecto de decisión sobre el asunto y, tras un breve debate, remitió el asunto a un grupo de contacto.</w:t>
      </w:r>
    </w:p>
    <w:p w14:paraId="615E9366" w14:textId="77777777" w:rsidR="00D420E0" w:rsidRPr="00D420E0" w:rsidRDefault="00D420E0" w:rsidP="00D420E0">
      <w:pPr>
        <w:pStyle w:val="Heading1"/>
        <w:rPr>
          <w:lang w:val="es-419"/>
        </w:rPr>
      </w:pPr>
      <w:r w:rsidRPr="00D420E0">
        <w:rPr>
          <w:iCs/>
          <w:lang w:val="es-419"/>
        </w:rPr>
        <w:t xml:space="preserve">Sobre la base del informe presentado por el convocante del grupo de contacto, </w:t>
      </w:r>
      <w:r w:rsidRPr="00D420E0">
        <w:rPr>
          <w:lang w:val="es-419"/>
        </w:rPr>
        <w:t>el Comité Ejecutivo pidió a la Secretaría que preparase para la 85ª reunión:</w:t>
      </w:r>
    </w:p>
    <w:p w14:paraId="04499F1A" w14:textId="77777777" w:rsidR="00D420E0" w:rsidRPr="00D420E0" w:rsidRDefault="00D420E0" w:rsidP="00A2155A">
      <w:pPr>
        <w:pStyle w:val="Heading2"/>
        <w:keepNext/>
        <w:keepLines/>
        <w:rPr>
          <w:lang w:val="es-419"/>
        </w:rPr>
      </w:pPr>
      <w:r w:rsidRPr="00D420E0">
        <w:rPr>
          <w:lang w:val="es-419"/>
        </w:rPr>
        <w:lastRenderedPageBreak/>
        <w:t xml:space="preserve">Proyecto de directrices para la preparación de planes de reducción de los HFC para los países que operan al amparo del Artículo 5 que incluirían una estrategia general y una etapa I para cumplir con la congelación del consumo y la reducción del 10 por ciento (decisión 84/54 a)); y </w:t>
      </w:r>
    </w:p>
    <w:p w14:paraId="17696344" w14:textId="77777777" w:rsidR="00D420E0" w:rsidRPr="00D420E0" w:rsidRDefault="00D420E0" w:rsidP="00D420E0">
      <w:pPr>
        <w:pStyle w:val="Heading2"/>
        <w:rPr>
          <w:lang w:val="es-419"/>
        </w:rPr>
      </w:pPr>
      <w:r w:rsidRPr="00D420E0">
        <w:rPr>
          <w:lang w:val="es-419"/>
        </w:rPr>
        <w:t>Un documento en el que se traten posibles estrategias, medidas normativas y compromisos, así como proyectos y actividades que podrían integrarse en la etapa I de los planes de reducción de los HFC para los países que operan al amparo del Artículo 5, a fin de garantizar que haya límites al crecimiento y reducciones del consumo de HFC que se sostengan con el paso del tiempo, teniendo en cuenta la ejecución en paralelo o integrada de las actividades de eliminación de los HCFC y de reducción de los HFC, cuando proceda (decisión 84/54 b)).</w:t>
      </w:r>
    </w:p>
    <w:p w14:paraId="4111F1BC" w14:textId="4E6B98B6" w:rsidR="00D420E0" w:rsidRPr="00D420E0" w:rsidRDefault="00F55F80" w:rsidP="00D420E0">
      <w:pPr>
        <w:pStyle w:val="Heading1"/>
        <w:rPr>
          <w:lang w:val="es-419"/>
        </w:rPr>
      </w:pPr>
      <w:r>
        <w:rPr>
          <w:lang w:val="es-419"/>
        </w:rPr>
        <w:t>E</w:t>
      </w:r>
      <w:r w:rsidR="00D420E0" w:rsidRPr="00D420E0">
        <w:rPr>
          <w:lang w:val="es-419"/>
        </w:rPr>
        <w:t xml:space="preserve">n su 84ª reunión, el Comité Ejecutivo </w:t>
      </w:r>
      <w:r>
        <w:rPr>
          <w:lang w:val="es-419"/>
        </w:rPr>
        <w:t xml:space="preserve">también </w:t>
      </w:r>
      <w:r w:rsidR="00D420E0" w:rsidRPr="00D420E0">
        <w:rPr>
          <w:lang w:val="es-419"/>
        </w:rPr>
        <w:t xml:space="preserve">examinó el documento UNEP/OzL.Pro/ExCom/84/65, y presentó un análisis de las repercusiones de la ejecución en paralelo o integrada de las actividades de eliminación de los HCFC y de reducción de los HFC. Durante las deliberaciones, los miembros expresaron su aprecio por el análisis, que apoyaría la relación de costo a eficacia de la labor futura del Comité y resultará especialmente útil para la elaboración de planes para la reducción de los HFC; y expresaron también su interés en seguir deliberando sobre formas de apoyar un enfoque de costo a eficacia para las actividades de eliminación de los HCFC y de reducción de los HFC. </w:t>
      </w:r>
    </w:p>
    <w:p w14:paraId="68737E74" w14:textId="77777777" w:rsidR="00D420E0" w:rsidRPr="00D420E0" w:rsidRDefault="00D420E0" w:rsidP="00D420E0">
      <w:pPr>
        <w:spacing w:after="240"/>
        <w:outlineLvl w:val="0"/>
        <w:rPr>
          <w:u w:val="single"/>
        </w:rPr>
      </w:pPr>
      <w:proofErr w:type="spellStart"/>
      <w:r w:rsidRPr="00D420E0">
        <w:rPr>
          <w:u w:val="single"/>
        </w:rPr>
        <w:t>Estructura</w:t>
      </w:r>
      <w:proofErr w:type="spellEnd"/>
      <w:r w:rsidRPr="00D420E0">
        <w:rPr>
          <w:u w:val="single"/>
        </w:rPr>
        <w:t xml:space="preserve"> del </w:t>
      </w:r>
      <w:proofErr w:type="spellStart"/>
      <w:r w:rsidRPr="00D420E0">
        <w:rPr>
          <w:u w:val="single"/>
        </w:rPr>
        <w:t>documento</w:t>
      </w:r>
      <w:proofErr w:type="spellEnd"/>
    </w:p>
    <w:p w14:paraId="31C71B15" w14:textId="455183BA" w:rsidR="00D420E0" w:rsidRPr="00D420E0" w:rsidRDefault="00D420E0" w:rsidP="00D420E0">
      <w:pPr>
        <w:pStyle w:val="Heading1"/>
        <w:rPr>
          <w:lang w:val="es-419"/>
        </w:rPr>
      </w:pPr>
      <w:r w:rsidRPr="00D420E0">
        <w:rPr>
          <w:lang w:val="es-419"/>
        </w:rPr>
        <w:t>En respuesta a la decisión 84/54 b), la Secretaría ha preparado el presente documento y lo ha presentado a la 8</w:t>
      </w:r>
      <w:r w:rsidR="00F55F80">
        <w:rPr>
          <w:lang w:val="es-419"/>
        </w:rPr>
        <w:t>7</w:t>
      </w:r>
      <w:r w:rsidRPr="00D420E0">
        <w:rPr>
          <w:lang w:val="es-419"/>
        </w:rPr>
        <w:t>ª reunión.</w:t>
      </w:r>
      <w:r w:rsidRPr="00D420E0">
        <w:rPr>
          <w:rStyle w:val="FootnoteReference"/>
        </w:rPr>
        <w:footnoteReference w:id="4"/>
      </w:r>
      <w:r w:rsidRPr="00D420E0">
        <w:rPr>
          <w:lang w:val="es-419"/>
        </w:rPr>
        <w:t xml:space="preserve"> </w:t>
      </w:r>
    </w:p>
    <w:p w14:paraId="3E66C088" w14:textId="77777777" w:rsidR="00D420E0" w:rsidRPr="00D420E0" w:rsidRDefault="00D420E0" w:rsidP="00D420E0">
      <w:pPr>
        <w:pStyle w:val="Heading1"/>
        <w:rPr>
          <w:lang w:val="es-419"/>
        </w:rPr>
      </w:pPr>
      <w:r w:rsidRPr="00D420E0">
        <w:rPr>
          <w:lang w:val="es-419"/>
        </w:rPr>
        <w:t>Para la redacción de este documento, la Secretaría extrajo información pertinente de los siguientes documentos que el Comité Ejecutivo ha considerado o considerará:</w:t>
      </w:r>
    </w:p>
    <w:p w14:paraId="06F4FB53" w14:textId="77777777" w:rsidR="00D420E0" w:rsidRPr="00D420E0" w:rsidRDefault="00D420E0" w:rsidP="00D420E0">
      <w:pPr>
        <w:pStyle w:val="Heading2"/>
        <w:rPr>
          <w:lang w:val="es-419"/>
        </w:rPr>
      </w:pPr>
      <w:r w:rsidRPr="00D420E0">
        <w:rPr>
          <w:lang w:val="es-419"/>
        </w:rPr>
        <w:t>El documento que presenta un análisis de las repercusiones de la ejecución en paralelo o integrada de las actividades de eliminación de los HCFC y de reducción de los HFC,</w:t>
      </w:r>
      <w:r w:rsidRPr="00D420E0">
        <w:rPr>
          <w:rStyle w:val="FootnoteReference"/>
        </w:rPr>
        <w:footnoteReference w:id="5"/>
      </w:r>
      <w:r w:rsidRPr="00D420E0">
        <w:rPr>
          <w:lang w:val="es-419"/>
        </w:rPr>
        <w:t xml:space="preserve"> dado que la información, el análisis y las discusiones contenidos en el mismo complementan</w:t>
      </w:r>
      <w:r w:rsidRPr="00D420E0">
        <w:rPr>
          <w:rStyle w:val="FootnoteReference"/>
        </w:rPr>
        <w:footnoteReference w:id="6"/>
      </w:r>
      <w:r w:rsidRPr="00D420E0">
        <w:rPr>
          <w:lang w:val="es-419"/>
        </w:rPr>
        <w:t xml:space="preserve"> el presente documento; </w:t>
      </w:r>
    </w:p>
    <w:p w14:paraId="7F5A516D" w14:textId="3C078E84" w:rsidR="00D420E0" w:rsidRPr="00D420E0" w:rsidRDefault="00D420E0" w:rsidP="00D420E0">
      <w:pPr>
        <w:pStyle w:val="Heading2"/>
        <w:rPr>
          <w:lang w:val="es-419"/>
        </w:rPr>
      </w:pPr>
      <w:r w:rsidRPr="00D420E0">
        <w:rPr>
          <w:lang w:val="es-419"/>
        </w:rPr>
        <w:t>El proyecto de directrices para la preparación de los planes de reducción de los HFC para los países que operan al amparo del Artículo 5,</w:t>
      </w:r>
      <w:r w:rsidRPr="00D420E0">
        <w:rPr>
          <w:rStyle w:val="FootnoteReference"/>
        </w:rPr>
        <w:footnoteReference w:id="7"/>
      </w:r>
      <w:r w:rsidRPr="00D420E0">
        <w:rPr>
          <w:lang w:val="es-419"/>
        </w:rPr>
        <w:t xml:space="preserve"> </w:t>
      </w:r>
      <w:r w:rsidR="00F55F80">
        <w:rPr>
          <w:lang w:val="es-419"/>
        </w:rPr>
        <w:t xml:space="preserve">presentado </w:t>
      </w:r>
      <w:r w:rsidRPr="00D420E0">
        <w:rPr>
          <w:lang w:val="es-419"/>
        </w:rPr>
        <w:t>a la 86ª reunión en respuesta a la decisión 84/54 a),</w:t>
      </w:r>
      <w:r w:rsidR="00F06FCD">
        <w:rPr>
          <w:rStyle w:val="FootnoteReference"/>
        </w:rPr>
        <w:footnoteReference w:id="8"/>
      </w:r>
      <w:r w:rsidRPr="00D420E0">
        <w:rPr>
          <w:lang w:val="es-419"/>
        </w:rPr>
        <w:t xml:space="preserve"> que señala que los planes de reducción resultantes incluirán una </w:t>
      </w:r>
      <w:r w:rsidRPr="00D420E0">
        <w:rPr>
          <w:lang w:val="es-419"/>
        </w:rPr>
        <w:lastRenderedPageBreak/>
        <w:t xml:space="preserve">estrategia general, un plan de acción y un conjunto de actividades para cumplir con las obligaciones iniciales de reducción para la eliminación de los HFC, algunas de las cuales se discuten en el presente documento; </w:t>
      </w:r>
    </w:p>
    <w:p w14:paraId="46F2BE3B" w14:textId="77777777" w:rsidR="00D420E0" w:rsidRPr="00D420E0" w:rsidRDefault="00D420E0" w:rsidP="00D420E0">
      <w:pPr>
        <w:pStyle w:val="Heading2"/>
        <w:widowControl/>
        <w:rPr>
          <w:lang w:val="es-419"/>
        </w:rPr>
      </w:pPr>
      <w:r w:rsidRPr="00D420E0">
        <w:rPr>
          <w:lang w:val="es-419"/>
        </w:rPr>
        <w:t>El documento sobre información pertinente para el desarrollo de las directrices sobre costos para la reducción de los HFC en los países que operan al amparo del Artículo 5: actividades de apoyo,</w:t>
      </w:r>
      <w:r w:rsidRPr="00D420E0">
        <w:rPr>
          <w:rStyle w:val="FootnoteReference"/>
        </w:rPr>
        <w:footnoteReference w:id="9"/>
      </w:r>
      <w:r w:rsidRPr="00D420E0">
        <w:rPr>
          <w:lang w:val="es-419"/>
        </w:rPr>
        <w:t xml:space="preserve"> que, entre otras cosas, examinan todas las políticas y directrices adoptadas por el Comité Ejecutivo relacionadas con las actividades de apoyo (enumeradas en el apartado 20 de la decisión XXVIII/2) para apoyar la eliminación de sustancias controladas en los países que operan al amparo del Artículo 5;</w:t>
      </w:r>
    </w:p>
    <w:p w14:paraId="6978AC2E" w14:textId="77777777" w:rsidR="00D420E0" w:rsidRPr="00D420E0" w:rsidRDefault="00D420E0" w:rsidP="00D420E0">
      <w:pPr>
        <w:pStyle w:val="Heading2"/>
        <w:rPr>
          <w:lang w:val="es-419"/>
        </w:rPr>
      </w:pPr>
      <w:r w:rsidRPr="00D420E0">
        <w:rPr>
          <w:lang w:val="es-419"/>
        </w:rPr>
        <w:t>Un documento preliminar sobre todos los aspectos relacionados con el sector de servicio de equipos de refrigeración que apoyan la reducción de los HFC (decisión 80/76 c)),</w:t>
      </w:r>
      <w:r w:rsidRPr="00D420E0">
        <w:rPr>
          <w:rStyle w:val="FootnoteReference"/>
        </w:rPr>
        <w:footnoteReference w:id="10"/>
      </w:r>
      <w:r w:rsidRPr="00D420E0">
        <w:rPr>
          <w:lang w:val="es-419"/>
        </w:rPr>
        <w:t xml:space="preserve"> ya que contiene una reseña del sector de servicio y mantenimiento de equipos de refrigeración en el marco del Fondo Multilateral, que incluye un análisis de las características actuales del sector; un análisis de la capacidad existente creada con la financiación aprobada para el sector que se podría utilizar para la reducción de los HFC; un análisis de la información necesaria para el desarrollo de programas de capacitación y certificación para técnicos de servicio y oficiales de aduanas; y una discusión sobre la ejecución conjunta de la eliminación de los HCFC y la reducción de los HFC en el sector;</w:t>
      </w:r>
    </w:p>
    <w:p w14:paraId="55725D3E" w14:textId="7B17907E" w:rsidR="00D420E0" w:rsidRPr="00D420E0" w:rsidRDefault="00D420E0" w:rsidP="00D420E0">
      <w:pPr>
        <w:pStyle w:val="Heading2"/>
        <w:rPr>
          <w:lang w:val="es-419"/>
        </w:rPr>
      </w:pPr>
      <w:r w:rsidRPr="00D420E0">
        <w:rPr>
          <w:lang w:val="es-419"/>
        </w:rPr>
        <w:t>El análisis del nivel y de las modalidades de la financiación para la reducción de los HFC en el sector de servicio de equipos de refrigeración</w:t>
      </w:r>
      <w:r w:rsidRPr="00D420E0">
        <w:rPr>
          <w:rStyle w:val="FootnoteReference"/>
        </w:rPr>
        <w:footnoteReference w:id="11"/>
      </w:r>
      <w:r w:rsidRPr="00D420E0">
        <w:rPr>
          <w:lang w:val="es-419"/>
        </w:rPr>
        <w:t xml:space="preserve"> </w:t>
      </w:r>
      <w:r w:rsidR="005B3D94">
        <w:rPr>
          <w:lang w:val="es-419"/>
        </w:rPr>
        <w:t xml:space="preserve">presentado </w:t>
      </w:r>
      <w:r w:rsidRPr="00D420E0">
        <w:rPr>
          <w:lang w:val="es-419"/>
        </w:rPr>
        <w:t xml:space="preserve">a la 86ª reunión como respuesta a las decisiones 83/65 b) y 84/86 b) ii), ya que analiza el nivel y la modalidad de la financiación del sector de servicio de equipos de refrigeración para la reducción de los HFC, teniendo en cuenta la necesidad de integrar la eliminación de los HCFC y la reducción de los HFC en una estrategia única que facilitará a los países que operan al amparo del Artículo 5 la construcción de la infraestructura para la adopción sostenida de alternativas con bajo potencial de calentamiento atmosférico; </w:t>
      </w:r>
    </w:p>
    <w:p w14:paraId="1F6FE905" w14:textId="77777777" w:rsidR="00D420E0" w:rsidRPr="00D420E0" w:rsidRDefault="00D420E0" w:rsidP="00D420E0">
      <w:pPr>
        <w:pStyle w:val="Heading2"/>
        <w:rPr>
          <w:lang w:val="es-419"/>
        </w:rPr>
      </w:pPr>
      <w:r w:rsidRPr="00D420E0">
        <w:rPr>
          <w:lang w:val="es-419"/>
        </w:rPr>
        <w:t>El documento sobre consideraciones clave para elaborar una metodología para establecer el punto de partida para las reducciones acumuladas sostenidas para los sectores de consumo y producción en el marco de la Enmienda de Kigali (decisión 81/67 e)),</w:t>
      </w:r>
      <w:r w:rsidRPr="00D420E0">
        <w:rPr>
          <w:rStyle w:val="FootnoteReference"/>
        </w:rPr>
        <w:footnoteReference w:id="12"/>
      </w:r>
      <w:r w:rsidRPr="00D420E0">
        <w:rPr>
          <w:lang w:val="es-419"/>
        </w:rPr>
        <w:t xml:space="preserve"> en particular el debate relacionado con el papel del punto de partida en el sector de servicio y mantenimiento, teniendo en cuenta, entre otras cosas, que los años iniciales de la reducción de los HFC se solaparán con la eliminación de los HCFC, que para la mayoría de los países que operan al amparo del Artículo 5 se utilizarían principalmente en el sector de servicio de equipos de refrigeración;</w:t>
      </w:r>
    </w:p>
    <w:p w14:paraId="234B21F6" w14:textId="3B8AFE47" w:rsidR="00D420E0" w:rsidRPr="00D420E0" w:rsidRDefault="00D420E0" w:rsidP="00D420E0">
      <w:pPr>
        <w:pStyle w:val="Heading2"/>
        <w:rPr>
          <w:lang w:val="es-419"/>
        </w:rPr>
      </w:pPr>
      <w:r w:rsidRPr="00D420E0">
        <w:rPr>
          <w:lang w:val="es-419"/>
        </w:rPr>
        <w:t>El documento sobre los datos del programa de país y las perspectivas de cumplimiento</w:t>
      </w:r>
      <w:r w:rsidRPr="00D420E0">
        <w:rPr>
          <w:rStyle w:val="FootnoteReference"/>
        </w:rPr>
        <w:footnoteReference w:id="13"/>
      </w:r>
      <w:r w:rsidRPr="00D420E0">
        <w:rPr>
          <w:lang w:val="es-419"/>
        </w:rPr>
        <w:t xml:space="preserve"> </w:t>
      </w:r>
      <w:r w:rsidR="005B3D94">
        <w:rPr>
          <w:lang w:val="es-419"/>
        </w:rPr>
        <w:t xml:space="preserve">presentado </w:t>
      </w:r>
      <w:r w:rsidRPr="00D420E0">
        <w:rPr>
          <w:lang w:val="es-419"/>
        </w:rPr>
        <w:t>a la 86ª reunión, ya que contiene, entre otras cosas, un análisis exhaustivo de los datos de los HCFC y los HFC notificados en el marco de los informes de ejecución de programa de país presentados por los países que operan al amparo del Artículo 5;</w:t>
      </w:r>
    </w:p>
    <w:p w14:paraId="1462963D" w14:textId="77777777" w:rsidR="00D420E0" w:rsidRPr="00D420E0" w:rsidRDefault="00D420E0" w:rsidP="00A2155A">
      <w:pPr>
        <w:pStyle w:val="Heading2"/>
        <w:keepLines/>
        <w:rPr>
          <w:lang w:val="es-419"/>
        </w:rPr>
      </w:pPr>
      <w:r w:rsidRPr="00D420E0">
        <w:rPr>
          <w:lang w:val="es-419"/>
        </w:rPr>
        <w:lastRenderedPageBreak/>
        <w:t>Los resultados obtenidos de las encuestas nacionales sobre alternativas a las SAO</w:t>
      </w:r>
      <w:r w:rsidRPr="00D420E0">
        <w:rPr>
          <w:rStyle w:val="FootnoteReference"/>
        </w:rPr>
        <w:footnoteReference w:id="14"/>
      </w:r>
      <w:r w:rsidRPr="00D420E0">
        <w:rPr>
          <w:lang w:val="es-419"/>
        </w:rPr>
        <w:t xml:space="preserve"> realizadas por 119 países que operan al amparo del Artículo 5, resumidos en el documento sobre el análisis general de los resultados de las encuestas sobre alternativas a las SAO,</w:t>
      </w:r>
      <w:r w:rsidRPr="00D420E0">
        <w:rPr>
          <w:rStyle w:val="FootnoteReference"/>
        </w:rPr>
        <w:footnoteReference w:id="15"/>
      </w:r>
      <w:r w:rsidRPr="00D420E0">
        <w:rPr>
          <w:lang w:val="es-419"/>
        </w:rPr>
        <w:t xml:space="preserve"> señalando que el alcance de las encuestas era ayudar a los países que operan al amparo del Artículo 5 a comprender mejor sus tendencias históricas y pronosticadas de consumo de alternativas a las SAO, y su distribución por sectores y subsectores; y</w:t>
      </w:r>
    </w:p>
    <w:p w14:paraId="252A5AA8" w14:textId="77777777" w:rsidR="00D420E0" w:rsidRPr="00D420E0" w:rsidRDefault="00D420E0" w:rsidP="00D420E0">
      <w:pPr>
        <w:pStyle w:val="Heading2"/>
        <w:rPr>
          <w:lang w:val="es-419"/>
        </w:rPr>
      </w:pPr>
      <w:r w:rsidRPr="00D420E0">
        <w:rPr>
          <w:lang w:val="es-419"/>
        </w:rPr>
        <w:t>Las directrices para las actividades de apoyo para la reducción de los HFC</w:t>
      </w:r>
      <w:r w:rsidRPr="00D420E0">
        <w:rPr>
          <w:rStyle w:val="FootnoteReference"/>
        </w:rPr>
        <w:footnoteReference w:id="16"/>
      </w:r>
      <w:r w:rsidRPr="00D420E0">
        <w:rPr>
          <w:lang w:val="es-419"/>
        </w:rPr>
        <w:t xml:space="preserve"> aprobadas en la reunión 79ª (decisión 79/46), que señalan, entre otras cosas, que los países que operan al amparo del Artículo 5 tienen la flexibilidad necesaria para llevar a cabo una serie de actividades de apoyo para ayudar a sus Dependencias Nacionales del Ozono a cumplir sus obligaciones iniciales en virtud de la Enmienda de Kigali.</w:t>
      </w:r>
      <w:r w:rsidRPr="00D420E0">
        <w:rPr>
          <w:rStyle w:val="FootnoteReference"/>
        </w:rPr>
        <w:footnoteReference w:id="17"/>
      </w:r>
    </w:p>
    <w:p w14:paraId="64E4B738" w14:textId="77777777" w:rsidR="00D420E0" w:rsidRPr="00D420E0" w:rsidRDefault="00D420E0" w:rsidP="00D420E0">
      <w:pPr>
        <w:pStyle w:val="Heading1"/>
        <w:rPr>
          <w:lang w:val="es-419"/>
        </w:rPr>
      </w:pPr>
      <w:r w:rsidRPr="00D420E0">
        <w:rPr>
          <w:lang w:val="es-419"/>
        </w:rPr>
        <w:t>La Secretaría también consideró los niveles de consumo acumulados para todos los países que operan al amparo del Artículo 5 notificados en el marco del Equipo de Tareas del GETE en virtud de las decisiones XXV/5 y XXVI/9,</w:t>
      </w:r>
      <w:r w:rsidRPr="00D420E0">
        <w:rPr>
          <w:rStyle w:val="FootnoteReference"/>
        </w:rPr>
        <w:footnoteReference w:id="18"/>
      </w:r>
      <w:r w:rsidRPr="00D420E0">
        <w:rPr>
          <w:lang w:val="es-419"/>
        </w:rPr>
        <w:t xml:space="preserve"> tomando nota de que a fecha de 5 de marzo de 2021, tan solo 91 países que operan al amparo del Artículo 5 (50 de los cuales han ratificado la Enmienda de Kigali) habían notificado el consumo de HFC en virtud del Artículo 7 del Protocolo de Montreal y/o en sus informes de ejecución del programa de país de 2019. </w:t>
      </w:r>
    </w:p>
    <w:p w14:paraId="3555D788" w14:textId="77777777" w:rsidR="00D420E0" w:rsidRPr="00D420E0" w:rsidRDefault="00D420E0" w:rsidP="00D420E0">
      <w:pPr>
        <w:pStyle w:val="Heading1"/>
        <w:rPr>
          <w:lang w:val="es-419"/>
        </w:rPr>
      </w:pPr>
      <w:r w:rsidRPr="00D420E0">
        <w:rPr>
          <w:lang w:val="es-419"/>
        </w:rPr>
        <w:t>El presente documento consta de las siguientes secciones:</w:t>
      </w:r>
    </w:p>
    <w:p w14:paraId="393A3D5F" w14:textId="77777777" w:rsidR="00D420E0" w:rsidRPr="00D420E0" w:rsidRDefault="00D420E0" w:rsidP="00D420E0">
      <w:pPr>
        <w:pStyle w:val="Heading2"/>
        <w:numPr>
          <w:ilvl w:val="0"/>
          <w:numId w:val="0"/>
        </w:numPr>
        <w:ind w:left="1440" w:hanging="720"/>
        <w:rPr>
          <w:lang w:val="es-419"/>
        </w:rPr>
      </w:pPr>
      <w:r w:rsidRPr="00D420E0">
        <w:rPr>
          <w:lang w:val="es-419"/>
        </w:rPr>
        <w:t>I</w:t>
      </w:r>
      <w:r w:rsidRPr="00D420E0">
        <w:rPr>
          <w:lang w:val="es-419"/>
        </w:rPr>
        <w:tab/>
        <w:t>Posibles estrategias, medidas normativas, actividades y compromisos para limitar el crecimiento del consumo de HFC, que podrían integrarse dentro de la etapa I de los planes de reducción de los HFC</w:t>
      </w:r>
    </w:p>
    <w:p w14:paraId="0A512B80" w14:textId="77777777" w:rsidR="00D420E0" w:rsidRPr="00D420E0" w:rsidRDefault="00D420E0" w:rsidP="00D420E0">
      <w:pPr>
        <w:pStyle w:val="Heading2"/>
        <w:numPr>
          <w:ilvl w:val="0"/>
          <w:numId w:val="0"/>
        </w:numPr>
        <w:ind w:left="1440" w:hanging="720"/>
        <w:rPr>
          <w:lang w:val="es-419"/>
        </w:rPr>
      </w:pPr>
      <w:r w:rsidRPr="00D420E0">
        <w:rPr>
          <w:lang w:val="es-419"/>
        </w:rPr>
        <w:t>II</w:t>
      </w:r>
      <w:r w:rsidRPr="00D420E0">
        <w:rPr>
          <w:lang w:val="es-419"/>
        </w:rPr>
        <w:tab/>
        <w:t>Reseña de las actividades en el marco de la eliminación de los HCFC y la reducción de los HFC</w:t>
      </w:r>
    </w:p>
    <w:p w14:paraId="66FE73A3" w14:textId="77777777" w:rsidR="00D420E0" w:rsidRPr="00D420E0" w:rsidRDefault="00D420E0" w:rsidP="00D420E0">
      <w:pPr>
        <w:ind w:left="1440" w:hanging="1440"/>
        <w:rPr>
          <w:lang w:val="es-419"/>
        </w:rPr>
      </w:pPr>
      <w:r w:rsidRPr="00D420E0">
        <w:rPr>
          <w:lang w:val="es-419"/>
        </w:rPr>
        <w:tab/>
        <w:t>Recomendaciones. En varias secciones del documento, la Secretaría ha presentado una recomendación pertinente para la sección correspondiente. Con el fin de facilitar las deliberaciones, la Secretaría ha recopilado todas las recomendaciones de las diferentes secciones, en el apartado "Recomendación" que se presenta al final del documento</w:t>
      </w:r>
    </w:p>
    <w:p w14:paraId="4AA71F83" w14:textId="77777777" w:rsidR="00D420E0" w:rsidRPr="00D420E0" w:rsidRDefault="00D420E0" w:rsidP="00D420E0">
      <w:pPr>
        <w:ind w:left="1440" w:hanging="1440"/>
        <w:rPr>
          <w:lang w:val="es-419"/>
        </w:rPr>
      </w:pPr>
    </w:p>
    <w:p w14:paraId="0870C2A1" w14:textId="77777777" w:rsidR="00D420E0" w:rsidRPr="00D420E0" w:rsidRDefault="00D420E0" w:rsidP="00D420E0">
      <w:pPr>
        <w:pStyle w:val="Heading1"/>
        <w:rPr>
          <w:lang w:val="es-419"/>
        </w:rPr>
      </w:pPr>
      <w:r w:rsidRPr="00D420E0">
        <w:rPr>
          <w:lang w:val="es-419"/>
        </w:rPr>
        <w:t>El documento consta además de los siguientes tres anexos:</w:t>
      </w:r>
    </w:p>
    <w:p w14:paraId="68E74C63" w14:textId="77777777" w:rsidR="00D420E0" w:rsidRPr="00D420E0" w:rsidRDefault="00D420E0" w:rsidP="00D420E0">
      <w:pPr>
        <w:ind w:left="1440" w:hanging="720"/>
        <w:rPr>
          <w:lang w:val="es-419"/>
        </w:rPr>
      </w:pPr>
      <w:r w:rsidRPr="00D420E0">
        <w:rPr>
          <w:lang w:val="es-419"/>
        </w:rPr>
        <w:t>I</w:t>
      </w:r>
      <w:r w:rsidRPr="00D420E0">
        <w:rPr>
          <w:lang w:val="es-419"/>
        </w:rPr>
        <w:tab/>
        <w:t xml:space="preserve">Modelo para estimar el riesgo potencial de incumplimiento de las obligaciones de reducción de los HFC de 91 países que operan al amparo del Artículo 5 que notificaron el </w:t>
      </w:r>
      <w:r w:rsidRPr="00D420E0">
        <w:rPr>
          <w:lang w:val="es-419"/>
        </w:rPr>
        <w:lastRenderedPageBreak/>
        <w:t>consumo de HFC en 2019 en virtud del Artículo 7 del Protocolo o los informes de ejecución de programa de país</w:t>
      </w:r>
    </w:p>
    <w:p w14:paraId="0C6A711F" w14:textId="77777777" w:rsidR="00D420E0" w:rsidRPr="00D420E0" w:rsidRDefault="00D420E0" w:rsidP="00D420E0">
      <w:pPr>
        <w:ind w:left="720"/>
        <w:rPr>
          <w:lang w:val="es-419"/>
        </w:rPr>
      </w:pPr>
    </w:p>
    <w:p w14:paraId="6A826F1A" w14:textId="77777777" w:rsidR="00D420E0" w:rsidRPr="00D420E0" w:rsidRDefault="00D420E0" w:rsidP="00D420E0">
      <w:pPr>
        <w:ind w:left="720"/>
        <w:rPr>
          <w:lang w:val="es-419"/>
        </w:rPr>
      </w:pPr>
      <w:r w:rsidRPr="00D420E0">
        <w:rPr>
          <w:lang w:val="es-419"/>
        </w:rPr>
        <w:t>II</w:t>
      </w:r>
      <w:r w:rsidRPr="00D420E0">
        <w:rPr>
          <w:lang w:val="es-419"/>
        </w:rPr>
        <w:tab/>
        <w:t>Resumen de modalidades de ejecución de proyectos de inversión</w:t>
      </w:r>
    </w:p>
    <w:p w14:paraId="28ED252B" w14:textId="77777777" w:rsidR="00D420E0" w:rsidRPr="00D420E0" w:rsidRDefault="00D420E0" w:rsidP="00D420E0">
      <w:pPr>
        <w:ind w:left="720"/>
        <w:rPr>
          <w:lang w:val="es-419"/>
        </w:rPr>
      </w:pPr>
    </w:p>
    <w:p w14:paraId="2CB7AB9A" w14:textId="77777777" w:rsidR="00D420E0" w:rsidRPr="00D420E0" w:rsidRDefault="00D420E0" w:rsidP="00D420E0">
      <w:pPr>
        <w:ind w:left="1440" w:hanging="720"/>
        <w:rPr>
          <w:lang w:val="es-419"/>
        </w:rPr>
      </w:pPr>
      <w:r w:rsidRPr="00D420E0">
        <w:rPr>
          <w:lang w:val="es-419"/>
        </w:rPr>
        <w:t>III</w:t>
      </w:r>
      <w:r w:rsidRPr="00D420E0">
        <w:rPr>
          <w:lang w:val="es-419"/>
        </w:rPr>
        <w:tab/>
        <w:t>Documento de estrategia propuesta de cumplimiento integrado (que se presentará junto con la etapa I del plan de reducción de los HFC con fines informativos)</w:t>
      </w:r>
    </w:p>
    <w:p w14:paraId="1D3F09A4" w14:textId="77777777" w:rsidR="00D420E0" w:rsidRPr="00D420E0" w:rsidRDefault="00D420E0" w:rsidP="00D420E0">
      <w:pPr>
        <w:ind w:left="1530" w:hanging="810"/>
        <w:rPr>
          <w:highlight w:val="cyan"/>
          <w:lang w:val="es-419"/>
        </w:rPr>
      </w:pPr>
    </w:p>
    <w:p w14:paraId="539C618E" w14:textId="27A965CA" w:rsidR="00DB1F86" w:rsidRPr="001160D6" w:rsidRDefault="007120E8" w:rsidP="00DB1F86">
      <w:pPr>
        <w:pStyle w:val="Heading2"/>
        <w:widowControl/>
        <w:numPr>
          <w:ilvl w:val="0"/>
          <w:numId w:val="35"/>
        </w:numPr>
        <w:ind w:left="720"/>
        <w:rPr>
          <w:b/>
          <w:lang w:val="es-AR"/>
        </w:rPr>
      </w:pPr>
      <w:r w:rsidRPr="001160D6">
        <w:rPr>
          <w:b/>
          <w:lang w:val="es-AR"/>
        </w:rPr>
        <w:t xml:space="preserve">POSIBLES </w:t>
      </w:r>
      <w:r w:rsidR="00DB1F86" w:rsidRPr="001160D6">
        <w:rPr>
          <w:b/>
          <w:lang w:val="es-AR"/>
        </w:rPr>
        <w:t>ESTRATEGIAS, MEDIDAS DE POLÍTICA</w:t>
      </w:r>
      <w:r w:rsidR="002300DB" w:rsidRPr="001160D6">
        <w:rPr>
          <w:b/>
          <w:lang w:val="es-AR"/>
        </w:rPr>
        <w:t>, ACTIVIDADES</w:t>
      </w:r>
      <w:r w:rsidR="00DB1F86" w:rsidRPr="001160D6">
        <w:rPr>
          <w:b/>
          <w:lang w:val="es-AR"/>
        </w:rPr>
        <w:t xml:space="preserve"> </w:t>
      </w:r>
      <w:r w:rsidR="001160D6" w:rsidRPr="001160D6">
        <w:rPr>
          <w:b/>
          <w:lang w:val="es-AR"/>
        </w:rPr>
        <w:t xml:space="preserve">Y </w:t>
      </w:r>
      <w:r w:rsidR="002300DB" w:rsidRPr="001160D6">
        <w:rPr>
          <w:b/>
          <w:lang w:val="es-AR"/>
        </w:rPr>
        <w:t xml:space="preserve">COMPROMISOS </w:t>
      </w:r>
      <w:r w:rsidR="00DE4E9E" w:rsidRPr="001160D6">
        <w:rPr>
          <w:b/>
          <w:lang w:val="es-AR"/>
        </w:rPr>
        <w:t xml:space="preserve">DESTINADOS A </w:t>
      </w:r>
      <w:r w:rsidR="00DB1F86" w:rsidRPr="001160D6">
        <w:rPr>
          <w:b/>
          <w:lang w:val="es-AR"/>
        </w:rPr>
        <w:t>LIMITAR EL CRECIMIENTO DEL CONSUMO DE HFC</w:t>
      </w:r>
    </w:p>
    <w:p w14:paraId="315760F9" w14:textId="29DA2470" w:rsidR="00DB1F86" w:rsidRPr="001160D6" w:rsidRDefault="002300DB" w:rsidP="00DB1F86">
      <w:pPr>
        <w:rPr>
          <w:b/>
          <w:lang w:val="es-AR"/>
        </w:rPr>
      </w:pPr>
      <w:r w:rsidRPr="001160D6">
        <w:rPr>
          <w:b/>
          <w:lang w:val="es-AR"/>
        </w:rPr>
        <w:t xml:space="preserve">Panorama </w:t>
      </w:r>
      <w:r w:rsidR="00DB1F86" w:rsidRPr="001160D6">
        <w:rPr>
          <w:b/>
          <w:lang w:val="es-AR"/>
        </w:rPr>
        <w:t xml:space="preserve">del </w:t>
      </w:r>
      <w:r w:rsidRPr="001160D6">
        <w:rPr>
          <w:b/>
          <w:lang w:val="es-AR"/>
        </w:rPr>
        <w:t>consumo de los HCFC y HFC</w:t>
      </w:r>
    </w:p>
    <w:p w14:paraId="003008E0" w14:textId="77777777" w:rsidR="00DB1F86" w:rsidRPr="001160D6" w:rsidRDefault="00DB1F86" w:rsidP="00DB1F86">
      <w:pPr>
        <w:rPr>
          <w:lang w:val="es-AR"/>
        </w:rPr>
      </w:pPr>
    </w:p>
    <w:p w14:paraId="4DD139BD" w14:textId="7BF1FEDC" w:rsidR="00DB1F86" w:rsidRPr="001160D6" w:rsidRDefault="002300DB" w:rsidP="002300DB">
      <w:pPr>
        <w:pStyle w:val="Heading1"/>
        <w:numPr>
          <w:ilvl w:val="0"/>
          <w:numId w:val="0"/>
        </w:numPr>
        <w:rPr>
          <w:lang w:val="es-AR"/>
        </w:rPr>
      </w:pPr>
      <w:r w:rsidRPr="001160D6">
        <w:rPr>
          <w:lang w:val="es-AR"/>
        </w:rPr>
        <w:t>9.</w:t>
      </w:r>
      <w:r w:rsidRPr="001160D6">
        <w:rPr>
          <w:lang w:val="es-AR"/>
        </w:rPr>
        <w:tab/>
      </w:r>
      <w:r w:rsidR="00DB1F86" w:rsidRPr="001160D6">
        <w:rPr>
          <w:lang w:val="es-AR"/>
        </w:rPr>
        <w:t xml:space="preserve">Para determinar la magnitud del desafío </w:t>
      </w:r>
      <w:r w:rsidR="00DE4E9E" w:rsidRPr="001160D6">
        <w:rPr>
          <w:lang w:val="es-AR"/>
        </w:rPr>
        <w:t xml:space="preserve">adicional </w:t>
      </w:r>
      <w:r w:rsidR="00DB1F86" w:rsidRPr="001160D6">
        <w:rPr>
          <w:lang w:val="es-AR"/>
        </w:rPr>
        <w:t xml:space="preserve">y las implicaciones de una </w:t>
      </w:r>
      <w:r w:rsidRPr="001160D6">
        <w:rPr>
          <w:lang w:val="es-AR"/>
        </w:rPr>
        <w:t xml:space="preserve">ejecución </w:t>
      </w:r>
      <w:r w:rsidR="00DB1F86" w:rsidRPr="001160D6">
        <w:rPr>
          <w:lang w:val="es-AR"/>
        </w:rPr>
        <w:t xml:space="preserve">paralela o integrada </w:t>
      </w:r>
      <w:r w:rsidRPr="001160D6">
        <w:rPr>
          <w:lang w:val="es-AR"/>
        </w:rPr>
        <w:t>de eliminación de los HCFC</w:t>
      </w:r>
      <w:r w:rsidR="00DB1F86" w:rsidRPr="001160D6">
        <w:rPr>
          <w:lang w:val="es-AR"/>
        </w:rPr>
        <w:t xml:space="preserve"> y </w:t>
      </w:r>
      <w:r w:rsidRPr="001160D6">
        <w:rPr>
          <w:lang w:val="es-AR"/>
        </w:rPr>
        <w:t>reducción de HFC</w:t>
      </w:r>
      <w:r w:rsidR="00DB1F86" w:rsidRPr="001160D6">
        <w:rPr>
          <w:lang w:val="es-AR"/>
        </w:rPr>
        <w:t>,</w:t>
      </w:r>
      <w:r w:rsidR="00DB1F86" w:rsidRPr="001160D6">
        <w:rPr>
          <w:rStyle w:val="FootnoteReference"/>
          <w:lang w:val="es-AR"/>
        </w:rPr>
        <w:footnoteReference w:id="19"/>
      </w:r>
      <w:r w:rsidR="00DB1F86" w:rsidRPr="001160D6">
        <w:rPr>
          <w:lang w:val="es-AR"/>
        </w:rPr>
        <w:t xml:space="preserve"> es necesario prever los niveles de consumo de estas </w:t>
      </w:r>
      <w:r w:rsidRPr="001160D6">
        <w:rPr>
          <w:lang w:val="es-AR"/>
        </w:rPr>
        <w:t>sustancias</w:t>
      </w:r>
      <w:r w:rsidR="00DB1F86" w:rsidRPr="001160D6">
        <w:rPr>
          <w:lang w:val="es-AR"/>
        </w:rPr>
        <w:t xml:space="preserve"> controladas y las cantidades que </w:t>
      </w:r>
      <w:r w:rsidRPr="001160D6">
        <w:rPr>
          <w:lang w:val="es-AR"/>
        </w:rPr>
        <w:t xml:space="preserve">deberán </w:t>
      </w:r>
      <w:r w:rsidR="00DB1F86" w:rsidRPr="001160D6">
        <w:rPr>
          <w:lang w:val="es-AR"/>
        </w:rPr>
        <w:t>reduci</w:t>
      </w:r>
      <w:r w:rsidRPr="001160D6">
        <w:rPr>
          <w:lang w:val="es-AR"/>
        </w:rPr>
        <w:t>rse</w:t>
      </w:r>
      <w:r w:rsidR="00DB1F86" w:rsidRPr="001160D6">
        <w:rPr>
          <w:lang w:val="es-AR"/>
        </w:rPr>
        <w:t xml:space="preserve"> durante el período 2020-2030, </w:t>
      </w:r>
      <w:r w:rsidR="00DE4E9E" w:rsidRPr="001160D6">
        <w:rPr>
          <w:lang w:val="es-AR"/>
        </w:rPr>
        <w:t xml:space="preserve">para </w:t>
      </w:r>
      <w:r w:rsidR="00DB1F86" w:rsidRPr="001160D6">
        <w:rPr>
          <w:lang w:val="es-AR"/>
        </w:rPr>
        <w:t xml:space="preserve">que los países del </w:t>
      </w:r>
      <w:r w:rsidR="007120E8" w:rsidRPr="001160D6">
        <w:rPr>
          <w:lang w:val="es-AR"/>
        </w:rPr>
        <w:t>Artículo</w:t>
      </w:r>
      <w:r w:rsidR="00DB1F86" w:rsidRPr="001160D6">
        <w:rPr>
          <w:lang w:val="es-AR"/>
        </w:rPr>
        <w:t xml:space="preserve"> 5 </w:t>
      </w:r>
      <w:r w:rsidR="00C41F17" w:rsidRPr="001160D6">
        <w:rPr>
          <w:lang w:val="es-AR"/>
        </w:rPr>
        <w:t xml:space="preserve">sigan cumpliendo </w:t>
      </w:r>
      <w:r w:rsidRPr="001160D6">
        <w:rPr>
          <w:lang w:val="es-AR"/>
        </w:rPr>
        <w:t>con sus obligaciones</w:t>
      </w:r>
      <w:r w:rsidR="00DB1F86" w:rsidRPr="001160D6">
        <w:rPr>
          <w:lang w:val="es-AR"/>
        </w:rPr>
        <w:t xml:space="preserve"> </w:t>
      </w:r>
      <w:r w:rsidRPr="001160D6">
        <w:rPr>
          <w:lang w:val="es-AR"/>
        </w:rPr>
        <w:t>bajo el Protocolo</w:t>
      </w:r>
      <w:r w:rsidR="00DB1F86" w:rsidRPr="001160D6">
        <w:rPr>
          <w:lang w:val="es-AR"/>
        </w:rPr>
        <w:t xml:space="preserve"> de Montreal.</w:t>
      </w:r>
    </w:p>
    <w:p w14:paraId="6EA0E29F" w14:textId="6BA7CA31" w:rsidR="00DB1F86" w:rsidRPr="001160D6" w:rsidRDefault="007120E8" w:rsidP="00DB1F86">
      <w:pPr>
        <w:keepNext/>
        <w:rPr>
          <w:u w:val="single"/>
          <w:lang w:val="es-AR"/>
        </w:rPr>
      </w:pPr>
      <w:r w:rsidRPr="001160D6">
        <w:rPr>
          <w:u w:val="single"/>
          <w:lang w:val="es-AR"/>
        </w:rPr>
        <w:t>HCFC</w:t>
      </w:r>
    </w:p>
    <w:p w14:paraId="2D22E99F" w14:textId="77777777" w:rsidR="00DB1F86" w:rsidRPr="001160D6" w:rsidRDefault="00DB1F86" w:rsidP="00DB1F86">
      <w:pPr>
        <w:keepNext/>
        <w:rPr>
          <w:lang w:val="es-AR"/>
        </w:rPr>
      </w:pPr>
    </w:p>
    <w:p w14:paraId="2F6935FB" w14:textId="3CFCB581" w:rsidR="00DB1F86" w:rsidRPr="001160D6" w:rsidRDefault="008631D0" w:rsidP="008631D0">
      <w:pPr>
        <w:pStyle w:val="Heading1"/>
        <w:keepNext/>
        <w:numPr>
          <w:ilvl w:val="0"/>
          <w:numId w:val="0"/>
        </w:numPr>
        <w:rPr>
          <w:lang w:val="es-AR"/>
        </w:rPr>
      </w:pPr>
      <w:r w:rsidRPr="001160D6">
        <w:rPr>
          <w:lang w:val="es-AR"/>
        </w:rPr>
        <w:t>10.</w:t>
      </w:r>
      <w:r w:rsidRPr="001160D6">
        <w:rPr>
          <w:lang w:val="es-AR"/>
        </w:rPr>
        <w:tab/>
        <w:t>Desde el momento en que los países ratificaron el Protocolo de Montreal, e</w:t>
      </w:r>
      <w:r w:rsidR="00DB1F86" w:rsidRPr="001160D6">
        <w:rPr>
          <w:lang w:val="es-AR"/>
        </w:rPr>
        <w:t xml:space="preserve">l consumo y la producción de </w:t>
      </w:r>
      <w:r w:rsidR="007120E8" w:rsidRPr="001160D6">
        <w:rPr>
          <w:lang w:val="es-AR"/>
        </w:rPr>
        <w:t>HCFC</w:t>
      </w:r>
      <w:r w:rsidR="00DB1F86" w:rsidRPr="001160D6">
        <w:rPr>
          <w:lang w:val="es-AR"/>
        </w:rPr>
        <w:t xml:space="preserve"> se </w:t>
      </w:r>
      <w:r w:rsidRPr="001160D6">
        <w:rPr>
          <w:lang w:val="es-AR"/>
        </w:rPr>
        <w:t xml:space="preserve">informó </w:t>
      </w:r>
      <w:r w:rsidR="007120E8" w:rsidRPr="001160D6">
        <w:rPr>
          <w:lang w:val="es-AR"/>
        </w:rPr>
        <w:t>en virtud del Artículo</w:t>
      </w:r>
      <w:r w:rsidR="00DB1F86" w:rsidRPr="001160D6">
        <w:rPr>
          <w:lang w:val="es-AR"/>
        </w:rPr>
        <w:t xml:space="preserve"> 7 de</w:t>
      </w:r>
      <w:r w:rsidRPr="001160D6">
        <w:rPr>
          <w:lang w:val="es-AR"/>
        </w:rPr>
        <w:t xml:space="preserve"> dicho </w:t>
      </w:r>
      <w:r w:rsidR="007120E8" w:rsidRPr="001160D6">
        <w:rPr>
          <w:lang w:val="es-AR"/>
        </w:rPr>
        <w:t>Protocolo</w:t>
      </w:r>
      <w:r w:rsidR="00DB1F86" w:rsidRPr="001160D6">
        <w:rPr>
          <w:lang w:val="es-AR"/>
        </w:rPr>
        <w:t>; por lo tanto,</w:t>
      </w:r>
      <w:r w:rsidRPr="001160D6">
        <w:rPr>
          <w:lang w:val="es-AR"/>
        </w:rPr>
        <w:t xml:space="preserve"> </w:t>
      </w:r>
      <w:r w:rsidR="00DE4E9E" w:rsidRPr="001160D6">
        <w:rPr>
          <w:lang w:val="es-AR"/>
        </w:rPr>
        <w:t xml:space="preserve">para cualquier año dado </w:t>
      </w:r>
      <w:r w:rsidRPr="001160D6">
        <w:rPr>
          <w:lang w:val="es-AR"/>
        </w:rPr>
        <w:t>se conocen</w:t>
      </w:r>
      <w:r w:rsidR="00DB1F86" w:rsidRPr="001160D6">
        <w:rPr>
          <w:lang w:val="es-AR"/>
        </w:rPr>
        <w:t xml:space="preserve"> los niveles máximos permitidos de</w:t>
      </w:r>
      <w:r w:rsidR="00C41F17" w:rsidRPr="001160D6">
        <w:rPr>
          <w:lang w:val="es-AR"/>
        </w:rPr>
        <w:t>l</w:t>
      </w:r>
      <w:r w:rsidR="00DB1F86" w:rsidRPr="001160D6">
        <w:rPr>
          <w:lang w:val="es-AR"/>
        </w:rPr>
        <w:t xml:space="preserve"> consumo de </w:t>
      </w:r>
      <w:r w:rsidR="007120E8" w:rsidRPr="001160D6">
        <w:rPr>
          <w:lang w:val="es-AR"/>
        </w:rPr>
        <w:t>los HCFC</w:t>
      </w:r>
      <w:r w:rsidR="00DB1F86" w:rsidRPr="001160D6">
        <w:rPr>
          <w:lang w:val="es-AR"/>
        </w:rPr>
        <w:t xml:space="preserve">. Durante el período 2020 a 2030, el consumo </w:t>
      </w:r>
      <w:r w:rsidR="007120E8" w:rsidRPr="001160D6">
        <w:rPr>
          <w:lang w:val="es-AR"/>
        </w:rPr>
        <w:t>mundial</w:t>
      </w:r>
      <w:r w:rsidR="00DB1F86" w:rsidRPr="001160D6">
        <w:rPr>
          <w:lang w:val="es-AR"/>
        </w:rPr>
        <w:t xml:space="preserve"> de </w:t>
      </w:r>
      <w:r w:rsidR="007120E8" w:rsidRPr="001160D6">
        <w:rPr>
          <w:lang w:val="es-AR"/>
        </w:rPr>
        <w:t>los HCFC</w:t>
      </w:r>
      <w:r w:rsidR="00DB1F86" w:rsidRPr="001160D6">
        <w:rPr>
          <w:lang w:val="es-AR"/>
        </w:rPr>
        <w:t xml:space="preserve"> debe</w:t>
      </w:r>
      <w:r w:rsidRPr="001160D6">
        <w:rPr>
          <w:lang w:val="es-AR"/>
        </w:rPr>
        <w:t>ría</w:t>
      </w:r>
      <w:r w:rsidR="00DB1F86" w:rsidRPr="001160D6">
        <w:rPr>
          <w:lang w:val="es-AR"/>
        </w:rPr>
        <w:t xml:space="preserve"> disminuir de un máximo de hasta 34</w:t>
      </w:r>
      <w:r w:rsidR="007120E8" w:rsidRPr="001160D6">
        <w:rPr>
          <w:lang w:val="es-AR"/>
        </w:rPr>
        <w:t>8 219</w:t>
      </w:r>
      <w:r w:rsidR="00DB1F86" w:rsidRPr="001160D6">
        <w:rPr>
          <w:lang w:val="es-AR"/>
        </w:rPr>
        <w:t xml:space="preserve"> toneladas métricas (</w:t>
      </w:r>
      <w:proofErr w:type="spellStart"/>
      <w:r w:rsidRPr="001160D6">
        <w:rPr>
          <w:lang w:val="es-AR"/>
        </w:rPr>
        <w:t>tm</w:t>
      </w:r>
      <w:proofErr w:type="spellEnd"/>
      <w:r w:rsidR="00DB1F86" w:rsidRPr="001160D6">
        <w:rPr>
          <w:lang w:val="es-AR"/>
        </w:rPr>
        <w:t>) (2</w:t>
      </w:r>
      <w:r w:rsidR="007120E8" w:rsidRPr="001160D6">
        <w:rPr>
          <w:lang w:val="es-AR"/>
        </w:rPr>
        <w:t>3 225</w:t>
      </w:r>
      <w:r w:rsidR="00DB1F86" w:rsidRPr="001160D6">
        <w:rPr>
          <w:lang w:val="es-AR"/>
        </w:rPr>
        <w:t> </w:t>
      </w:r>
      <w:r w:rsidR="00FF4D54" w:rsidRPr="001160D6">
        <w:rPr>
          <w:lang w:val="es-AR"/>
        </w:rPr>
        <w:t>toneladas PAO</w:t>
      </w:r>
      <w:r w:rsidR="00DB1F86" w:rsidRPr="001160D6">
        <w:rPr>
          <w:lang w:val="es-AR"/>
        </w:rPr>
        <w:t>)</w:t>
      </w:r>
      <w:r w:rsidR="00C41F17" w:rsidRPr="001160D6">
        <w:rPr>
          <w:lang w:val="es-AR"/>
        </w:rPr>
        <w:t>,</w:t>
      </w:r>
      <w:r w:rsidR="00DB1F86" w:rsidRPr="001160D6">
        <w:rPr>
          <w:lang w:val="es-AR"/>
        </w:rPr>
        <w:t xml:space="preserve"> en 2020</w:t>
      </w:r>
      <w:r w:rsidR="00C41F17" w:rsidRPr="001160D6">
        <w:rPr>
          <w:lang w:val="es-AR"/>
        </w:rPr>
        <w:t>,</w:t>
      </w:r>
      <w:r w:rsidR="00DB1F86" w:rsidRPr="001160D6">
        <w:rPr>
          <w:lang w:val="es-AR"/>
        </w:rPr>
        <w:t xml:space="preserve"> a 1</w:t>
      </w:r>
      <w:r w:rsidR="007120E8" w:rsidRPr="001160D6">
        <w:rPr>
          <w:lang w:val="es-AR"/>
        </w:rPr>
        <w:t>3 393</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(893 </w:t>
      </w:r>
      <w:r w:rsidR="00FF4D54" w:rsidRPr="001160D6">
        <w:rPr>
          <w:lang w:val="es-AR"/>
        </w:rPr>
        <w:t>toneladas PAO</w:t>
      </w:r>
      <w:r w:rsidR="00DB1F86" w:rsidRPr="001160D6">
        <w:rPr>
          <w:lang w:val="es-AR"/>
        </w:rPr>
        <w:t>)</w:t>
      </w:r>
      <w:r w:rsidR="00C41F17" w:rsidRPr="001160D6">
        <w:rPr>
          <w:lang w:val="es-AR"/>
        </w:rPr>
        <w:t>,</w:t>
      </w:r>
      <w:r w:rsidR="00DB1F86" w:rsidRPr="001160D6">
        <w:rPr>
          <w:lang w:val="es-AR"/>
        </w:rPr>
        <w:t xml:space="preserve"> en 2030 (una reducción de 33</w:t>
      </w:r>
      <w:r w:rsidR="007120E8" w:rsidRPr="001160D6">
        <w:rPr>
          <w:lang w:val="es-AR"/>
        </w:rPr>
        <w:t>4 826</w:t>
      </w:r>
      <w:r w:rsidR="00DB1F86" w:rsidRPr="001160D6">
        <w:rPr>
          <w:lang w:val="es-AR"/>
        </w:rPr>
        <w:t> </w:t>
      </w:r>
      <w:proofErr w:type="spellStart"/>
      <w:r w:rsidRPr="001160D6">
        <w:rPr>
          <w:lang w:val="es-AR"/>
        </w:rPr>
        <w:t>tm</w:t>
      </w:r>
      <w:proofErr w:type="spellEnd"/>
      <w:r w:rsidR="00DB1F86" w:rsidRPr="001160D6">
        <w:rPr>
          <w:lang w:val="es-AR"/>
        </w:rPr>
        <w:t xml:space="preserve">), </w:t>
      </w:r>
      <w:r w:rsidR="007120E8" w:rsidRPr="001160D6">
        <w:rPr>
          <w:lang w:val="es-AR"/>
        </w:rPr>
        <w:t>como</w:t>
      </w:r>
      <w:r w:rsidR="00DB1F86" w:rsidRPr="001160D6">
        <w:rPr>
          <w:lang w:val="es-AR"/>
        </w:rPr>
        <w:t xml:space="preserve"> </w:t>
      </w:r>
      <w:r w:rsidR="00FF4D54" w:rsidRPr="001160D6">
        <w:rPr>
          <w:lang w:val="es-AR"/>
        </w:rPr>
        <w:t>se indica</w:t>
      </w:r>
      <w:r w:rsidR="00DB1F86" w:rsidRPr="001160D6">
        <w:rPr>
          <w:lang w:val="es-AR"/>
        </w:rPr>
        <w:t xml:space="preserve"> </w:t>
      </w:r>
      <w:r w:rsidRPr="001160D6">
        <w:rPr>
          <w:lang w:val="es-AR"/>
        </w:rPr>
        <w:t>en el Cuadro</w:t>
      </w:r>
      <w:r w:rsidR="00DB1F86" w:rsidRPr="001160D6">
        <w:rPr>
          <w:lang w:val="es-AR"/>
        </w:rPr>
        <w:t xml:space="preserve"> 1. </w:t>
      </w:r>
    </w:p>
    <w:p w14:paraId="7248A104" w14:textId="4A138AA2" w:rsidR="00DB1F86" w:rsidRPr="001160D6" w:rsidRDefault="00E647A3" w:rsidP="00DB1F86">
      <w:pPr>
        <w:rPr>
          <w:b/>
          <w:sz w:val="21"/>
          <w:szCs w:val="21"/>
          <w:lang w:val="es-AR"/>
        </w:rPr>
      </w:pPr>
      <w:r w:rsidRPr="001160D6">
        <w:rPr>
          <w:b/>
          <w:sz w:val="21"/>
          <w:szCs w:val="21"/>
          <w:lang w:val="es-AR"/>
        </w:rPr>
        <w:t xml:space="preserve">Cuadro 1.  </w:t>
      </w:r>
      <w:r w:rsidR="00DB1F86" w:rsidRPr="001160D6">
        <w:rPr>
          <w:b/>
          <w:sz w:val="21"/>
          <w:szCs w:val="21"/>
          <w:lang w:val="es-AR"/>
        </w:rPr>
        <w:t xml:space="preserve">Niveles máximos </w:t>
      </w:r>
      <w:r w:rsidR="00684461" w:rsidRPr="001160D6">
        <w:rPr>
          <w:b/>
          <w:sz w:val="21"/>
          <w:szCs w:val="21"/>
          <w:lang w:val="es-AR"/>
        </w:rPr>
        <w:t xml:space="preserve">permitidos </w:t>
      </w:r>
      <w:r w:rsidRPr="001160D6">
        <w:rPr>
          <w:b/>
          <w:sz w:val="21"/>
          <w:szCs w:val="21"/>
          <w:lang w:val="es-AR"/>
        </w:rPr>
        <w:t xml:space="preserve">de consumo de HCFC </w:t>
      </w:r>
      <w:r w:rsidR="00DB1F86" w:rsidRPr="001160D6">
        <w:rPr>
          <w:b/>
          <w:sz w:val="21"/>
          <w:szCs w:val="21"/>
          <w:lang w:val="es-AR"/>
        </w:rPr>
        <w:t>durante el período 2020-2030</w:t>
      </w:r>
    </w:p>
    <w:tbl>
      <w:tblPr>
        <w:tblW w:w="9360" w:type="dxa"/>
        <w:tblInd w:w="-5" w:type="dxa"/>
        <w:tblLayout w:type="fixed"/>
        <w:tblLook w:val="04A0" w:firstRow="1" w:lastRow="0" w:firstColumn="1" w:lastColumn="0" w:noHBand="0" w:noVBand="1"/>
      </w:tblPr>
      <w:tblGrid>
        <w:gridCol w:w="3240"/>
        <w:gridCol w:w="1530"/>
        <w:gridCol w:w="1530"/>
        <w:gridCol w:w="1530"/>
        <w:gridCol w:w="1530"/>
      </w:tblGrid>
      <w:tr w:rsidR="00DB1F86" w:rsidRPr="001160D6" w14:paraId="16DB1C91" w14:textId="77777777" w:rsidTr="00FF4D54">
        <w:trPr>
          <w:tblHeader/>
        </w:trPr>
        <w:tc>
          <w:tcPr>
            <w:tcW w:w="3240" w:type="dxa"/>
            <w:tcBorders>
              <w:top w:val="single" w:sz="4" w:space="0" w:color="auto"/>
              <w:left w:val="single" w:sz="4" w:space="0" w:color="auto"/>
              <w:bottom w:val="single" w:sz="4" w:space="0" w:color="auto"/>
              <w:right w:val="single" w:sz="4" w:space="0" w:color="auto"/>
            </w:tcBorders>
            <w:noWrap/>
            <w:vAlign w:val="bottom"/>
            <w:hideMark/>
          </w:tcPr>
          <w:p w14:paraId="6756178D" w14:textId="2A43E8A7" w:rsidR="00DB1F86" w:rsidRPr="001160D6" w:rsidRDefault="007120E8" w:rsidP="00FF4D54">
            <w:pPr>
              <w:rPr>
                <w:b/>
                <w:bCs/>
                <w:color w:val="000000"/>
                <w:sz w:val="21"/>
                <w:szCs w:val="21"/>
                <w:lang w:val="es-AR" w:eastAsia="en-CA"/>
              </w:rPr>
            </w:pPr>
            <w:r w:rsidRPr="001160D6">
              <w:rPr>
                <w:b/>
                <w:bCs/>
                <w:color w:val="000000"/>
                <w:sz w:val="21"/>
                <w:szCs w:val="21"/>
                <w:lang w:val="es-AR"/>
              </w:rPr>
              <w:t>HCFC</w:t>
            </w:r>
            <w:r w:rsidR="00DB1F86" w:rsidRPr="001160D6">
              <w:rPr>
                <w:b/>
                <w:bCs/>
                <w:color w:val="000000"/>
                <w:sz w:val="21"/>
                <w:szCs w:val="21"/>
                <w:lang w:val="es-AR"/>
              </w:rPr>
              <w:t xml:space="preserve"> (</w:t>
            </w:r>
            <w:proofErr w:type="spellStart"/>
            <w:r w:rsidR="008631D0" w:rsidRPr="001160D6">
              <w:rPr>
                <w:b/>
                <w:bCs/>
                <w:color w:val="000000"/>
                <w:sz w:val="21"/>
                <w:szCs w:val="21"/>
                <w:lang w:val="es-AR"/>
              </w:rPr>
              <w:t>tm</w:t>
            </w:r>
            <w:proofErr w:type="spellEnd"/>
            <w:r w:rsidR="00DB1F86" w:rsidRPr="001160D6">
              <w:rPr>
                <w:b/>
                <w:bCs/>
                <w:color w:val="000000"/>
                <w:sz w:val="21"/>
                <w:szCs w:val="21"/>
                <w:lang w:val="es-AR"/>
              </w:rPr>
              <w:t>) *</w:t>
            </w:r>
          </w:p>
        </w:tc>
        <w:tc>
          <w:tcPr>
            <w:tcW w:w="1530" w:type="dxa"/>
            <w:tcBorders>
              <w:top w:val="single" w:sz="4" w:space="0" w:color="auto"/>
              <w:left w:val="nil"/>
              <w:bottom w:val="single" w:sz="4" w:space="0" w:color="auto"/>
              <w:right w:val="single" w:sz="4" w:space="0" w:color="auto"/>
            </w:tcBorders>
            <w:noWrap/>
            <w:vAlign w:val="center"/>
            <w:hideMark/>
          </w:tcPr>
          <w:p w14:paraId="6CD27B39" w14:textId="0EF64F8E" w:rsidR="00DB1F86" w:rsidRPr="001160D6" w:rsidRDefault="00FF4D54" w:rsidP="00FF4D54">
            <w:pPr>
              <w:jc w:val="center"/>
              <w:rPr>
                <w:b/>
                <w:bCs/>
                <w:color w:val="000000"/>
                <w:sz w:val="21"/>
                <w:szCs w:val="21"/>
                <w:lang w:val="es-AR" w:eastAsia="en-CA"/>
              </w:rPr>
            </w:pPr>
            <w:r w:rsidRPr="001160D6">
              <w:rPr>
                <w:b/>
                <w:bCs/>
                <w:color w:val="000000"/>
                <w:sz w:val="21"/>
                <w:szCs w:val="21"/>
                <w:lang w:val="es-AR"/>
              </w:rPr>
              <w:t>Base</w:t>
            </w:r>
          </w:p>
        </w:tc>
        <w:tc>
          <w:tcPr>
            <w:tcW w:w="1530" w:type="dxa"/>
            <w:tcBorders>
              <w:top w:val="single" w:sz="4" w:space="0" w:color="auto"/>
              <w:left w:val="nil"/>
              <w:bottom w:val="single" w:sz="4" w:space="0" w:color="auto"/>
              <w:right w:val="single" w:sz="4" w:space="0" w:color="auto"/>
            </w:tcBorders>
            <w:noWrap/>
            <w:vAlign w:val="center"/>
            <w:hideMark/>
          </w:tcPr>
          <w:p w14:paraId="61CE3556"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2020</w:t>
            </w:r>
          </w:p>
        </w:tc>
        <w:tc>
          <w:tcPr>
            <w:tcW w:w="1530" w:type="dxa"/>
            <w:tcBorders>
              <w:top w:val="single" w:sz="4" w:space="0" w:color="auto"/>
              <w:left w:val="nil"/>
              <w:bottom w:val="single" w:sz="4" w:space="0" w:color="auto"/>
              <w:right w:val="single" w:sz="4" w:space="0" w:color="auto"/>
            </w:tcBorders>
            <w:noWrap/>
            <w:vAlign w:val="center"/>
            <w:hideMark/>
          </w:tcPr>
          <w:p w14:paraId="3EE1195B"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2025</w:t>
            </w:r>
          </w:p>
        </w:tc>
        <w:tc>
          <w:tcPr>
            <w:tcW w:w="1530" w:type="dxa"/>
            <w:tcBorders>
              <w:top w:val="single" w:sz="4" w:space="0" w:color="auto"/>
              <w:left w:val="nil"/>
              <w:bottom w:val="single" w:sz="4" w:space="0" w:color="auto"/>
              <w:right w:val="single" w:sz="4" w:space="0" w:color="auto"/>
            </w:tcBorders>
            <w:noWrap/>
            <w:vAlign w:val="center"/>
            <w:hideMark/>
          </w:tcPr>
          <w:p w14:paraId="5C968E3A"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2030</w:t>
            </w:r>
          </w:p>
        </w:tc>
      </w:tr>
      <w:tr w:rsidR="00DB1F86" w:rsidRPr="001160D6" w14:paraId="579C563E" w14:textId="77777777" w:rsidTr="00FF4D54">
        <w:tc>
          <w:tcPr>
            <w:tcW w:w="3240" w:type="dxa"/>
            <w:tcBorders>
              <w:top w:val="nil"/>
              <w:left w:val="single" w:sz="4" w:space="0" w:color="auto"/>
              <w:bottom w:val="single" w:sz="4" w:space="0" w:color="auto"/>
              <w:right w:val="single" w:sz="4" w:space="0" w:color="auto"/>
            </w:tcBorders>
            <w:noWrap/>
            <w:vAlign w:val="bottom"/>
            <w:hideMark/>
          </w:tcPr>
          <w:p w14:paraId="6EE3A3D1" w14:textId="0C0FE85C" w:rsidR="00DB1F86" w:rsidRPr="001160D6" w:rsidRDefault="007120E8" w:rsidP="00FF4D54">
            <w:pPr>
              <w:rPr>
                <w:color w:val="000000"/>
                <w:sz w:val="21"/>
                <w:szCs w:val="21"/>
                <w:lang w:val="es-AR" w:eastAsia="en-CA"/>
              </w:rPr>
            </w:pPr>
            <w:r w:rsidRPr="001160D6">
              <w:rPr>
                <w:color w:val="000000"/>
                <w:sz w:val="21"/>
                <w:szCs w:val="21"/>
                <w:lang w:val="es-AR"/>
              </w:rPr>
              <w:t>HCFC</w:t>
            </w:r>
            <w:r w:rsidR="00DB1F86" w:rsidRPr="001160D6">
              <w:rPr>
                <w:color w:val="000000"/>
                <w:sz w:val="21"/>
                <w:szCs w:val="21"/>
                <w:lang w:val="es-AR"/>
              </w:rPr>
              <w:t>-22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2E106B28" w14:textId="4E040CC7" w:rsidR="00DB1F86" w:rsidRPr="001160D6" w:rsidRDefault="00DB1F86" w:rsidP="00FF4D54">
            <w:pPr>
              <w:jc w:val="right"/>
              <w:rPr>
                <w:color w:val="000000"/>
                <w:sz w:val="21"/>
                <w:szCs w:val="21"/>
                <w:lang w:val="es-AR" w:eastAsia="en-CA"/>
              </w:rPr>
            </w:pPr>
            <w:r w:rsidRPr="001160D6">
              <w:rPr>
                <w:color w:val="000000"/>
                <w:sz w:val="21"/>
                <w:szCs w:val="21"/>
                <w:lang w:val="es-AR"/>
              </w:rPr>
              <w:t>39</w:t>
            </w:r>
            <w:r w:rsidR="007120E8" w:rsidRPr="001160D6">
              <w:rPr>
                <w:color w:val="000000"/>
                <w:sz w:val="21"/>
                <w:szCs w:val="21"/>
                <w:lang w:val="es-AR"/>
              </w:rPr>
              <w:t>4 655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46EBBC77" w14:textId="307E2C5F" w:rsidR="00DB1F86" w:rsidRPr="001160D6" w:rsidRDefault="00DB1F86" w:rsidP="00FF4D54">
            <w:pPr>
              <w:jc w:val="right"/>
              <w:rPr>
                <w:color w:val="000000"/>
                <w:sz w:val="21"/>
                <w:szCs w:val="21"/>
                <w:lang w:val="es-AR" w:eastAsia="en-CA"/>
              </w:rPr>
            </w:pPr>
            <w:r w:rsidRPr="001160D6">
              <w:rPr>
                <w:color w:val="000000"/>
                <w:sz w:val="21"/>
                <w:szCs w:val="21"/>
                <w:lang w:val="es-AR"/>
              </w:rPr>
              <w:t>25</w:t>
            </w:r>
            <w:r w:rsidR="007120E8" w:rsidRPr="001160D6">
              <w:rPr>
                <w:color w:val="000000"/>
                <w:sz w:val="21"/>
                <w:szCs w:val="21"/>
                <w:lang w:val="es-AR"/>
              </w:rPr>
              <w:t>6 525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5CAA0063" w14:textId="241180B9" w:rsidR="00DB1F86" w:rsidRPr="001160D6" w:rsidRDefault="00DB1F86" w:rsidP="00FF4D54">
            <w:pPr>
              <w:jc w:val="right"/>
              <w:rPr>
                <w:color w:val="000000"/>
                <w:sz w:val="21"/>
                <w:szCs w:val="21"/>
                <w:lang w:val="es-AR" w:eastAsia="en-CA"/>
              </w:rPr>
            </w:pPr>
            <w:r w:rsidRPr="001160D6">
              <w:rPr>
                <w:color w:val="000000"/>
                <w:sz w:val="21"/>
                <w:szCs w:val="21"/>
                <w:lang w:val="es-AR"/>
              </w:rPr>
              <w:t>12</w:t>
            </w:r>
            <w:r w:rsidR="007120E8" w:rsidRPr="001160D6">
              <w:rPr>
                <w:color w:val="000000"/>
                <w:sz w:val="21"/>
                <w:szCs w:val="21"/>
                <w:lang w:val="es-AR"/>
              </w:rPr>
              <w:t>8 263</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00DDCA08" w14:textId="37984B1A" w:rsidR="00DB1F86" w:rsidRPr="001160D6" w:rsidRDefault="007120E8" w:rsidP="00FF4D54">
            <w:pPr>
              <w:jc w:val="right"/>
              <w:rPr>
                <w:color w:val="000000"/>
                <w:sz w:val="21"/>
                <w:szCs w:val="21"/>
                <w:lang w:val="es-AR" w:eastAsia="en-CA"/>
              </w:rPr>
            </w:pPr>
            <w:r w:rsidRPr="001160D6">
              <w:rPr>
                <w:color w:val="000000"/>
                <w:sz w:val="21"/>
                <w:szCs w:val="21"/>
                <w:lang w:val="es-AR"/>
              </w:rPr>
              <w:t>9 866</w:t>
            </w:r>
          </w:p>
        </w:tc>
      </w:tr>
      <w:tr w:rsidR="00DB1F86" w:rsidRPr="001160D6" w14:paraId="4FEF4DD9" w14:textId="77777777" w:rsidTr="00FF4D54">
        <w:tc>
          <w:tcPr>
            <w:tcW w:w="3240" w:type="dxa"/>
            <w:tcBorders>
              <w:top w:val="nil"/>
              <w:left w:val="single" w:sz="4" w:space="0" w:color="auto"/>
              <w:bottom w:val="single" w:sz="4" w:space="0" w:color="auto"/>
              <w:right w:val="single" w:sz="4" w:space="0" w:color="auto"/>
            </w:tcBorders>
            <w:noWrap/>
            <w:vAlign w:val="bottom"/>
            <w:hideMark/>
          </w:tcPr>
          <w:p w14:paraId="23A5715A" w14:textId="7BA575FC" w:rsidR="00DB1F86" w:rsidRPr="001160D6" w:rsidRDefault="007120E8" w:rsidP="00FF4D54">
            <w:pPr>
              <w:rPr>
                <w:color w:val="000000"/>
                <w:sz w:val="21"/>
                <w:szCs w:val="21"/>
                <w:lang w:val="es-AR" w:eastAsia="en-CA"/>
              </w:rPr>
            </w:pPr>
            <w:r w:rsidRPr="001160D6">
              <w:rPr>
                <w:color w:val="000000"/>
                <w:sz w:val="21"/>
                <w:szCs w:val="21"/>
                <w:lang w:val="es-AR"/>
              </w:rPr>
              <w:t>HCFC</w:t>
            </w:r>
            <w:r w:rsidR="00DB1F86" w:rsidRPr="001160D6">
              <w:rPr>
                <w:color w:val="000000"/>
                <w:sz w:val="21"/>
                <w:szCs w:val="21"/>
                <w:lang w:val="es-AR"/>
              </w:rPr>
              <w:t>-141b</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CFA4D0F" w14:textId="1204AB2B" w:rsidR="00DB1F86" w:rsidRPr="001160D6" w:rsidRDefault="00DB1F86" w:rsidP="00FF4D54">
            <w:pPr>
              <w:jc w:val="right"/>
              <w:rPr>
                <w:color w:val="000000"/>
                <w:sz w:val="21"/>
                <w:szCs w:val="21"/>
                <w:lang w:val="es-AR" w:eastAsia="en-CA"/>
              </w:rPr>
            </w:pPr>
            <w:r w:rsidRPr="001160D6">
              <w:rPr>
                <w:color w:val="000000"/>
                <w:sz w:val="21"/>
                <w:szCs w:val="21"/>
                <w:lang w:val="es-AR"/>
              </w:rPr>
              <w:t>10</w:t>
            </w:r>
            <w:r w:rsidR="007120E8" w:rsidRPr="001160D6">
              <w:rPr>
                <w:color w:val="000000"/>
                <w:sz w:val="21"/>
                <w:szCs w:val="21"/>
                <w:lang w:val="es-AR"/>
              </w:rPr>
              <w:t>7 872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496AF73D" w14:textId="2E1024A3" w:rsidR="00DB1F86" w:rsidRPr="001160D6" w:rsidRDefault="00DB1F86" w:rsidP="00FF4D54">
            <w:pPr>
              <w:jc w:val="right"/>
              <w:rPr>
                <w:color w:val="000000"/>
                <w:sz w:val="21"/>
                <w:szCs w:val="21"/>
                <w:lang w:val="es-AR" w:eastAsia="en-CA"/>
              </w:rPr>
            </w:pPr>
            <w:r w:rsidRPr="001160D6">
              <w:rPr>
                <w:color w:val="000000"/>
                <w:sz w:val="21"/>
                <w:szCs w:val="21"/>
                <w:lang w:val="es-AR"/>
              </w:rPr>
              <w:t>7</w:t>
            </w:r>
            <w:r w:rsidR="007120E8" w:rsidRPr="001160D6">
              <w:rPr>
                <w:color w:val="000000"/>
                <w:sz w:val="21"/>
                <w:szCs w:val="21"/>
                <w:lang w:val="es-AR"/>
              </w:rPr>
              <w:t>0 117</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279BC13E" w14:textId="61A5719D" w:rsidR="00DB1F86" w:rsidRPr="001160D6" w:rsidRDefault="00DB1F86" w:rsidP="00FF4D54">
            <w:pPr>
              <w:jc w:val="right"/>
              <w:rPr>
                <w:color w:val="000000"/>
                <w:sz w:val="21"/>
                <w:szCs w:val="21"/>
                <w:lang w:val="es-AR" w:eastAsia="en-CA"/>
              </w:rPr>
            </w:pPr>
            <w:r w:rsidRPr="001160D6">
              <w:rPr>
                <w:color w:val="000000"/>
                <w:sz w:val="21"/>
                <w:szCs w:val="21"/>
                <w:lang w:val="es-AR"/>
              </w:rPr>
              <w:t>3</w:t>
            </w:r>
            <w:r w:rsidR="007120E8" w:rsidRPr="001160D6">
              <w:rPr>
                <w:color w:val="000000"/>
                <w:sz w:val="21"/>
                <w:szCs w:val="21"/>
                <w:lang w:val="es-AR"/>
              </w:rPr>
              <w:t>5 058</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D513873" w14:textId="14795296" w:rsidR="00DB1F86" w:rsidRPr="001160D6" w:rsidRDefault="007120E8" w:rsidP="00FF4D54">
            <w:pPr>
              <w:jc w:val="right"/>
              <w:rPr>
                <w:color w:val="000000"/>
                <w:sz w:val="21"/>
                <w:szCs w:val="21"/>
                <w:lang w:val="es-AR" w:eastAsia="en-CA"/>
              </w:rPr>
            </w:pPr>
            <w:r w:rsidRPr="001160D6">
              <w:rPr>
                <w:color w:val="000000"/>
                <w:sz w:val="21"/>
                <w:szCs w:val="21"/>
                <w:lang w:val="es-AR"/>
              </w:rPr>
              <w:t>2 697</w:t>
            </w:r>
          </w:p>
        </w:tc>
      </w:tr>
      <w:tr w:rsidR="00DB1F86" w:rsidRPr="001160D6" w14:paraId="03FCDB30" w14:textId="77777777" w:rsidTr="00FF4D54">
        <w:tc>
          <w:tcPr>
            <w:tcW w:w="3240" w:type="dxa"/>
            <w:tcBorders>
              <w:top w:val="nil"/>
              <w:left w:val="single" w:sz="4" w:space="0" w:color="auto"/>
              <w:bottom w:val="single" w:sz="4" w:space="0" w:color="auto"/>
              <w:right w:val="single" w:sz="4" w:space="0" w:color="auto"/>
            </w:tcBorders>
            <w:noWrap/>
            <w:vAlign w:val="bottom"/>
            <w:hideMark/>
          </w:tcPr>
          <w:p w14:paraId="2A8A4EE8" w14:textId="2E815D3F" w:rsidR="00DB1F86" w:rsidRPr="001160D6" w:rsidRDefault="007120E8" w:rsidP="00FF4D54">
            <w:pPr>
              <w:rPr>
                <w:color w:val="000000"/>
                <w:sz w:val="21"/>
                <w:szCs w:val="21"/>
                <w:lang w:val="es-AR" w:eastAsia="en-CA"/>
              </w:rPr>
            </w:pPr>
            <w:r w:rsidRPr="001160D6">
              <w:rPr>
                <w:color w:val="000000"/>
                <w:sz w:val="21"/>
                <w:szCs w:val="21"/>
                <w:lang w:val="es-AR"/>
              </w:rPr>
              <w:t>HCFC</w:t>
            </w:r>
            <w:r w:rsidR="00DB1F86" w:rsidRPr="001160D6">
              <w:rPr>
                <w:color w:val="000000"/>
                <w:sz w:val="21"/>
                <w:szCs w:val="21"/>
                <w:lang w:val="es-AR"/>
              </w:rPr>
              <w:t>-142b</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701E24A" w14:textId="7F228D69" w:rsidR="00DB1F86" w:rsidRPr="001160D6" w:rsidRDefault="00DB1F86" w:rsidP="00FF4D54">
            <w:pPr>
              <w:jc w:val="right"/>
              <w:rPr>
                <w:color w:val="000000"/>
                <w:sz w:val="21"/>
                <w:szCs w:val="21"/>
                <w:lang w:val="es-AR" w:eastAsia="en-CA"/>
              </w:rPr>
            </w:pPr>
            <w:r w:rsidRPr="001160D6">
              <w:rPr>
                <w:color w:val="000000"/>
                <w:sz w:val="21"/>
                <w:szCs w:val="21"/>
                <w:lang w:val="es-AR"/>
              </w:rPr>
              <w:t>3</w:t>
            </w:r>
            <w:r w:rsidR="007120E8" w:rsidRPr="001160D6">
              <w:rPr>
                <w:color w:val="000000"/>
                <w:sz w:val="21"/>
                <w:szCs w:val="21"/>
                <w:lang w:val="es-AR"/>
              </w:rPr>
              <w:t>3 195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3E52F9B7" w14:textId="22A3FEE9" w:rsidR="00DB1F86" w:rsidRPr="001160D6" w:rsidRDefault="00DB1F86" w:rsidP="00FF4D54">
            <w:pPr>
              <w:jc w:val="right"/>
              <w:rPr>
                <w:color w:val="000000"/>
                <w:sz w:val="21"/>
                <w:szCs w:val="21"/>
                <w:lang w:val="es-AR" w:eastAsia="en-CA"/>
              </w:rPr>
            </w:pPr>
            <w:r w:rsidRPr="001160D6">
              <w:rPr>
                <w:color w:val="000000"/>
                <w:sz w:val="21"/>
                <w:szCs w:val="21"/>
                <w:lang w:val="es-AR"/>
              </w:rPr>
              <w:t>2</w:t>
            </w:r>
            <w:r w:rsidR="007120E8" w:rsidRPr="001160D6">
              <w:rPr>
                <w:color w:val="000000"/>
                <w:sz w:val="21"/>
                <w:szCs w:val="21"/>
                <w:lang w:val="es-AR"/>
              </w:rPr>
              <w:t>1 577</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042AA3D" w14:textId="1D675257" w:rsidR="00DB1F86" w:rsidRPr="001160D6" w:rsidRDefault="00DB1F86" w:rsidP="00FF4D54">
            <w:pPr>
              <w:jc w:val="right"/>
              <w:rPr>
                <w:color w:val="000000"/>
                <w:sz w:val="21"/>
                <w:szCs w:val="21"/>
                <w:lang w:val="es-AR" w:eastAsia="en-CA"/>
              </w:rPr>
            </w:pPr>
            <w:r w:rsidRPr="001160D6">
              <w:rPr>
                <w:color w:val="000000"/>
                <w:sz w:val="21"/>
                <w:szCs w:val="21"/>
                <w:lang w:val="es-AR"/>
              </w:rPr>
              <w:t>1</w:t>
            </w:r>
            <w:r w:rsidR="007120E8" w:rsidRPr="001160D6">
              <w:rPr>
                <w:color w:val="000000"/>
                <w:sz w:val="21"/>
                <w:szCs w:val="21"/>
                <w:lang w:val="es-AR"/>
              </w:rPr>
              <w:t>0 789</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6889A7F2" w14:textId="77777777" w:rsidR="00DB1F86" w:rsidRPr="001160D6" w:rsidRDefault="00DB1F86" w:rsidP="00FF4D54">
            <w:pPr>
              <w:jc w:val="right"/>
              <w:rPr>
                <w:color w:val="000000"/>
                <w:sz w:val="21"/>
                <w:szCs w:val="21"/>
                <w:lang w:val="es-AR" w:eastAsia="en-CA"/>
              </w:rPr>
            </w:pPr>
            <w:r w:rsidRPr="001160D6">
              <w:rPr>
                <w:color w:val="000000"/>
                <w:sz w:val="21"/>
                <w:szCs w:val="21"/>
                <w:lang w:val="es-AR"/>
              </w:rPr>
              <w:t>830</w:t>
            </w:r>
          </w:p>
        </w:tc>
      </w:tr>
      <w:tr w:rsidR="00DB1F86" w:rsidRPr="001160D6" w14:paraId="50D51917" w14:textId="77777777" w:rsidTr="00FF4D54">
        <w:tc>
          <w:tcPr>
            <w:tcW w:w="3240" w:type="dxa"/>
            <w:tcBorders>
              <w:top w:val="nil"/>
              <w:left w:val="single" w:sz="4" w:space="0" w:color="auto"/>
              <w:bottom w:val="single" w:sz="4" w:space="0" w:color="auto"/>
              <w:right w:val="single" w:sz="4" w:space="0" w:color="auto"/>
            </w:tcBorders>
            <w:noWrap/>
            <w:vAlign w:val="bottom"/>
            <w:hideMark/>
          </w:tcPr>
          <w:p w14:paraId="167185F9" w14:textId="79DC2F16" w:rsidR="00DB1F86" w:rsidRPr="001160D6" w:rsidRDefault="00DB1F86" w:rsidP="00E647A3">
            <w:pPr>
              <w:rPr>
                <w:color w:val="000000"/>
                <w:sz w:val="21"/>
                <w:szCs w:val="21"/>
                <w:lang w:val="es-AR" w:eastAsia="en-CA"/>
              </w:rPr>
            </w:pPr>
            <w:r w:rsidRPr="001160D6">
              <w:rPr>
                <w:color w:val="000000"/>
                <w:sz w:val="21"/>
                <w:szCs w:val="21"/>
                <w:lang w:val="es-AR"/>
              </w:rPr>
              <w:t xml:space="preserve">Total </w:t>
            </w:r>
            <w:r w:rsidR="00E647A3" w:rsidRPr="001160D6">
              <w:rPr>
                <w:color w:val="000000"/>
                <w:sz w:val="21"/>
                <w:szCs w:val="21"/>
                <w:lang w:val="es-AR"/>
              </w:rPr>
              <w:t xml:space="preserve">de </w:t>
            </w:r>
            <w:r w:rsidR="007120E8" w:rsidRPr="001160D6">
              <w:rPr>
                <w:color w:val="000000"/>
                <w:sz w:val="21"/>
                <w:szCs w:val="21"/>
                <w:lang w:val="es-AR"/>
              </w:rPr>
              <w:t>HCFC</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C2D6A84" w14:textId="240C9841" w:rsidR="00DB1F86" w:rsidRPr="001160D6" w:rsidRDefault="00DB1F86" w:rsidP="00FF4D54">
            <w:pPr>
              <w:jc w:val="right"/>
              <w:rPr>
                <w:color w:val="000000"/>
                <w:sz w:val="21"/>
                <w:szCs w:val="21"/>
                <w:lang w:val="es-AR" w:eastAsia="en-CA"/>
              </w:rPr>
            </w:pPr>
            <w:r w:rsidRPr="001160D6">
              <w:rPr>
                <w:color w:val="000000"/>
                <w:sz w:val="21"/>
                <w:szCs w:val="21"/>
                <w:lang w:val="es-AR"/>
              </w:rPr>
              <w:t>53</w:t>
            </w:r>
            <w:r w:rsidR="007120E8" w:rsidRPr="001160D6">
              <w:rPr>
                <w:color w:val="000000"/>
                <w:sz w:val="21"/>
                <w:szCs w:val="21"/>
                <w:lang w:val="es-AR"/>
              </w:rPr>
              <w:t>5 722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55C0141" w14:textId="6C8C90F1" w:rsidR="00DB1F86" w:rsidRPr="001160D6" w:rsidRDefault="00DB1F86" w:rsidP="00FF4D54">
            <w:pPr>
              <w:jc w:val="right"/>
              <w:rPr>
                <w:color w:val="000000"/>
                <w:sz w:val="21"/>
                <w:szCs w:val="21"/>
                <w:lang w:val="es-AR" w:eastAsia="en-CA"/>
              </w:rPr>
            </w:pPr>
            <w:r w:rsidRPr="001160D6">
              <w:rPr>
                <w:color w:val="000000"/>
                <w:sz w:val="21"/>
                <w:szCs w:val="21"/>
                <w:lang w:val="es-AR"/>
              </w:rPr>
              <w:t>34</w:t>
            </w:r>
            <w:r w:rsidR="007120E8" w:rsidRPr="001160D6">
              <w:rPr>
                <w:color w:val="000000"/>
                <w:sz w:val="21"/>
                <w:szCs w:val="21"/>
                <w:lang w:val="es-AR"/>
              </w:rPr>
              <w:t>8 219</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05A8D00B" w14:textId="11A0DC53" w:rsidR="00DB1F86" w:rsidRPr="001160D6" w:rsidRDefault="00DB1F86" w:rsidP="00FF4D54">
            <w:pPr>
              <w:jc w:val="right"/>
              <w:rPr>
                <w:color w:val="000000"/>
                <w:sz w:val="21"/>
                <w:szCs w:val="21"/>
                <w:lang w:val="es-AR" w:eastAsia="en-CA"/>
              </w:rPr>
            </w:pPr>
            <w:r w:rsidRPr="001160D6">
              <w:rPr>
                <w:color w:val="000000"/>
                <w:sz w:val="21"/>
                <w:szCs w:val="21"/>
                <w:lang w:val="es-AR"/>
              </w:rPr>
              <w:t>17</w:t>
            </w:r>
            <w:r w:rsidR="007120E8" w:rsidRPr="001160D6">
              <w:rPr>
                <w:color w:val="000000"/>
                <w:sz w:val="21"/>
                <w:szCs w:val="21"/>
                <w:lang w:val="es-AR"/>
              </w:rPr>
              <w:t>4 110</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3841D6AA" w14:textId="2F91F3F1" w:rsidR="00DB1F86" w:rsidRPr="001160D6" w:rsidRDefault="00DB1F86" w:rsidP="00FF4D54">
            <w:pPr>
              <w:jc w:val="right"/>
              <w:rPr>
                <w:color w:val="000000"/>
                <w:sz w:val="21"/>
                <w:szCs w:val="21"/>
                <w:lang w:val="es-AR" w:eastAsia="en-CA"/>
              </w:rPr>
            </w:pPr>
            <w:r w:rsidRPr="001160D6">
              <w:rPr>
                <w:color w:val="000000"/>
                <w:sz w:val="21"/>
                <w:szCs w:val="21"/>
                <w:lang w:val="es-AR"/>
              </w:rPr>
              <w:t>1</w:t>
            </w:r>
            <w:r w:rsidR="007120E8" w:rsidRPr="001160D6">
              <w:rPr>
                <w:color w:val="000000"/>
                <w:sz w:val="21"/>
                <w:szCs w:val="21"/>
                <w:lang w:val="es-AR"/>
              </w:rPr>
              <w:t>3 393</w:t>
            </w:r>
          </w:p>
        </w:tc>
      </w:tr>
    </w:tbl>
    <w:p w14:paraId="1A305F53" w14:textId="09C7538D" w:rsidR="00DB1F86" w:rsidRPr="001160D6" w:rsidRDefault="00DB1F86" w:rsidP="00DB1F86">
      <w:pPr>
        <w:rPr>
          <w:sz w:val="20"/>
          <w:szCs w:val="20"/>
          <w:lang w:val="es-AR"/>
        </w:rPr>
      </w:pPr>
      <w:r w:rsidRPr="001160D6">
        <w:rPr>
          <w:sz w:val="20"/>
          <w:szCs w:val="20"/>
          <w:lang w:val="es-AR"/>
        </w:rPr>
        <w:t xml:space="preserve">* </w:t>
      </w:r>
      <w:r w:rsidR="00E647A3" w:rsidRPr="001160D6">
        <w:rPr>
          <w:sz w:val="20"/>
          <w:szCs w:val="20"/>
          <w:lang w:val="es-AR"/>
        </w:rPr>
        <w:t xml:space="preserve">Principales </w:t>
      </w:r>
      <w:r w:rsidR="007120E8" w:rsidRPr="001160D6">
        <w:rPr>
          <w:sz w:val="20"/>
          <w:szCs w:val="20"/>
          <w:lang w:val="es-AR"/>
        </w:rPr>
        <w:t>HCFC</w:t>
      </w:r>
      <w:r w:rsidRPr="001160D6">
        <w:rPr>
          <w:sz w:val="20"/>
          <w:szCs w:val="20"/>
          <w:lang w:val="es-AR"/>
        </w:rPr>
        <w:t xml:space="preserve"> consumi</w:t>
      </w:r>
      <w:r w:rsidR="00E647A3" w:rsidRPr="001160D6">
        <w:rPr>
          <w:sz w:val="20"/>
          <w:szCs w:val="20"/>
          <w:lang w:val="es-AR"/>
        </w:rPr>
        <w:t>dos</w:t>
      </w:r>
      <w:r w:rsidR="00684461" w:rsidRPr="001160D6">
        <w:rPr>
          <w:sz w:val="20"/>
          <w:szCs w:val="20"/>
          <w:lang w:val="es-AR"/>
        </w:rPr>
        <w:t>,</w:t>
      </w:r>
      <w:r w:rsidR="00E647A3" w:rsidRPr="001160D6">
        <w:rPr>
          <w:sz w:val="20"/>
          <w:szCs w:val="20"/>
          <w:lang w:val="es-AR"/>
        </w:rPr>
        <w:t xml:space="preserve"> lo que representa más del </w:t>
      </w:r>
      <w:r w:rsidRPr="001160D6">
        <w:rPr>
          <w:sz w:val="20"/>
          <w:szCs w:val="20"/>
          <w:lang w:val="es-AR"/>
        </w:rPr>
        <w:t>9</w:t>
      </w:r>
      <w:r w:rsidR="007120E8" w:rsidRPr="001160D6">
        <w:rPr>
          <w:sz w:val="20"/>
          <w:szCs w:val="20"/>
          <w:lang w:val="es-AR"/>
        </w:rPr>
        <w:t>9,0</w:t>
      </w:r>
      <w:r w:rsidRPr="001160D6">
        <w:rPr>
          <w:sz w:val="20"/>
          <w:szCs w:val="20"/>
          <w:lang w:val="es-AR"/>
        </w:rPr>
        <w:t xml:space="preserve"> por ciento de la </w:t>
      </w:r>
      <w:r w:rsidR="00FF4D54" w:rsidRPr="001160D6">
        <w:rPr>
          <w:sz w:val="20"/>
          <w:szCs w:val="20"/>
          <w:lang w:val="es-AR"/>
        </w:rPr>
        <w:t>base</w:t>
      </w:r>
      <w:r w:rsidR="00684461" w:rsidRPr="001160D6">
        <w:rPr>
          <w:sz w:val="20"/>
          <w:szCs w:val="20"/>
          <w:lang w:val="es-AR"/>
        </w:rPr>
        <w:t xml:space="preserve"> de referencia</w:t>
      </w:r>
      <w:r w:rsidRPr="001160D6">
        <w:rPr>
          <w:sz w:val="20"/>
          <w:szCs w:val="20"/>
          <w:lang w:val="es-AR"/>
        </w:rPr>
        <w:t xml:space="preserve"> agregada</w:t>
      </w:r>
    </w:p>
    <w:p w14:paraId="4CC5B012" w14:textId="77777777" w:rsidR="00DB1F86" w:rsidRPr="001160D6" w:rsidRDefault="00DB1F86" w:rsidP="00DB1F86">
      <w:pPr>
        <w:pStyle w:val="Heading1"/>
        <w:numPr>
          <w:ilvl w:val="0"/>
          <w:numId w:val="0"/>
        </w:numPr>
        <w:rPr>
          <w:lang w:val="es-AR"/>
        </w:rPr>
      </w:pPr>
    </w:p>
    <w:p w14:paraId="57006FDD" w14:textId="3024EA18" w:rsidR="00DB1F86" w:rsidRPr="001160D6" w:rsidRDefault="00E647A3" w:rsidP="00E647A3">
      <w:pPr>
        <w:pStyle w:val="Heading1"/>
        <w:numPr>
          <w:ilvl w:val="0"/>
          <w:numId w:val="0"/>
        </w:numPr>
        <w:rPr>
          <w:lang w:val="es-AR"/>
        </w:rPr>
      </w:pPr>
      <w:r w:rsidRPr="001160D6">
        <w:rPr>
          <w:lang w:val="es-AR"/>
        </w:rPr>
        <w:t>11.</w:t>
      </w:r>
      <w:r w:rsidRPr="001160D6">
        <w:rPr>
          <w:lang w:val="es-AR"/>
        </w:rPr>
        <w:tab/>
      </w:r>
      <w:r w:rsidR="00DB1F86" w:rsidRPr="001160D6">
        <w:rPr>
          <w:lang w:val="es-AR"/>
        </w:rPr>
        <w:t xml:space="preserve">El </w:t>
      </w:r>
      <w:r w:rsidR="007120E8" w:rsidRPr="001160D6">
        <w:rPr>
          <w:lang w:val="es-AR"/>
        </w:rPr>
        <w:t>Comité Ejecutivo aprobó</w:t>
      </w:r>
      <w:r w:rsidR="00DB1F86" w:rsidRPr="001160D6">
        <w:rPr>
          <w:lang w:val="es-AR"/>
        </w:rPr>
        <w:t xml:space="preserve"> la financiación para elimina</w:t>
      </w:r>
      <w:r w:rsidRPr="001160D6">
        <w:rPr>
          <w:lang w:val="es-AR"/>
        </w:rPr>
        <w:t xml:space="preserve">r </w:t>
      </w:r>
      <w:r w:rsidR="007120E8" w:rsidRPr="001160D6">
        <w:rPr>
          <w:lang w:val="es-AR"/>
        </w:rPr>
        <w:t>HCFC</w:t>
      </w:r>
      <w:r w:rsidR="00DB1F86" w:rsidRPr="001160D6">
        <w:rPr>
          <w:lang w:val="es-AR"/>
        </w:rPr>
        <w:t xml:space="preserve"> en 144 países del </w:t>
      </w:r>
      <w:r w:rsidR="007120E8" w:rsidRPr="001160D6">
        <w:rPr>
          <w:lang w:val="es-AR"/>
        </w:rPr>
        <w:t>Artículo</w:t>
      </w:r>
      <w:r w:rsidR="00DB1F86" w:rsidRPr="001160D6">
        <w:rPr>
          <w:lang w:val="es-AR"/>
        </w:rPr>
        <w:t xml:space="preserve"> 5,</w:t>
      </w:r>
      <w:r w:rsidR="00DB1F86" w:rsidRPr="001160D6">
        <w:rPr>
          <w:rStyle w:val="FootnoteReference"/>
          <w:lang w:val="es-AR"/>
        </w:rPr>
        <w:footnoteReference w:id="20"/>
      </w:r>
      <w:r w:rsidR="00DB1F86" w:rsidRPr="001160D6">
        <w:rPr>
          <w:lang w:val="es-AR"/>
        </w:rPr>
        <w:t xml:space="preserve"> principalmente</w:t>
      </w:r>
      <w:r w:rsidRPr="001160D6">
        <w:rPr>
          <w:lang w:val="es-AR"/>
        </w:rPr>
        <w:t xml:space="preserve"> mediante </w:t>
      </w:r>
      <w:r w:rsidR="00DB1F86" w:rsidRPr="001160D6">
        <w:rPr>
          <w:lang w:val="es-AR"/>
        </w:rPr>
        <w:t xml:space="preserve">planes de gestión de eliminación de </w:t>
      </w:r>
      <w:r w:rsidR="00684461" w:rsidRPr="001160D6">
        <w:rPr>
          <w:lang w:val="es-AR"/>
        </w:rPr>
        <w:t>esas sustancias</w:t>
      </w:r>
      <w:r w:rsidR="00DB1F86" w:rsidRPr="001160D6">
        <w:rPr>
          <w:lang w:val="es-AR"/>
        </w:rPr>
        <w:t xml:space="preserve">. </w:t>
      </w:r>
      <w:r w:rsidR="007120E8" w:rsidRPr="001160D6">
        <w:rPr>
          <w:lang w:val="es-AR"/>
        </w:rPr>
        <w:t>Hasta el momento</w:t>
      </w:r>
      <w:r w:rsidR="00DB1F86" w:rsidRPr="001160D6">
        <w:rPr>
          <w:lang w:val="es-AR"/>
        </w:rPr>
        <w:t xml:space="preserve">, </w:t>
      </w:r>
      <w:r w:rsidR="007120E8" w:rsidRPr="001160D6">
        <w:rPr>
          <w:lang w:val="es-AR"/>
        </w:rPr>
        <w:t>la ejecución</w:t>
      </w:r>
      <w:r w:rsidR="00DB1F86" w:rsidRPr="001160D6">
        <w:rPr>
          <w:lang w:val="es-AR"/>
        </w:rPr>
        <w:t xml:space="preserve"> de los planes de gestión de eliminación de </w:t>
      </w:r>
      <w:r w:rsidR="007120E8" w:rsidRPr="001160D6">
        <w:rPr>
          <w:lang w:val="es-AR"/>
        </w:rPr>
        <w:t>los HCFC</w:t>
      </w:r>
      <w:r w:rsidR="00DB1F86" w:rsidRPr="001160D6">
        <w:rPr>
          <w:lang w:val="es-AR"/>
        </w:rPr>
        <w:t xml:space="preserve"> aprobados ha dado lugar a la </w:t>
      </w:r>
      <w:r w:rsidRPr="001160D6">
        <w:rPr>
          <w:lang w:val="es-AR"/>
        </w:rPr>
        <w:t>reducción del consumo de los HCFC</w:t>
      </w:r>
      <w:r w:rsidR="00DB1F86" w:rsidRPr="001160D6">
        <w:rPr>
          <w:lang w:val="es-AR"/>
        </w:rPr>
        <w:t xml:space="preserve"> </w:t>
      </w:r>
      <w:r w:rsidR="00684461" w:rsidRPr="001160D6">
        <w:rPr>
          <w:lang w:val="es-AR"/>
        </w:rPr>
        <w:t xml:space="preserve">con suficiente antelación </w:t>
      </w:r>
      <w:r w:rsidR="00DB1F86" w:rsidRPr="001160D6">
        <w:rPr>
          <w:lang w:val="es-AR"/>
        </w:rPr>
        <w:t xml:space="preserve">de los niveles </w:t>
      </w:r>
      <w:r w:rsidR="00684461" w:rsidRPr="001160D6">
        <w:rPr>
          <w:lang w:val="es-AR"/>
        </w:rPr>
        <w:t xml:space="preserve">permitidos según </w:t>
      </w:r>
      <w:r w:rsidR="002300DB" w:rsidRPr="001160D6">
        <w:rPr>
          <w:lang w:val="es-AR"/>
        </w:rPr>
        <w:t>el Protocolo</w:t>
      </w:r>
      <w:r w:rsidR="00DB1F86" w:rsidRPr="001160D6">
        <w:rPr>
          <w:lang w:val="es-AR"/>
        </w:rPr>
        <w:t xml:space="preserve">. Por ejemplo, </w:t>
      </w:r>
      <w:r w:rsidR="00F7104A" w:rsidRPr="001160D6">
        <w:rPr>
          <w:lang w:val="es-AR"/>
        </w:rPr>
        <w:t xml:space="preserve">en 2019 </w:t>
      </w:r>
      <w:r w:rsidR="00DB1F86" w:rsidRPr="001160D6">
        <w:rPr>
          <w:lang w:val="es-AR"/>
        </w:rPr>
        <w:t xml:space="preserve">el consumo </w:t>
      </w:r>
      <w:r w:rsidR="00F7104A" w:rsidRPr="001160D6">
        <w:rPr>
          <w:lang w:val="es-AR"/>
        </w:rPr>
        <w:t xml:space="preserve">agregado </w:t>
      </w:r>
      <w:r w:rsidR="00DB1F86" w:rsidRPr="001160D6">
        <w:rPr>
          <w:lang w:val="es-AR"/>
        </w:rPr>
        <w:t xml:space="preserve">de </w:t>
      </w:r>
      <w:r w:rsidR="007120E8" w:rsidRPr="001160D6">
        <w:rPr>
          <w:lang w:val="es-AR"/>
        </w:rPr>
        <w:t>los HCFC</w:t>
      </w:r>
      <w:r w:rsidR="00DB1F86" w:rsidRPr="001160D6">
        <w:rPr>
          <w:lang w:val="es-AR"/>
        </w:rPr>
        <w:t xml:space="preserve"> (35</w:t>
      </w:r>
      <w:r w:rsidR="007120E8" w:rsidRPr="001160D6">
        <w:rPr>
          <w:lang w:val="es-AR"/>
        </w:rPr>
        <w:t>8 511</w:t>
      </w:r>
      <w:r w:rsidR="00DB1F86" w:rsidRPr="001160D6">
        <w:rPr>
          <w:lang w:val="es-AR"/>
        </w:rPr>
        <w:t> </w:t>
      </w:r>
      <w:proofErr w:type="spellStart"/>
      <w:r w:rsidR="008631D0" w:rsidRPr="001160D6">
        <w:rPr>
          <w:lang w:val="es-AR"/>
        </w:rPr>
        <w:t>tm</w:t>
      </w:r>
      <w:proofErr w:type="spellEnd"/>
      <w:r w:rsidR="00DB1F86" w:rsidRPr="001160D6">
        <w:rPr>
          <w:lang w:val="es-AR"/>
        </w:rPr>
        <w:t xml:space="preserve">) representó el 67 por ciento de la </w:t>
      </w:r>
      <w:r w:rsidR="00832BBD" w:rsidRPr="001160D6">
        <w:rPr>
          <w:lang w:val="es-AR"/>
        </w:rPr>
        <w:t xml:space="preserve">base </w:t>
      </w:r>
      <w:r w:rsidR="00684461" w:rsidRPr="001160D6">
        <w:rPr>
          <w:lang w:val="es-AR"/>
        </w:rPr>
        <w:t xml:space="preserve">de referencia </w:t>
      </w:r>
      <w:r w:rsidR="00832BBD" w:rsidRPr="001160D6">
        <w:rPr>
          <w:lang w:val="es-AR"/>
        </w:rPr>
        <w:t>agregada de</w:t>
      </w:r>
      <w:r w:rsidR="00DB1F86" w:rsidRPr="001160D6">
        <w:rPr>
          <w:lang w:val="es-AR"/>
        </w:rPr>
        <w:t> </w:t>
      </w:r>
      <w:r w:rsidR="007120E8" w:rsidRPr="001160D6">
        <w:rPr>
          <w:lang w:val="es-AR"/>
        </w:rPr>
        <w:t>los HCFC</w:t>
      </w:r>
      <w:r w:rsidR="00DB1F86" w:rsidRPr="001160D6">
        <w:rPr>
          <w:lang w:val="es-AR"/>
        </w:rPr>
        <w:t xml:space="preserve"> y era 12</w:t>
      </w:r>
      <w:r w:rsidR="007120E8" w:rsidRPr="001160D6">
        <w:rPr>
          <w:lang w:val="es-AR"/>
        </w:rPr>
        <w:t>3 639</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más baj</w:t>
      </w:r>
      <w:r w:rsidR="00832BBD" w:rsidRPr="001160D6">
        <w:rPr>
          <w:lang w:val="es-AR"/>
        </w:rPr>
        <w:t>o</w:t>
      </w:r>
      <w:r w:rsidR="00DB1F86" w:rsidRPr="001160D6">
        <w:rPr>
          <w:lang w:val="es-AR"/>
        </w:rPr>
        <w:t xml:space="preserve"> que el nivel </w:t>
      </w:r>
      <w:r w:rsidR="007120E8" w:rsidRPr="001160D6">
        <w:rPr>
          <w:lang w:val="es-AR"/>
        </w:rPr>
        <w:t xml:space="preserve">de consumo </w:t>
      </w:r>
      <w:r w:rsidR="00684461" w:rsidRPr="001160D6">
        <w:rPr>
          <w:lang w:val="es-AR"/>
        </w:rPr>
        <w:t xml:space="preserve">permitido </w:t>
      </w:r>
      <w:r w:rsidR="00DB1F86" w:rsidRPr="001160D6">
        <w:rPr>
          <w:lang w:val="es-AR"/>
        </w:rPr>
        <w:t>p</w:t>
      </w:r>
      <w:r w:rsidR="00832BBD" w:rsidRPr="001160D6">
        <w:rPr>
          <w:lang w:val="es-AR"/>
        </w:rPr>
        <w:t>ara</w:t>
      </w:r>
      <w:r w:rsidR="00DB1F86" w:rsidRPr="001160D6">
        <w:rPr>
          <w:lang w:val="es-AR"/>
        </w:rPr>
        <w:t xml:space="preserve"> ese año </w:t>
      </w:r>
      <w:r w:rsidR="001160D6">
        <w:rPr>
          <w:lang w:val="es-AR"/>
        </w:rPr>
        <w:br/>
      </w:r>
      <w:r w:rsidR="00DB1F86" w:rsidRPr="001160D6">
        <w:rPr>
          <w:lang w:val="es-AR"/>
        </w:rPr>
        <w:t>(48</w:t>
      </w:r>
      <w:r w:rsidR="007120E8" w:rsidRPr="001160D6">
        <w:rPr>
          <w:lang w:val="es-AR"/>
        </w:rPr>
        <w:t>2 150</w:t>
      </w:r>
      <w:r w:rsidR="00DB1F86" w:rsidRPr="001160D6">
        <w:rPr>
          <w:lang w:val="es-AR"/>
        </w:rPr>
        <w:t> </w:t>
      </w:r>
      <w:proofErr w:type="spellStart"/>
      <w:r w:rsidR="008631D0" w:rsidRPr="001160D6">
        <w:rPr>
          <w:lang w:val="es-AR"/>
        </w:rPr>
        <w:t>tm</w:t>
      </w:r>
      <w:proofErr w:type="spellEnd"/>
      <w:r w:rsidR="00DB1F86" w:rsidRPr="001160D6">
        <w:rPr>
          <w:lang w:val="es-AR"/>
        </w:rPr>
        <w:t xml:space="preserve">), </w:t>
      </w:r>
      <w:r w:rsidR="007120E8" w:rsidRPr="001160D6">
        <w:rPr>
          <w:lang w:val="es-AR"/>
        </w:rPr>
        <w:t>como</w:t>
      </w:r>
      <w:r w:rsidR="00DB1F86" w:rsidRPr="001160D6">
        <w:rPr>
          <w:lang w:val="es-AR"/>
        </w:rPr>
        <w:t xml:space="preserve"> </w:t>
      </w:r>
      <w:r w:rsidR="00FF4D54" w:rsidRPr="001160D6">
        <w:rPr>
          <w:lang w:val="es-AR"/>
        </w:rPr>
        <w:t>se indica</w:t>
      </w:r>
      <w:r w:rsidR="00DB1F86" w:rsidRPr="001160D6">
        <w:rPr>
          <w:lang w:val="es-AR"/>
        </w:rPr>
        <w:t xml:space="preserve"> </w:t>
      </w:r>
      <w:r w:rsidR="008631D0" w:rsidRPr="001160D6">
        <w:rPr>
          <w:lang w:val="es-AR"/>
        </w:rPr>
        <w:t>en el Cuadro</w:t>
      </w:r>
      <w:r w:rsidR="00DB1F86" w:rsidRPr="001160D6">
        <w:rPr>
          <w:lang w:val="es-AR"/>
        </w:rPr>
        <w:t xml:space="preserve"> 2.</w:t>
      </w:r>
    </w:p>
    <w:p w14:paraId="46D05C82" w14:textId="4330FE02" w:rsidR="00DB1F86" w:rsidRPr="001160D6" w:rsidRDefault="00832BBD" w:rsidP="00482916">
      <w:pPr>
        <w:pStyle w:val="ListParagraph"/>
        <w:keepNext/>
        <w:keepLines/>
        <w:ind w:left="0"/>
        <w:rPr>
          <w:b/>
          <w:bCs/>
          <w:sz w:val="21"/>
          <w:szCs w:val="21"/>
          <w:lang w:val="es-AR"/>
        </w:rPr>
      </w:pPr>
      <w:r w:rsidRPr="001160D6">
        <w:rPr>
          <w:b/>
          <w:bCs/>
          <w:sz w:val="21"/>
          <w:szCs w:val="21"/>
          <w:lang w:val="es-AR"/>
        </w:rPr>
        <w:lastRenderedPageBreak/>
        <w:t xml:space="preserve">Cuadro 2. </w:t>
      </w:r>
      <w:r w:rsidR="00DB1F86" w:rsidRPr="001160D6">
        <w:rPr>
          <w:b/>
          <w:bCs/>
          <w:sz w:val="21"/>
          <w:szCs w:val="21"/>
          <w:lang w:val="es-AR"/>
        </w:rPr>
        <w:t xml:space="preserve">Consumo de </w:t>
      </w:r>
      <w:r w:rsidR="007120E8" w:rsidRPr="001160D6">
        <w:rPr>
          <w:b/>
          <w:bCs/>
          <w:sz w:val="21"/>
          <w:szCs w:val="21"/>
          <w:lang w:val="es-AR"/>
        </w:rPr>
        <w:t xml:space="preserve">los </w:t>
      </w:r>
      <w:r w:rsidR="00DB1F86" w:rsidRPr="001160D6">
        <w:rPr>
          <w:b/>
          <w:bCs/>
          <w:sz w:val="21"/>
          <w:szCs w:val="21"/>
          <w:lang w:val="es-AR"/>
        </w:rPr>
        <w:t xml:space="preserve">tres </w:t>
      </w:r>
      <w:r w:rsidR="007120E8" w:rsidRPr="001160D6">
        <w:rPr>
          <w:b/>
          <w:bCs/>
          <w:sz w:val="21"/>
          <w:szCs w:val="21"/>
          <w:lang w:val="es-AR"/>
        </w:rPr>
        <w:t>HCFC</w:t>
      </w:r>
      <w:r w:rsidR="00DB1F86" w:rsidRPr="001160D6">
        <w:rPr>
          <w:b/>
          <w:bCs/>
          <w:sz w:val="21"/>
          <w:szCs w:val="21"/>
          <w:lang w:val="es-AR"/>
        </w:rPr>
        <w:t xml:space="preserve"> principal</w:t>
      </w:r>
      <w:r w:rsidR="00684461" w:rsidRPr="001160D6">
        <w:rPr>
          <w:b/>
          <w:bCs/>
          <w:sz w:val="21"/>
          <w:szCs w:val="21"/>
          <w:lang w:val="es-AR"/>
        </w:rPr>
        <w:t>es</w:t>
      </w:r>
      <w:r w:rsidR="00DB1F86" w:rsidRPr="001160D6">
        <w:rPr>
          <w:b/>
          <w:bCs/>
          <w:sz w:val="21"/>
          <w:szCs w:val="21"/>
          <w:lang w:val="es-AR"/>
        </w:rPr>
        <w:t xml:space="preserve"> (</w:t>
      </w:r>
      <w:proofErr w:type="spellStart"/>
      <w:r w:rsidR="008631D0" w:rsidRPr="001160D6">
        <w:rPr>
          <w:b/>
          <w:bCs/>
          <w:sz w:val="21"/>
          <w:szCs w:val="21"/>
          <w:lang w:val="es-AR"/>
        </w:rPr>
        <w:t>tm</w:t>
      </w:r>
      <w:proofErr w:type="spellEnd"/>
      <w:r w:rsidR="00DB1F86" w:rsidRPr="001160D6">
        <w:rPr>
          <w:b/>
          <w:bCs/>
          <w:sz w:val="21"/>
          <w:szCs w:val="21"/>
          <w:lang w:val="es-AR"/>
        </w:rPr>
        <w:t>)</w:t>
      </w: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02"/>
        <w:gridCol w:w="1003"/>
        <w:gridCol w:w="1003"/>
        <w:gridCol w:w="1003"/>
        <w:gridCol w:w="1003"/>
        <w:gridCol w:w="1003"/>
        <w:gridCol w:w="1003"/>
        <w:gridCol w:w="978"/>
      </w:tblGrid>
      <w:tr w:rsidR="001160D6" w:rsidRPr="00EB2CAE" w14:paraId="20EA2463" w14:textId="77777777" w:rsidTr="001160D6">
        <w:trPr>
          <w:trHeight w:val="105"/>
          <w:tblHeader/>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4279BE4B" w14:textId="77777777" w:rsidR="001160D6" w:rsidRPr="001160D6" w:rsidRDefault="001160D6" w:rsidP="00FF4D54">
            <w:pPr>
              <w:rPr>
                <w:b/>
                <w:bCs/>
                <w:sz w:val="20"/>
                <w:szCs w:val="20"/>
                <w:lang w:val="es-AR" w:eastAsia="en-CA"/>
              </w:rPr>
            </w:pPr>
            <w:r w:rsidRPr="001160D6">
              <w:rPr>
                <w:b/>
                <w:bCs/>
                <w:sz w:val="20"/>
                <w:szCs w:val="20"/>
                <w:lang w:val="es-AR"/>
              </w:rPr>
              <w:t>Consumo</w:t>
            </w:r>
          </w:p>
        </w:tc>
        <w:tc>
          <w:tcPr>
            <w:tcW w:w="100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3861FA2" w14:textId="578F7FE4" w:rsidR="001160D6" w:rsidRPr="001160D6" w:rsidRDefault="001160D6" w:rsidP="00FF4D54">
            <w:pPr>
              <w:jc w:val="center"/>
              <w:rPr>
                <w:b/>
                <w:bCs/>
                <w:sz w:val="20"/>
                <w:szCs w:val="20"/>
                <w:lang w:val="es-AR" w:eastAsia="en-CA"/>
              </w:rPr>
            </w:pPr>
            <w:r w:rsidRPr="001160D6">
              <w:rPr>
                <w:b/>
                <w:bCs/>
                <w:sz w:val="20"/>
                <w:szCs w:val="20"/>
                <w:lang w:val="es-AR"/>
              </w:rPr>
              <w:t>Base</w:t>
            </w:r>
          </w:p>
        </w:tc>
        <w:tc>
          <w:tcPr>
            <w:tcW w:w="1003"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hideMark/>
          </w:tcPr>
          <w:p w14:paraId="5B786244" w14:textId="77777777" w:rsidR="001160D6" w:rsidRPr="001160D6" w:rsidRDefault="001160D6" w:rsidP="00FF4D54">
            <w:pPr>
              <w:jc w:val="center"/>
              <w:rPr>
                <w:b/>
                <w:bCs/>
                <w:sz w:val="20"/>
                <w:szCs w:val="20"/>
                <w:lang w:val="es-AR" w:eastAsia="en-CA"/>
              </w:rPr>
            </w:pPr>
            <w:r w:rsidRPr="001160D6">
              <w:rPr>
                <w:b/>
                <w:bCs/>
                <w:sz w:val="20"/>
                <w:szCs w:val="20"/>
                <w:lang w:val="es-AR"/>
              </w:rPr>
              <w:t>2014</w:t>
            </w:r>
          </w:p>
        </w:tc>
        <w:tc>
          <w:tcPr>
            <w:tcW w:w="1003"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hideMark/>
          </w:tcPr>
          <w:p w14:paraId="345EB16E" w14:textId="77777777" w:rsidR="001160D6" w:rsidRPr="001160D6" w:rsidRDefault="001160D6" w:rsidP="00FF4D54">
            <w:pPr>
              <w:jc w:val="center"/>
              <w:rPr>
                <w:b/>
                <w:bCs/>
                <w:sz w:val="20"/>
                <w:szCs w:val="20"/>
                <w:lang w:val="es-AR" w:eastAsia="en-CA"/>
              </w:rPr>
            </w:pPr>
            <w:r w:rsidRPr="001160D6">
              <w:rPr>
                <w:b/>
                <w:bCs/>
                <w:sz w:val="20"/>
                <w:szCs w:val="20"/>
                <w:lang w:val="es-AR"/>
              </w:rPr>
              <w:t>2015</w:t>
            </w:r>
          </w:p>
        </w:tc>
        <w:tc>
          <w:tcPr>
            <w:tcW w:w="1003"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hideMark/>
          </w:tcPr>
          <w:p w14:paraId="2FC9A3ED" w14:textId="6FC574E5" w:rsidR="001160D6" w:rsidRPr="001160D6" w:rsidRDefault="001160D6" w:rsidP="00FF4D54">
            <w:pPr>
              <w:jc w:val="center"/>
              <w:rPr>
                <w:b/>
                <w:bCs/>
                <w:sz w:val="20"/>
                <w:szCs w:val="20"/>
                <w:lang w:val="es-AR" w:eastAsia="en-CA"/>
              </w:rPr>
            </w:pPr>
            <w:r w:rsidRPr="001160D6">
              <w:rPr>
                <w:b/>
                <w:bCs/>
                <w:sz w:val="20"/>
                <w:szCs w:val="20"/>
                <w:lang w:val="es-AR"/>
              </w:rPr>
              <w:t>2016</w:t>
            </w:r>
          </w:p>
        </w:tc>
        <w:tc>
          <w:tcPr>
            <w:tcW w:w="1003"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hideMark/>
          </w:tcPr>
          <w:p w14:paraId="65A28234" w14:textId="77777777" w:rsidR="001160D6" w:rsidRPr="001160D6" w:rsidRDefault="001160D6" w:rsidP="00FF4D54">
            <w:pPr>
              <w:jc w:val="center"/>
              <w:rPr>
                <w:b/>
                <w:bCs/>
                <w:sz w:val="20"/>
                <w:szCs w:val="20"/>
                <w:lang w:val="es-AR" w:eastAsia="en-CA"/>
              </w:rPr>
            </w:pPr>
            <w:r w:rsidRPr="001160D6">
              <w:rPr>
                <w:b/>
                <w:bCs/>
                <w:sz w:val="20"/>
                <w:szCs w:val="20"/>
                <w:lang w:val="es-AR"/>
              </w:rPr>
              <w:t>2017</w:t>
            </w:r>
          </w:p>
        </w:tc>
        <w:tc>
          <w:tcPr>
            <w:tcW w:w="1003"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669ED31" w14:textId="77777777" w:rsidR="001160D6" w:rsidRPr="001160D6" w:rsidRDefault="001160D6" w:rsidP="00FF4D54">
            <w:pPr>
              <w:jc w:val="center"/>
              <w:rPr>
                <w:b/>
                <w:bCs/>
                <w:sz w:val="20"/>
                <w:szCs w:val="20"/>
                <w:lang w:val="es-AR" w:eastAsia="en-CA"/>
              </w:rPr>
            </w:pPr>
            <w:r w:rsidRPr="001160D6">
              <w:rPr>
                <w:b/>
                <w:bCs/>
                <w:sz w:val="20"/>
                <w:szCs w:val="20"/>
                <w:lang w:val="es-AR"/>
              </w:rPr>
              <w:t>2018</w:t>
            </w:r>
          </w:p>
        </w:tc>
        <w:tc>
          <w:tcPr>
            <w:tcW w:w="100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BD44A5" w14:textId="77777777" w:rsidR="001160D6" w:rsidRPr="001160D6" w:rsidRDefault="001160D6" w:rsidP="00FF4D54">
            <w:pPr>
              <w:jc w:val="center"/>
              <w:rPr>
                <w:b/>
                <w:bCs/>
                <w:sz w:val="20"/>
                <w:szCs w:val="20"/>
                <w:lang w:val="es-AR" w:eastAsia="en-CA"/>
              </w:rPr>
            </w:pPr>
            <w:r w:rsidRPr="001160D6">
              <w:rPr>
                <w:b/>
                <w:bCs/>
                <w:sz w:val="20"/>
                <w:szCs w:val="20"/>
                <w:lang w:val="es-AR"/>
              </w:rPr>
              <w:t>2019</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FF5199" w14:textId="40A40682" w:rsidR="001160D6" w:rsidRPr="001160D6" w:rsidRDefault="001160D6" w:rsidP="00832BBD">
            <w:pPr>
              <w:jc w:val="center"/>
              <w:rPr>
                <w:b/>
                <w:bCs/>
                <w:sz w:val="20"/>
                <w:szCs w:val="20"/>
                <w:lang w:val="es-AR" w:eastAsia="en-CA"/>
              </w:rPr>
            </w:pPr>
            <w:r w:rsidRPr="001160D6">
              <w:rPr>
                <w:b/>
                <w:bCs/>
                <w:sz w:val="20"/>
                <w:szCs w:val="20"/>
                <w:lang w:val="es-AR"/>
              </w:rPr>
              <w:t>% de 2019 de la base de referencia</w:t>
            </w:r>
          </w:p>
        </w:tc>
      </w:tr>
      <w:tr w:rsidR="001160D6" w:rsidRPr="001160D6" w14:paraId="040F2ABB"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5182C095" w14:textId="067D2B58" w:rsidR="001160D6" w:rsidRPr="001160D6" w:rsidRDefault="001160D6" w:rsidP="00832BBD">
            <w:pPr>
              <w:rPr>
                <w:b/>
                <w:sz w:val="20"/>
                <w:szCs w:val="20"/>
                <w:lang w:val="es-AR" w:eastAsia="en-CA"/>
              </w:rPr>
            </w:pPr>
            <w:r>
              <w:rPr>
                <w:b/>
                <w:sz w:val="20"/>
                <w:szCs w:val="20"/>
                <w:lang w:val="es-AR"/>
              </w:rPr>
              <w:t>Informado</w:t>
            </w:r>
            <w:r w:rsidRPr="001160D6">
              <w:rPr>
                <w:b/>
                <w:sz w:val="20"/>
                <w:szCs w:val="20"/>
                <w:lang w:val="es-AR"/>
              </w:rPr>
              <w:t>*</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14:paraId="2022ED12" w14:textId="77777777"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tcPr>
          <w:p w14:paraId="76ED9651" w14:textId="77777777"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tcPr>
          <w:p w14:paraId="13AC85E8" w14:textId="77777777"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tcPr>
          <w:p w14:paraId="5C99DF16" w14:textId="15719BDA"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tcPr>
          <w:p w14:paraId="1610259D" w14:textId="77777777"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14:paraId="047FAA9E" w14:textId="77777777"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tcMar>
              <w:left w:w="29" w:type="dxa"/>
              <w:right w:w="29" w:type="dxa"/>
            </w:tcMar>
          </w:tcPr>
          <w:p w14:paraId="30C113D1" w14:textId="77777777" w:rsidR="001160D6" w:rsidRPr="001160D6" w:rsidRDefault="001160D6" w:rsidP="00FF4D54">
            <w:pPr>
              <w:jc w:val="right"/>
              <w:rPr>
                <w:sz w:val="20"/>
                <w:szCs w:val="20"/>
                <w:lang w:val="es-AR" w:eastAsia="en-CA"/>
              </w:rPr>
            </w:pP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7A21F70A" w14:textId="77777777" w:rsidR="001160D6" w:rsidRPr="001160D6" w:rsidRDefault="001160D6" w:rsidP="00FF4D54">
            <w:pPr>
              <w:jc w:val="right"/>
              <w:rPr>
                <w:sz w:val="20"/>
                <w:szCs w:val="20"/>
                <w:lang w:val="es-AR" w:eastAsia="en-CA"/>
              </w:rPr>
            </w:pPr>
          </w:p>
        </w:tc>
      </w:tr>
      <w:tr w:rsidR="001160D6" w:rsidRPr="001160D6" w14:paraId="78ABCE49"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54E6F138" w14:textId="5FBC5620" w:rsidR="001160D6" w:rsidRPr="001160D6" w:rsidRDefault="001160D6" w:rsidP="00832BBD">
            <w:pPr>
              <w:rPr>
                <w:color w:val="000000"/>
                <w:sz w:val="20"/>
                <w:szCs w:val="20"/>
                <w:lang w:val="es-AR"/>
              </w:rPr>
            </w:pPr>
            <w:r w:rsidRPr="001160D6">
              <w:rPr>
                <w:color w:val="000000"/>
                <w:sz w:val="20"/>
                <w:szCs w:val="20"/>
                <w:lang w:val="es-AR"/>
              </w:rPr>
              <w:t>HCFC-22</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3AC0CE68" w14:textId="6767BD32" w:rsidR="001160D6" w:rsidRPr="001160D6" w:rsidRDefault="001160D6" w:rsidP="00FF4D54">
            <w:pPr>
              <w:jc w:val="right"/>
              <w:rPr>
                <w:color w:val="000000"/>
                <w:sz w:val="20"/>
                <w:szCs w:val="20"/>
                <w:lang w:val="es-AR"/>
              </w:rPr>
            </w:pPr>
            <w:r w:rsidRPr="001160D6">
              <w:rPr>
                <w:sz w:val="20"/>
                <w:szCs w:val="20"/>
                <w:lang w:val="es-AR"/>
              </w:rPr>
              <w:t>394 655</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11BB3630" w14:textId="51728C93" w:rsidR="001160D6" w:rsidRPr="001160D6" w:rsidRDefault="001160D6" w:rsidP="00FF4D54">
            <w:pPr>
              <w:jc w:val="right"/>
              <w:rPr>
                <w:color w:val="000000"/>
                <w:sz w:val="20"/>
                <w:szCs w:val="20"/>
                <w:lang w:val="es-AR"/>
              </w:rPr>
            </w:pPr>
            <w:r w:rsidRPr="001160D6">
              <w:rPr>
                <w:sz w:val="20"/>
                <w:szCs w:val="20"/>
                <w:lang w:val="es-AR"/>
              </w:rPr>
              <w:t>341 207</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561A9113" w14:textId="0D425D8F" w:rsidR="001160D6" w:rsidRPr="001160D6" w:rsidRDefault="001160D6" w:rsidP="00FF4D54">
            <w:pPr>
              <w:jc w:val="right"/>
              <w:rPr>
                <w:color w:val="000000"/>
                <w:sz w:val="20"/>
                <w:szCs w:val="20"/>
                <w:lang w:val="es-AR"/>
              </w:rPr>
            </w:pPr>
            <w:r w:rsidRPr="001160D6">
              <w:rPr>
                <w:sz w:val="20"/>
                <w:szCs w:val="20"/>
                <w:lang w:val="es-AR"/>
              </w:rPr>
              <w:t>298 506</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543C643C" w14:textId="14C0E86C" w:rsidR="001160D6" w:rsidRPr="001160D6" w:rsidRDefault="001160D6" w:rsidP="00FF4D54">
            <w:pPr>
              <w:jc w:val="right"/>
              <w:rPr>
                <w:color w:val="000000"/>
                <w:sz w:val="20"/>
                <w:szCs w:val="20"/>
                <w:lang w:val="es-AR"/>
              </w:rPr>
            </w:pPr>
            <w:r w:rsidRPr="001160D6">
              <w:rPr>
                <w:sz w:val="20"/>
                <w:szCs w:val="20"/>
                <w:lang w:val="es-AR"/>
              </w:rPr>
              <w:t>301 003</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2BDE45F0" w14:textId="5E7E30BB" w:rsidR="001160D6" w:rsidRPr="001160D6" w:rsidRDefault="001160D6" w:rsidP="00FF4D54">
            <w:pPr>
              <w:jc w:val="right"/>
              <w:rPr>
                <w:color w:val="000000"/>
                <w:sz w:val="20"/>
                <w:szCs w:val="20"/>
                <w:lang w:val="es-AR"/>
              </w:rPr>
            </w:pPr>
            <w:r w:rsidRPr="001160D6">
              <w:rPr>
                <w:sz w:val="20"/>
                <w:szCs w:val="20"/>
                <w:lang w:val="es-AR"/>
              </w:rPr>
              <w:t>296 258</w:t>
            </w: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092DD07F" w14:textId="1F336B83" w:rsidR="001160D6" w:rsidRPr="001160D6" w:rsidRDefault="001160D6" w:rsidP="00FF4D54">
            <w:pPr>
              <w:jc w:val="right"/>
              <w:rPr>
                <w:color w:val="000000"/>
                <w:sz w:val="20"/>
                <w:szCs w:val="20"/>
                <w:lang w:val="es-AR"/>
              </w:rPr>
            </w:pPr>
            <w:r w:rsidRPr="001160D6">
              <w:rPr>
                <w:sz w:val="20"/>
                <w:szCs w:val="20"/>
                <w:lang w:val="es-AR"/>
              </w:rPr>
              <w:t>297 000</w:t>
            </w:r>
          </w:p>
        </w:tc>
        <w:tc>
          <w:tcPr>
            <w:tcW w:w="1003" w:type="dxa"/>
            <w:tcBorders>
              <w:top w:val="single" w:sz="4" w:space="0" w:color="auto"/>
              <w:left w:val="single" w:sz="4" w:space="0" w:color="auto"/>
              <w:bottom w:val="single" w:sz="4" w:space="0" w:color="auto"/>
              <w:right w:val="single" w:sz="4" w:space="0" w:color="auto"/>
            </w:tcBorders>
            <w:tcMar>
              <w:left w:w="29" w:type="dxa"/>
              <w:right w:w="115" w:type="dxa"/>
            </w:tcMar>
          </w:tcPr>
          <w:p w14:paraId="3DA4567A" w14:textId="506ADEB6" w:rsidR="001160D6" w:rsidRPr="001160D6" w:rsidRDefault="001160D6" w:rsidP="00FF4D54">
            <w:pPr>
              <w:jc w:val="right"/>
              <w:rPr>
                <w:sz w:val="20"/>
                <w:szCs w:val="20"/>
                <w:lang w:val="es-AR"/>
              </w:rPr>
            </w:pPr>
            <w:r w:rsidRPr="001160D6">
              <w:rPr>
                <w:sz w:val="20"/>
                <w:szCs w:val="20"/>
                <w:lang w:val="es-AR"/>
              </w:rPr>
              <w:t>291 787</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49664F4" w14:textId="39F29A3F" w:rsidR="001160D6" w:rsidRPr="001160D6" w:rsidRDefault="001160D6" w:rsidP="00FF4D54">
            <w:pPr>
              <w:jc w:val="right"/>
              <w:rPr>
                <w:color w:val="000000"/>
                <w:sz w:val="20"/>
                <w:szCs w:val="20"/>
                <w:lang w:val="es-AR"/>
              </w:rPr>
            </w:pPr>
            <w:r w:rsidRPr="001160D6">
              <w:rPr>
                <w:sz w:val="20"/>
                <w:szCs w:val="20"/>
                <w:lang w:val="es-AR"/>
              </w:rPr>
              <w:t>73,9</w:t>
            </w:r>
          </w:p>
        </w:tc>
      </w:tr>
      <w:tr w:rsidR="001160D6" w:rsidRPr="001160D6" w14:paraId="07F08532"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7215CB11" w14:textId="4337CBC0" w:rsidR="001160D6" w:rsidRPr="001160D6" w:rsidRDefault="001160D6" w:rsidP="00FF4D54">
            <w:pPr>
              <w:rPr>
                <w:color w:val="000000"/>
                <w:sz w:val="20"/>
                <w:szCs w:val="20"/>
                <w:lang w:val="es-AR"/>
              </w:rPr>
            </w:pPr>
            <w:r w:rsidRPr="001160D6">
              <w:rPr>
                <w:color w:val="000000"/>
                <w:sz w:val="20"/>
                <w:szCs w:val="20"/>
                <w:lang w:val="es-AR"/>
              </w:rPr>
              <w:t>HCFC-141b</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491C3174" w14:textId="65EE9B3A" w:rsidR="001160D6" w:rsidRPr="001160D6" w:rsidRDefault="001160D6" w:rsidP="00FF4D54">
            <w:pPr>
              <w:jc w:val="right"/>
              <w:rPr>
                <w:color w:val="000000"/>
                <w:sz w:val="20"/>
                <w:szCs w:val="20"/>
                <w:lang w:val="es-AR"/>
              </w:rPr>
            </w:pPr>
            <w:r w:rsidRPr="001160D6">
              <w:rPr>
                <w:sz w:val="20"/>
                <w:szCs w:val="20"/>
                <w:lang w:val="es-AR"/>
              </w:rPr>
              <w:t>107 872</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59A206BB" w14:textId="523AC14A" w:rsidR="001160D6" w:rsidRPr="001160D6" w:rsidRDefault="001160D6" w:rsidP="00FF4D54">
            <w:pPr>
              <w:jc w:val="right"/>
              <w:rPr>
                <w:color w:val="000000"/>
                <w:sz w:val="20"/>
                <w:szCs w:val="20"/>
                <w:lang w:val="es-AR"/>
              </w:rPr>
            </w:pPr>
            <w:r w:rsidRPr="001160D6">
              <w:rPr>
                <w:sz w:val="20"/>
                <w:szCs w:val="20"/>
                <w:lang w:val="es-AR"/>
              </w:rPr>
              <w:t>89 452</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37E91ABC" w14:textId="2C68AF66" w:rsidR="001160D6" w:rsidRPr="001160D6" w:rsidRDefault="001160D6" w:rsidP="00FF4D54">
            <w:pPr>
              <w:jc w:val="right"/>
              <w:rPr>
                <w:color w:val="000000"/>
                <w:sz w:val="20"/>
                <w:szCs w:val="20"/>
                <w:lang w:val="es-AR"/>
              </w:rPr>
            </w:pPr>
            <w:r w:rsidRPr="001160D6">
              <w:rPr>
                <w:sz w:val="20"/>
                <w:szCs w:val="20"/>
                <w:lang w:val="es-AR"/>
              </w:rPr>
              <w:t>69 091</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04B3803B" w14:textId="0DCDAFD6" w:rsidR="001160D6" w:rsidRPr="001160D6" w:rsidRDefault="001160D6" w:rsidP="00FF4D54">
            <w:pPr>
              <w:jc w:val="right"/>
              <w:rPr>
                <w:color w:val="000000"/>
                <w:sz w:val="20"/>
                <w:szCs w:val="20"/>
                <w:lang w:val="es-AR"/>
              </w:rPr>
            </w:pPr>
            <w:r w:rsidRPr="001160D6">
              <w:rPr>
                <w:sz w:val="20"/>
                <w:szCs w:val="20"/>
                <w:lang w:val="es-AR"/>
              </w:rPr>
              <w:t>65 103</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754B1A6B" w14:textId="727A9AA1" w:rsidR="001160D6" w:rsidRPr="001160D6" w:rsidRDefault="001160D6" w:rsidP="00FF4D54">
            <w:pPr>
              <w:jc w:val="right"/>
              <w:rPr>
                <w:color w:val="000000"/>
                <w:sz w:val="20"/>
                <w:szCs w:val="20"/>
                <w:lang w:val="es-AR"/>
              </w:rPr>
            </w:pPr>
            <w:r w:rsidRPr="001160D6">
              <w:rPr>
                <w:sz w:val="20"/>
                <w:szCs w:val="20"/>
                <w:lang w:val="es-AR"/>
              </w:rPr>
              <w:t>63 493</w:t>
            </w: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5D41638B" w14:textId="1D70282D" w:rsidR="001160D6" w:rsidRPr="001160D6" w:rsidRDefault="001160D6" w:rsidP="00FF4D54">
            <w:pPr>
              <w:jc w:val="right"/>
              <w:rPr>
                <w:color w:val="000000"/>
                <w:sz w:val="20"/>
                <w:szCs w:val="20"/>
                <w:lang w:val="es-AR"/>
              </w:rPr>
            </w:pPr>
            <w:r w:rsidRPr="001160D6">
              <w:rPr>
                <w:sz w:val="20"/>
                <w:szCs w:val="20"/>
                <w:lang w:val="es-AR"/>
              </w:rPr>
              <w:t>56 990</w:t>
            </w:r>
          </w:p>
        </w:tc>
        <w:tc>
          <w:tcPr>
            <w:tcW w:w="1003" w:type="dxa"/>
            <w:tcBorders>
              <w:top w:val="single" w:sz="4" w:space="0" w:color="auto"/>
              <w:left w:val="single" w:sz="4" w:space="0" w:color="auto"/>
              <w:bottom w:val="single" w:sz="4" w:space="0" w:color="auto"/>
              <w:right w:val="single" w:sz="4" w:space="0" w:color="auto"/>
            </w:tcBorders>
            <w:tcMar>
              <w:left w:w="29" w:type="dxa"/>
              <w:right w:w="115" w:type="dxa"/>
            </w:tcMar>
          </w:tcPr>
          <w:p w14:paraId="3094C242" w14:textId="197A3D7A" w:rsidR="001160D6" w:rsidRPr="001160D6" w:rsidRDefault="001160D6" w:rsidP="00FF4D54">
            <w:pPr>
              <w:jc w:val="right"/>
              <w:rPr>
                <w:sz w:val="20"/>
                <w:szCs w:val="20"/>
                <w:lang w:val="es-AR"/>
              </w:rPr>
            </w:pPr>
            <w:r w:rsidRPr="001160D6">
              <w:rPr>
                <w:sz w:val="20"/>
                <w:szCs w:val="20"/>
                <w:lang w:val="es-AR"/>
              </w:rPr>
              <w:t>54 777</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5ED33FE" w14:textId="2D5D6B47" w:rsidR="001160D6" w:rsidRPr="001160D6" w:rsidRDefault="001160D6" w:rsidP="00FF4D54">
            <w:pPr>
              <w:jc w:val="right"/>
              <w:rPr>
                <w:color w:val="000000"/>
                <w:sz w:val="20"/>
                <w:szCs w:val="20"/>
                <w:lang w:val="es-AR"/>
              </w:rPr>
            </w:pPr>
            <w:r w:rsidRPr="001160D6">
              <w:rPr>
                <w:sz w:val="20"/>
                <w:szCs w:val="20"/>
                <w:lang w:val="es-AR"/>
              </w:rPr>
              <w:t>50,8</w:t>
            </w:r>
          </w:p>
        </w:tc>
      </w:tr>
      <w:tr w:rsidR="001160D6" w:rsidRPr="001160D6" w14:paraId="479C443F"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3132948D" w14:textId="1378594E" w:rsidR="001160D6" w:rsidRPr="001160D6" w:rsidRDefault="001160D6" w:rsidP="00FF4D54">
            <w:pPr>
              <w:rPr>
                <w:color w:val="000000"/>
                <w:sz w:val="20"/>
                <w:szCs w:val="20"/>
                <w:lang w:val="es-AR"/>
              </w:rPr>
            </w:pPr>
            <w:r w:rsidRPr="001160D6">
              <w:rPr>
                <w:color w:val="000000"/>
                <w:sz w:val="20"/>
                <w:szCs w:val="20"/>
                <w:lang w:val="es-AR"/>
              </w:rPr>
              <w:t>HCFC-142b</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7C79A056" w14:textId="6E0F8FBE" w:rsidR="001160D6" w:rsidRPr="001160D6" w:rsidRDefault="001160D6" w:rsidP="00FF4D54">
            <w:pPr>
              <w:jc w:val="right"/>
              <w:rPr>
                <w:color w:val="000000"/>
                <w:sz w:val="20"/>
                <w:szCs w:val="20"/>
                <w:lang w:val="es-AR"/>
              </w:rPr>
            </w:pPr>
            <w:r w:rsidRPr="001160D6">
              <w:rPr>
                <w:sz w:val="20"/>
                <w:szCs w:val="20"/>
                <w:lang w:val="es-AR"/>
              </w:rPr>
              <w:t>33 195</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61090F82" w14:textId="2A34A7DC" w:rsidR="001160D6" w:rsidRPr="001160D6" w:rsidRDefault="001160D6" w:rsidP="00FF4D54">
            <w:pPr>
              <w:jc w:val="right"/>
              <w:rPr>
                <w:color w:val="000000"/>
                <w:sz w:val="20"/>
                <w:szCs w:val="20"/>
                <w:lang w:val="es-AR"/>
              </w:rPr>
            </w:pPr>
            <w:r w:rsidRPr="001160D6">
              <w:rPr>
                <w:sz w:val="20"/>
                <w:szCs w:val="20"/>
                <w:lang w:val="es-AR"/>
              </w:rPr>
              <w:t>15 414</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33A4C944" w14:textId="75213BAB" w:rsidR="001160D6" w:rsidRPr="001160D6" w:rsidRDefault="001160D6" w:rsidP="00FF4D54">
            <w:pPr>
              <w:jc w:val="right"/>
              <w:rPr>
                <w:color w:val="000000"/>
                <w:sz w:val="20"/>
                <w:szCs w:val="20"/>
                <w:lang w:val="es-AR"/>
              </w:rPr>
            </w:pPr>
            <w:r w:rsidRPr="001160D6">
              <w:rPr>
                <w:sz w:val="20"/>
                <w:szCs w:val="20"/>
                <w:lang w:val="es-AR"/>
              </w:rPr>
              <w:t>18 243</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53CA03C7" w14:textId="5FA760C4" w:rsidR="001160D6" w:rsidRPr="001160D6" w:rsidRDefault="001160D6" w:rsidP="00FF4D54">
            <w:pPr>
              <w:jc w:val="right"/>
              <w:rPr>
                <w:color w:val="000000"/>
                <w:sz w:val="20"/>
                <w:szCs w:val="20"/>
                <w:lang w:val="es-AR"/>
              </w:rPr>
            </w:pPr>
            <w:r w:rsidRPr="001160D6">
              <w:rPr>
                <w:sz w:val="20"/>
                <w:szCs w:val="20"/>
                <w:lang w:val="es-AR"/>
              </w:rPr>
              <w:t>15 899</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07FFCD7A" w14:textId="09969930" w:rsidR="001160D6" w:rsidRPr="001160D6" w:rsidRDefault="001160D6" w:rsidP="00FF4D54">
            <w:pPr>
              <w:jc w:val="right"/>
              <w:rPr>
                <w:color w:val="000000"/>
                <w:sz w:val="20"/>
                <w:szCs w:val="20"/>
                <w:lang w:val="es-AR"/>
              </w:rPr>
            </w:pPr>
            <w:r w:rsidRPr="001160D6">
              <w:rPr>
                <w:sz w:val="20"/>
                <w:szCs w:val="20"/>
                <w:lang w:val="es-AR"/>
              </w:rPr>
              <w:t>16 628</w:t>
            </w: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7B7A6F2C" w14:textId="774898D9" w:rsidR="001160D6" w:rsidRPr="001160D6" w:rsidRDefault="001160D6" w:rsidP="00FF4D54">
            <w:pPr>
              <w:jc w:val="right"/>
              <w:rPr>
                <w:color w:val="000000"/>
                <w:sz w:val="20"/>
                <w:szCs w:val="20"/>
                <w:lang w:val="es-AR"/>
              </w:rPr>
            </w:pPr>
            <w:r w:rsidRPr="001160D6">
              <w:rPr>
                <w:sz w:val="20"/>
                <w:szCs w:val="20"/>
                <w:lang w:val="es-AR"/>
              </w:rPr>
              <w:t>11 140</w:t>
            </w:r>
          </w:p>
        </w:tc>
        <w:tc>
          <w:tcPr>
            <w:tcW w:w="1003" w:type="dxa"/>
            <w:tcBorders>
              <w:top w:val="single" w:sz="4" w:space="0" w:color="auto"/>
              <w:left w:val="single" w:sz="4" w:space="0" w:color="auto"/>
              <w:bottom w:val="single" w:sz="4" w:space="0" w:color="auto"/>
              <w:right w:val="single" w:sz="4" w:space="0" w:color="auto"/>
            </w:tcBorders>
            <w:tcMar>
              <w:left w:w="29" w:type="dxa"/>
              <w:right w:w="115" w:type="dxa"/>
            </w:tcMar>
          </w:tcPr>
          <w:p w14:paraId="2307F17C" w14:textId="21B78D85" w:rsidR="001160D6" w:rsidRPr="001160D6" w:rsidRDefault="001160D6" w:rsidP="00FF4D54">
            <w:pPr>
              <w:jc w:val="right"/>
              <w:rPr>
                <w:sz w:val="20"/>
                <w:szCs w:val="20"/>
                <w:lang w:val="es-AR"/>
              </w:rPr>
            </w:pPr>
            <w:r w:rsidRPr="001160D6">
              <w:rPr>
                <w:sz w:val="20"/>
                <w:szCs w:val="20"/>
                <w:lang w:val="es-AR"/>
              </w:rPr>
              <w:t>11 947</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2C7D753" w14:textId="74B89523" w:rsidR="001160D6" w:rsidRPr="001160D6" w:rsidRDefault="001160D6" w:rsidP="00FF4D54">
            <w:pPr>
              <w:jc w:val="right"/>
              <w:rPr>
                <w:color w:val="000000"/>
                <w:sz w:val="20"/>
                <w:szCs w:val="20"/>
                <w:lang w:val="es-AR"/>
              </w:rPr>
            </w:pPr>
            <w:r w:rsidRPr="001160D6">
              <w:rPr>
                <w:sz w:val="20"/>
                <w:szCs w:val="20"/>
                <w:lang w:val="es-AR"/>
              </w:rPr>
              <w:t>36,0</w:t>
            </w:r>
          </w:p>
        </w:tc>
      </w:tr>
      <w:tr w:rsidR="001160D6" w:rsidRPr="001160D6" w14:paraId="3BE32210"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50F30E76" w14:textId="77777777" w:rsidR="001160D6" w:rsidRPr="001160D6" w:rsidRDefault="001160D6" w:rsidP="00FF4D54">
            <w:pPr>
              <w:rPr>
                <w:b/>
                <w:color w:val="000000"/>
                <w:sz w:val="20"/>
                <w:szCs w:val="20"/>
                <w:lang w:val="es-AR"/>
              </w:rPr>
            </w:pPr>
            <w:r w:rsidRPr="001160D6">
              <w:rPr>
                <w:b/>
                <w:color w:val="000000"/>
                <w:sz w:val="20"/>
                <w:szCs w:val="20"/>
                <w:lang w:val="es-AR"/>
              </w:rPr>
              <w:t>Real</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177EB317" w14:textId="240999CA" w:rsidR="001160D6" w:rsidRPr="001160D6" w:rsidRDefault="001160D6" w:rsidP="00FF4D54">
            <w:pPr>
              <w:jc w:val="right"/>
              <w:rPr>
                <w:color w:val="000000"/>
                <w:sz w:val="20"/>
                <w:szCs w:val="20"/>
                <w:lang w:val="es-AR"/>
              </w:rPr>
            </w:pPr>
            <w:r w:rsidRPr="001160D6">
              <w:rPr>
                <w:sz w:val="20"/>
                <w:szCs w:val="20"/>
                <w:lang w:val="es-AR"/>
              </w:rPr>
              <w:t>535 722</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72A9343F" w14:textId="11CB24E6" w:rsidR="001160D6" w:rsidRPr="001160D6" w:rsidRDefault="001160D6" w:rsidP="00FF4D54">
            <w:pPr>
              <w:jc w:val="right"/>
              <w:rPr>
                <w:color w:val="000000"/>
                <w:sz w:val="20"/>
                <w:szCs w:val="20"/>
                <w:lang w:val="es-AR"/>
              </w:rPr>
            </w:pPr>
            <w:r w:rsidRPr="001160D6">
              <w:rPr>
                <w:sz w:val="20"/>
                <w:szCs w:val="20"/>
                <w:lang w:val="es-AR"/>
              </w:rPr>
              <w:t>446 073</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60464C3F" w14:textId="3C619847" w:rsidR="001160D6" w:rsidRPr="001160D6" w:rsidRDefault="001160D6" w:rsidP="00FF4D54">
            <w:pPr>
              <w:jc w:val="right"/>
              <w:rPr>
                <w:color w:val="000000"/>
                <w:sz w:val="20"/>
                <w:szCs w:val="20"/>
                <w:lang w:val="es-AR"/>
              </w:rPr>
            </w:pPr>
            <w:r w:rsidRPr="001160D6">
              <w:rPr>
                <w:sz w:val="20"/>
                <w:szCs w:val="20"/>
                <w:lang w:val="es-AR"/>
              </w:rPr>
              <w:t>385 840</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03E7F45E" w14:textId="0D64474C" w:rsidR="001160D6" w:rsidRPr="001160D6" w:rsidRDefault="001160D6" w:rsidP="00FF4D54">
            <w:pPr>
              <w:jc w:val="right"/>
              <w:rPr>
                <w:color w:val="000000"/>
                <w:sz w:val="20"/>
                <w:szCs w:val="20"/>
                <w:lang w:val="es-AR"/>
              </w:rPr>
            </w:pPr>
            <w:r w:rsidRPr="001160D6">
              <w:rPr>
                <w:sz w:val="20"/>
                <w:szCs w:val="20"/>
                <w:lang w:val="es-AR"/>
              </w:rPr>
              <w:t>382 005</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749667B4" w14:textId="2ABBAA06" w:rsidR="001160D6" w:rsidRPr="001160D6" w:rsidRDefault="001160D6" w:rsidP="00FF4D54">
            <w:pPr>
              <w:jc w:val="right"/>
              <w:rPr>
                <w:color w:val="000000"/>
                <w:sz w:val="20"/>
                <w:szCs w:val="20"/>
                <w:lang w:val="es-AR"/>
              </w:rPr>
            </w:pPr>
            <w:r w:rsidRPr="001160D6">
              <w:rPr>
                <w:sz w:val="20"/>
                <w:szCs w:val="20"/>
                <w:lang w:val="es-AR"/>
              </w:rPr>
              <w:t>376 380</w:t>
            </w: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49154F03" w14:textId="22433489" w:rsidR="001160D6" w:rsidRPr="001160D6" w:rsidRDefault="001160D6" w:rsidP="00FF4D54">
            <w:pPr>
              <w:jc w:val="right"/>
              <w:rPr>
                <w:color w:val="000000"/>
                <w:sz w:val="20"/>
                <w:szCs w:val="20"/>
                <w:lang w:val="es-AR"/>
              </w:rPr>
            </w:pPr>
            <w:r w:rsidRPr="001160D6">
              <w:rPr>
                <w:sz w:val="20"/>
                <w:szCs w:val="20"/>
                <w:lang w:val="es-AR"/>
              </w:rPr>
              <w:t>365 131</w:t>
            </w:r>
          </w:p>
        </w:tc>
        <w:tc>
          <w:tcPr>
            <w:tcW w:w="1003" w:type="dxa"/>
            <w:tcBorders>
              <w:top w:val="single" w:sz="4" w:space="0" w:color="auto"/>
              <w:left w:val="single" w:sz="4" w:space="0" w:color="auto"/>
              <w:bottom w:val="single" w:sz="4" w:space="0" w:color="auto"/>
              <w:right w:val="single" w:sz="4" w:space="0" w:color="auto"/>
            </w:tcBorders>
            <w:tcMar>
              <w:left w:w="29" w:type="dxa"/>
              <w:right w:w="115" w:type="dxa"/>
            </w:tcMar>
          </w:tcPr>
          <w:p w14:paraId="51851236" w14:textId="7EC702FB" w:rsidR="001160D6" w:rsidRPr="001160D6" w:rsidRDefault="001160D6" w:rsidP="00FF4D54">
            <w:pPr>
              <w:jc w:val="right"/>
              <w:rPr>
                <w:sz w:val="20"/>
                <w:szCs w:val="20"/>
                <w:lang w:val="es-AR"/>
              </w:rPr>
            </w:pPr>
            <w:r w:rsidRPr="001160D6">
              <w:rPr>
                <w:sz w:val="20"/>
                <w:szCs w:val="20"/>
                <w:lang w:val="es-AR"/>
              </w:rPr>
              <w:t>358 511</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9187F93" w14:textId="740D2CB2" w:rsidR="001160D6" w:rsidRPr="001160D6" w:rsidRDefault="001160D6" w:rsidP="00FF4D54">
            <w:pPr>
              <w:jc w:val="right"/>
              <w:rPr>
                <w:color w:val="000000"/>
                <w:sz w:val="20"/>
                <w:szCs w:val="20"/>
                <w:lang w:val="es-AR"/>
              </w:rPr>
            </w:pPr>
            <w:r w:rsidRPr="001160D6">
              <w:rPr>
                <w:sz w:val="20"/>
                <w:szCs w:val="20"/>
                <w:lang w:val="es-AR"/>
              </w:rPr>
              <w:t>66,9</w:t>
            </w:r>
          </w:p>
        </w:tc>
      </w:tr>
      <w:tr w:rsidR="001160D6" w:rsidRPr="001160D6" w14:paraId="56470F2F"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139E9CCD" w14:textId="639B94A1" w:rsidR="001160D6" w:rsidRPr="001160D6" w:rsidRDefault="001160D6" w:rsidP="00684461">
            <w:pPr>
              <w:rPr>
                <w:b/>
                <w:sz w:val="20"/>
                <w:szCs w:val="20"/>
                <w:lang w:val="es-AR" w:eastAsia="en-CA"/>
              </w:rPr>
            </w:pPr>
            <w:r w:rsidRPr="001160D6">
              <w:rPr>
                <w:b/>
                <w:sz w:val="20"/>
                <w:szCs w:val="20"/>
                <w:lang w:val="es-AR"/>
              </w:rPr>
              <w:t>Permitido</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tcPr>
          <w:p w14:paraId="46F227E8" w14:textId="2DEC03DC" w:rsidR="001160D6" w:rsidRPr="001160D6" w:rsidRDefault="001160D6" w:rsidP="00FF4D54">
            <w:pPr>
              <w:jc w:val="right"/>
              <w:rPr>
                <w:sz w:val="20"/>
                <w:szCs w:val="20"/>
                <w:lang w:val="es-AR" w:eastAsia="en-CA"/>
              </w:rPr>
            </w:pPr>
            <w:r w:rsidRPr="001160D6">
              <w:rPr>
                <w:sz w:val="20"/>
                <w:szCs w:val="20"/>
                <w:lang w:val="es-AR"/>
              </w:rPr>
              <w:t>535 722</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52F1DB67" w14:textId="439A97C2" w:rsidR="001160D6" w:rsidRPr="001160D6" w:rsidRDefault="001160D6" w:rsidP="00FF4D54">
            <w:pPr>
              <w:jc w:val="right"/>
              <w:rPr>
                <w:color w:val="000000"/>
                <w:sz w:val="20"/>
                <w:szCs w:val="20"/>
                <w:lang w:val="es-AR"/>
              </w:rPr>
            </w:pPr>
            <w:r w:rsidRPr="001160D6">
              <w:rPr>
                <w:sz w:val="20"/>
                <w:szCs w:val="20"/>
                <w:lang w:val="es-AR"/>
              </w:rPr>
              <w:t>535 722</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237ADC61" w14:textId="3FC2D41E" w:rsidR="001160D6" w:rsidRPr="001160D6" w:rsidRDefault="001160D6" w:rsidP="00FF4D54">
            <w:pPr>
              <w:jc w:val="right"/>
              <w:rPr>
                <w:color w:val="000000"/>
                <w:sz w:val="20"/>
                <w:szCs w:val="20"/>
                <w:lang w:val="es-AR"/>
              </w:rPr>
            </w:pPr>
            <w:r w:rsidRPr="001160D6">
              <w:rPr>
                <w:sz w:val="20"/>
                <w:szCs w:val="20"/>
                <w:lang w:val="es-AR"/>
              </w:rPr>
              <w:t>482 150</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3B654689" w14:textId="0B0DDB6B" w:rsidR="001160D6" w:rsidRPr="001160D6" w:rsidRDefault="001160D6" w:rsidP="00FF4D54">
            <w:pPr>
              <w:jc w:val="right"/>
              <w:rPr>
                <w:color w:val="000000"/>
                <w:sz w:val="20"/>
                <w:szCs w:val="20"/>
                <w:lang w:val="es-AR"/>
              </w:rPr>
            </w:pPr>
            <w:r w:rsidRPr="001160D6">
              <w:rPr>
                <w:sz w:val="20"/>
                <w:szCs w:val="20"/>
                <w:lang w:val="es-AR"/>
              </w:rPr>
              <w:t>482 150</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374FD2AE" w14:textId="01E622B8" w:rsidR="001160D6" w:rsidRPr="001160D6" w:rsidRDefault="001160D6" w:rsidP="00FF4D54">
            <w:pPr>
              <w:jc w:val="right"/>
              <w:rPr>
                <w:color w:val="000000"/>
                <w:sz w:val="20"/>
                <w:szCs w:val="20"/>
                <w:lang w:val="es-AR"/>
              </w:rPr>
            </w:pPr>
            <w:r w:rsidRPr="001160D6">
              <w:rPr>
                <w:sz w:val="20"/>
                <w:szCs w:val="20"/>
                <w:lang w:val="es-AR"/>
              </w:rPr>
              <w:t>482 150</w:t>
            </w: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0C52400B" w14:textId="197FD163" w:rsidR="001160D6" w:rsidRPr="001160D6" w:rsidRDefault="001160D6" w:rsidP="00FF4D54">
            <w:pPr>
              <w:jc w:val="right"/>
              <w:rPr>
                <w:color w:val="000000"/>
                <w:sz w:val="20"/>
                <w:szCs w:val="20"/>
                <w:lang w:val="es-AR"/>
              </w:rPr>
            </w:pPr>
            <w:r w:rsidRPr="001160D6">
              <w:rPr>
                <w:sz w:val="20"/>
                <w:szCs w:val="20"/>
                <w:lang w:val="es-AR"/>
              </w:rPr>
              <w:t>482 150</w:t>
            </w:r>
          </w:p>
        </w:tc>
        <w:tc>
          <w:tcPr>
            <w:tcW w:w="1003" w:type="dxa"/>
            <w:tcBorders>
              <w:top w:val="single" w:sz="4" w:space="0" w:color="auto"/>
              <w:left w:val="single" w:sz="4" w:space="0" w:color="auto"/>
              <w:bottom w:val="single" w:sz="4" w:space="0" w:color="auto"/>
              <w:right w:val="single" w:sz="4" w:space="0" w:color="auto"/>
            </w:tcBorders>
            <w:tcMar>
              <w:left w:w="29" w:type="dxa"/>
              <w:right w:w="115" w:type="dxa"/>
            </w:tcMar>
          </w:tcPr>
          <w:p w14:paraId="4A6FAFE0" w14:textId="4E134BEF" w:rsidR="001160D6" w:rsidRPr="001160D6" w:rsidRDefault="001160D6" w:rsidP="00FF4D54">
            <w:pPr>
              <w:jc w:val="right"/>
              <w:rPr>
                <w:sz w:val="20"/>
                <w:szCs w:val="20"/>
                <w:lang w:val="es-AR"/>
              </w:rPr>
            </w:pPr>
            <w:r w:rsidRPr="001160D6">
              <w:rPr>
                <w:sz w:val="20"/>
                <w:szCs w:val="20"/>
                <w:lang w:val="es-AR"/>
              </w:rPr>
              <w:t>482 150</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9BB01F6" w14:textId="77777777" w:rsidR="001160D6" w:rsidRPr="001160D6" w:rsidRDefault="001160D6" w:rsidP="00FF4D54">
            <w:pPr>
              <w:jc w:val="right"/>
              <w:rPr>
                <w:sz w:val="20"/>
                <w:szCs w:val="20"/>
                <w:lang w:val="es-AR" w:eastAsia="en-CA"/>
              </w:rPr>
            </w:pPr>
          </w:p>
        </w:tc>
      </w:tr>
      <w:tr w:rsidR="001160D6" w:rsidRPr="001160D6" w14:paraId="6E1FF202" w14:textId="77777777" w:rsidTr="001160D6">
        <w:trPr>
          <w:trHeight w:val="58"/>
        </w:trPr>
        <w:tc>
          <w:tcPr>
            <w:tcW w:w="135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7F1E6F96" w14:textId="77777777" w:rsidR="001160D6" w:rsidRPr="001160D6" w:rsidRDefault="001160D6" w:rsidP="00FF4D54">
            <w:pPr>
              <w:rPr>
                <w:sz w:val="20"/>
                <w:szCs w:val="20"/>
                <w:lang w:val="es-AR" w:eastAsia="en-CA"/>
              </w:rPr>
            </w:pPr>
            <w:r w:rsidRPr="001160D6">
              <w:rPr>
                <w:sz w:val="20"/>
                <w:szCs w:val="20"/>
                <w:lang w:val="es-AR"/>
              </w:rPr>
              <w:t>Diferencia</w:t>
            </w:r>
          </w:p>
        </w:tc>
        <w:tc>
          <w:tcPr>
            <w:tcW w:w="1002"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tcPr>
          <w:p w14:paraId="4DABD4D0" w14:textId="77777777" w:rsidR="001160D6" w:rsidRPr="001160D6" w:rsidRDefault="001160D6" w:rsidP="00FF4D54">
            <w:pPr>
              <w:jc w:val="right"/>
              <w:rPr>
                <w:sz w:val="20"/>
                <w:szCs w:val="20"/>
                <w:lang w:val="es-AR" w:eastAsia="en-CA"/>
              </w:rPr>
            </w:pP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54100B33" w14:textId="40E57C65" w:rsidR="001160D6" w:rsidRPr="001160D6" w:rsidRDefault="001160D6" w:rsidP="00FF4D54">
            <w:pPr>
              <w:jc w:val="right"/>
              <w:rPr>
                <w:color w:val="000000"/>
                <w:sz w:val="20"/>
                <w:szCs w:val="20"/>
                <w:lang w:val="es-AR"/>
              </w:rPr>
            </w:pPr>
            <w:r w:rsidRPr="001160D6">
              <w:rPr>
                <w:sz w:val="20"/>
                <w:szCs w:val="20"/>
                <w:lang w:val="es-AR"/>
              </w:rPr>
              <w:t>(89 649)</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068A82FD" w14:textId="11AA2AF8" w:rsidR="001160D6" w:rsidRPr="001160D6" w:rsidRDefault="001160D6" w:rsidP="00FF4D54">
            <w:pPr>
              <w:jc w:val="right"/>
              <w:rPr>
                <w:color w:val="000000"/>
                <w:sz w:val="20"/>
                <w:szCs w:val="20"/>
                <w:lang w:val="es-AR"/>
              </w:rPr>
            </w:pPr>
            <w:r w:rsidRPr="001160D6">
              <w:rPr>
                <w:sz w:val="20"/>
                <w:szCs w:val="20"/>
                <w:lang w:val="es-AR"/>
              </w:rPr>
              <w:t>(96 310)</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0ACFE720" w14:textId="069AC027" w:rsidR="001160D6" w:rsidRPr="001160D6" w:rsidRDefault="001160D6" w:rsidP="00FF4D54">
            <w:pPr>
              <w:jc w:val="right"/>
              <w:rPr>
                <w:color w:val="000000"/>
                <w:sz w:val="20"/>
                <w:szCs w:val="20"/>
                <w:lang w:val="es-AR"/>
              </w:rPr>
            </w:pPr>
            <w:r w:rsidRPr="001160D6">
              <w:rPr>
                <w:sz w:val="20"/>
                <w:szCs w:val="20"/>
                <w:lang w:val="es-AR"/>
              </w:rPr>
              <w:t>(100 145)</w:t>
            </w:r>
          </w:p>
        </w:tc>
        <w:tc>
          <w:tcPr>
            <w:tcW w:w="1003"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15" w:type="dxa"/>
            </w:tcMar>
            <w:hideMark/>
          </w:tcPr>
          <w:p w14:paraId="64E2677A" w14:textId="251D4164" w:rsidR="001160D6" w:rsidRPr="001160D6" w:rsidRDefault="001160D6" w:rsidP="00FF4D54">
            <w:pPr>
              <w:jc w:val="right"/>
              <w:rPr>
                <w:color w:val="000000"/>
                <w:sz w:val="20"/>
                <w:szCs w:val="20"/>
                <w:lang w:val="es-AR"/>
              </w:rPr>
            </w:pPr>
            <w:r w:rsidRPr="001160D6">
              <w:rPr>
                <w:sz w:val="20"/>
                <w:szCs w:val="20"/>
                <w:lang w:val="es-AR"/>
              </w:rPr>
              <w:t>(105 770)</w:t>
            </w:r>
          </w:p>
        </w:tc>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115" w:type="dxa"/>
            </w:tcMar>
            <w:hideMark/>
          </w:tcPr>
          <w:p w14:paraId="5CA89DA4" w14:textId="7649D182" w:rsidR="001160D6" w:rsidRPr="001160D6" w:rsidRDefault="001160D6" w:rsidP="00FF4D54">
            <w:pPr>
              <w:jc w:val="right"/>
              <w:rPr>
                <w:color w:val="000000"/>
                <w:sz w:val="20"/>
                <w:szCs w:val="20"/>
                <w:lang w:val="es-AR"/>
              </w:rPr>
            </w:pPr>
            <w:r w:rsidRPr="001160D6">
              <w:rPr>
                <w:sz w:val="20"/>
                <w:szCs w:val="20"/>
                <w:lang w:val="es-AR"/>
              </w:rPr>
              <w:t>(117 019)</w:t>
            </w:r>
          </w:p>
        </w:tc>
        <w:tc>
          <w:tcPr>
            <w:tcW w:w="1003" w:type="dxa"/>
            <w:tcBorders>
              <w:top w:val="single" w:sz="4" w:space="0" w:color="auto"/>
              <w:left w:val="single" w:sz="4" w:space="0" w:color="auto"/>
              <w:bottom w:val="single" w:sz="4" w:space="0" w:color="auto"/>
              <w:right w:val="single" w:sz="4" w:space="0" w:color="auto"/>
            </w:tcBorders>
            <w:tcMar>
              <w:left w:w="29" w:type="dxa"/>
              <w:right w:w="115" w:type="dxa"/>
            </w:tcMar>
          </w:tcPr>
          <w:p w14:paraId="4BB4931D" w14:textId="2F7FF37D" w:rsidR="001160D6" w:rsidRPr="001160D6" w:rsidRDefault="001160D6" w:rsidP="00FF4D54">
            <w:pPr>
              <w:jc w:val="right"/>
              <w:rPr>
                <w:sz w:val="20"/>
                <w:szCs w:val="20"/>
                <w:lang w:val="es-AR"/>
              </w:rPr>
            </w:pPr>
            <w:r w:rsidRPr="001160D6">
              <w:rPr>
                <w:sz w:val="20"/>
                <w:szCs w:val="20"/>
                <w:lang w:val="es-AR"/>
              </w:rPr>
              <w:t>(123 639)</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97CA702" w14:textId="77777777" w:rsidR="001160D6" w:rsidRPr="001160D6" w:rsidRDefault="001160D6" w:rsidP="00FF4D54">
            <w:pPr>
              <w:jc w:val="right"/>
              <w:rPr>
                <w:sz w:val="20"/>
                <w:szCs w:val="20"/>
                <w:lang w:val="es-AR" w:eastAsia="en-CA"/>
              </w:rPr>
            </w:pPr>
          </w:p>
        </w:tc>
      </w:tr>
    </w:tbl>
    <w:p w14:paraId="5A942159" w14:textId="71262DE4" w:rsidR="00DB1F86" w:rsidRPr="001160D6" w:rsidRDefault="00DB1F86" w:rsidP="00DB1F86">
      <w:pPr>
        <w:rPr>
          <w:bCs/>
          <w:sz w:val="19"/>
          <w:szCs w:val="19"/>
          <w:lang w:val="es-AR"/>
        </w:rPr>
      </w:pPr>
      <w:r w:rsidRPr="001160D6">
        <w:rPr>
          <w:bCs/>
          <w:sz w:val="19"/>
          <w:szCs w:val="19"/>
          <w:lang w:val="es-AR"/>
        </w:rPr>
        <w:t xml:space="preserve">* </w:t>
      </w:r>
      <w:r w:rsidR="00832BBD" w:rsidRPr="001160D6">
        <w:rPr>
          <w:bCs/>
          <w:sz w:val="19"/>
          <w:szCs w:val="19"/>
          <w:lang w:val="es-AR"/>
        </w:rPr>
        <w:t xml:space="preserve">Incluido </w:t>
      </w:r>
      <w:r w:rsidRPr="001160D6">
        <w:rPr>
          <w:bCs/>
          <w:sz w:val="19"/>
          <w:szCs w:val="19"/>
          <w:lang w:val="es-AR"/>
        </w:rPr>
        <w:t>la República de Corea (</w:t>
      </w:r>
      <w:r w:rsidR="007120E8" w:rsidRPr="001160D6">
        <w:rPr>
          <w:bCs/>
          <w:sz w:val="19"/>
          <w:szCs w:val="19"/>
          <w:lang w:val="es-AR"/>
        </w:rPr>
        <w:t>1 310,5</w:t>
      </w:r>
      <w:r w:rsidRPr="001160D6">
        <w:rPr>
          <w:bCs/>
          <w:sz w:val="19"/>
          <w:szCs w:val="19"/>
          <w:lang w:val="es-AR"/>
        </w:rPr>
        <w:t xml:space="preserve"> </w:t>
      </w:r>
      <w:r w:rsidR="00FF4D54" w:rsidRPr="001160D6">
        <w:rPr>
          <w:bCs/>
          <w:sz w:val="19"/>
          <w:szCs w:val="19"/>
          <w:lang w:val="es-AR"/>
        </w:rPr>
        <w:t>toneladas PAO</w:t>
      </w:r>
      <w:r w:rsidRPr="001160D6">
        <w:rPr>
          <w:bCs/>
          <w:sz w:val="19"/>
          <w:szCs w:val="19"/>
          <w:lang w:val="es-AR"/>
        </w:rPr>
        <w:t>), Singapur (5</w:t>
      </w:r>
      <w:r w:rsidR="007120E8" w:rsidRPr="001160D6">
        <w:rPr>
          <w:bCs/>
          <w:sz w:val="19"/>
          <w:szCs w:val="19"/>
          <w:lang w:val="es-AR"/>
        </w:rPr>
        <w:t>8,0</w:t>
      </w:r>
      <w:r w:rsidRPr="001160D6">
        <w:rPr>
          <w:bCs/>
          <w:sz w:val="19"/>
          <w:szCs w:val="19"/>
          <w:lang w:val="es-AR"/>
        </w:rPr>
        <w:t xml:space="preserve"> </w:t>
      </w:r>
      <w:r w:rsidR="00FF4D54" w:rsidRPr="001160D6">
        <w:rPr>
          <w:bCs/>
          <w:sz w:val="19"/>
          <w:szCs w:val="19"/>
          <w:lang w:val="es-AR"/>
        </w:rPr>
        <w:t>toneladas PAO</w:t>
      </w:r>
      <w:r w:rsidRPr="001160D6">
        <w:rPr>
          <w:bCs/>
          <w:sz w:val="19"/>
          <w:szCs w:val="19"/>
          <w:lang w:val="es-AR"/>
        </w:rPr>
        <w:t xml:space="preserve">) y los Emiratos </w:t>
      </w:r>
      <w:r w:rsidR="00832BBD" w:rsidRPr="001160D6">
        <w:rPr>
          <w:bCs/>
          <w:sz w:val="19"/>
          <w:szCs w:val="19"/>
          <w:lang w:val="es-AR"/>
        </w:rPr>
        <w:t>Á</w:t>
      </w:r>
      <w:r w:rsidRPr="001160D6">
        <w:rPr>
          <w:bCs/>
          <w:sz w:val="19"/>
          <w:szCs w:val="19"/>
          <w:lang w:val="es-AR"/>
        </w:rPr>
        <w:t>rabes Unidos (47</w:t>
      </w:r>
      <w:r w:rsidR="007120E8" w:rsidRPr="001160D6">
        <w:rPr>
          <w:bCs/>
          <w:sz w:val="19"/>
          <w:szCs w:val="19"/>
          <w:lang w:val="es-AR"/>
        </w:rPr>
        <w:t>5,3</w:t>
      </w:r>
      <w:r w:rsidRPr="001160D6">
        <w:rPr>
          <w:bCs/>
          <w:sz w:val="19"/>
          <w:szCs w:val="19"/>
          <w:lang w:val="es-AR"/>
        </w:rPr>
        <w:t> </w:t>
      </w:r>
      <w:r w:rsidR="00FF4D54" w:rsidRPr="001160D6">
        <w:rPr>
          <w:bCs/>
          <w:sz w:val="19"/>
          <w:szCs w:val="19"/>
          <w:lang w:val="es-AR"/>
        </w:rPr>
        <w:t>toneladas PAO</w:t>
      </w:r>
      <w:r w:rsidRPr="001160D6">
        <w:rPr>
          <w:bCs/>
          <w:sz w:val="19"/>
          <w:szCs w:val="19"/>
          <w:lang w:val="es-AR"/>
        </w:rPr>
        <w:t>).</w:t>
      </w:r>
    </w:p>
    <w:p w14:paraId="7FD03F73" w14:textId="77777777" w:rsidR="00DB1F86" w:rsidRPr="001160D6" w:rsidRDefault="00DB1F86" w:rsidP="00DB1F86">
      <w:pPr>
        <w:rPr>
          <w:lang w:val="es-AR"/>
        </w:rPr>
      </w:pPr>
    </w:p>
    <w:p w14:paraId="731F2319" w14:textId="4D4485BD" w:rsidR="00DB1F86" w:rsidRPr="001160D6" w:rsidRDefault="00832BBD" w:rsidP="00832BBD">
      <w:pPr>
        <w:pStyle w:val="Heading1"/>
        <w:numPr>
          <w:ilvl w:val="0"/>
          <w:numId w:val="0"/>
        </w:numPr>
        <w:rPr>
          <w:lang w:val="es-AR"/>
        </w:rPr>
      </w:pPr>
      <w:r w:rsidRPr="001160D6">
        <w:rPr>
          <w:lang w:val="es-AR"/>
        </w:rPr>
        <w:t>12.</w:t>
      </w:r>
      <w:r w:rsidRPr="001160D6">
        <w:rPr>
          <w:lang w:val="es-AR"/>
        </w:rPr>
        <w:tab/>
        <w:t xml:space="preserve">Teniendo en cuenta que </w:t>
      </w:r>
      <w:r w:rsidR="00DB1F86" w:rsidRPr="001160D6">
        <w:rPr>
          <w:lang w:val="es-AR"/>
        </w:rPr>
        <w:t xml:space="preserve">los planes de gestión de eliminación de </w:t>
      </w:r>
      <w:r w:rsidR="007120E8" w:rsidRPr="001160D6">
        <w:rPr>
          <w:lang w:val="es-AR"/>
        </w:rPr>
        <w:t>los HCFC</w:t>
      </w:r>
      <w:r w:rsidR="00DB1F86" w:rsidRPr="001160D6">
        <w:rPr>
          <w:lang w:val="es-AR"/>
        </w:rPr>
        <w:t xml:space="preserve"> aprobados </w:t>
      </w:r>
      <w:r w:rsidR="007120E8" w:rsidRPr="001160D6">
        <w:rPr>
          <w:lang w:val="es-AR"/>
        </w:rPr>
        <w:t>hasta el momento</w:t>
      </w:r>
      <w:r w:rsidR="00DB1F86" w:rsidRPr="001160D6">
        <w:rPr>
          <w:lang w:val="es-AR"/>
        </w:rPr>
        <w:t xml:space="preserve"> </w:t>
      </w:r>
      <w:r w:rsidR="00684461" w:rsidRPr="001160D6">
        <w:rPr>
          <w:lang w:val="es-AR"/>
        </w:rPr>
        <w:t xml:space="preserve">eliminarán </w:t>
      </w:r>
      <w:r w:rsidRPr="001160D6">
        <w:rPr>
          <w:lang w:val="es-AR"/>
        </w:rPr>
        <w:t xml:space="preserve">un </w:t>
      </w:r>
      <w:r w:rsidR="00DB1F86" w:rsidRPr="001160D6">
        <w:rPr>
          <w:lang w:val="es-AR"/>
        </w:rPr>
        <w:t>7</w:t>
      </w:r>
      <w:r w:rsidR="007120E8" w:rsidRPr="001160D6">
        <w:rPr>
          <w:lang w:val="es-AR"/>
        </w:rPr>
        <w:t>1,3</w:t>
      </w:r>
      <w:r w:rsidR="00DB1F86" w:rsidRPr="001160D6">
        <w:rPr>
          <w:lang w:val="es-AR"/>
        </w:rPr>
        <w:t> por ciento</w:t>
      </w:r>
      <w:r w:rsidRPr="001160D6">
        <w:rPr>
          <w:lang w:val="es-AR"/>
        </w:rPr>
        <w:t xml:space="preserve"> aproximadamente</w:t>
      </w:r>
      <w:r w:rsidR="00DB1F86" w:rsidRPr="001160D6">
        <w:rPr>
          <w:lang w:val="es-AR"/>
        </w:rPr>
        <w:t xml:space="preserve"> de </w:t>
      </w:r>
      <w:r w:rsidR="007120E8" w:rsidRPr="001160D6">
        <w:rPr>
          <w:lang w:val="es-AR"/>
        </w:rPr>
        <w:t>los HCFC</w:t>
      </w:r>
      <w:r w:rsidR="00DB1F86" w:rsidRPr="001160D6">
        <w:rPr>
          <w:lang w:val="es-AR"/>
        </w:rPr>
        <w:t xml:space="preserve"> de la </w:t>
      </w:r>
      <w:r w:rsidR="00FF4D54" w:rsidRPr="001160D6">
        <w:rPr>
          <w:lang w:val="es-AR"/>
        </w:rPr>
        <w:t>base</w:t>
      </w:r>
      <w:r w:rsidR="00DB1F86" w:rsidRPr="001160D6">
        <w:rPr>
          <w:lang w:val="es-AR"/>
        </w:rPr>
        <w:t xml:space="preserve"> </w:t>
      </w:r>
      <w:r w:rsidR="00684461" w:rsidRPr="001160D6">
        <w:rPr>
          <w:lang w:val="es-AR"/>
        </w:rPr>
        <w:t>de referencia</w:t>
      </w:r>
      <w:r w:rsidR="00A31785" w:rsidRPr="001160D6">
        <w:rPr>
          <w:lang w:val="es-AR"/>
        </w:rPr>
        <w:t>,</w:t>
      </w:r>
      <w:r w:rsidR="00684461" w:rsidRPr="001160D6">
        <w:rPr>
          <w:lang w:val="es-AR"/>
        </w:rPr>
        <w:t xml:space="preserve"> </w:t>
      </w:r>
      <w:r w:rsidRPr="001160D6">
        <w:rPr>
          <w:lang w:val="es-AR"/>
        </w:rPr>
        <w:t>una ve</w:t>
      </w:r>
      <w:r w:rsidR="00684461" w:rsidRPr="001160D6">
        <w:rPr>
          <w:lang w:val="es-AR"/>
        </w:rPr>
        <w:t>z</w:t>
      </w:r>
      <w:r w:rsidRPr="001160D6">
        <w:rPr>
          <w:lang w:val="es-AR"/>
        </w:rPr>
        <w:t xml:space="preserve"> </w:t>
      </w:r>
      <w:r w:rsidR="00684461" w:rsidRPr="001160D6">
        <w:rPr>
          <w:lang w:val="es-AR"/>
        </w:rPr>
        <w:t>terminados</w:t>
      </w:r>
      <w:r w:rsidR="00DB1F86" w:rsidRPr="001160D6">
        <w:rPr>
          <w:lang w:val="es-AR"/>
        </w:rPr>
        <w:t xml:space="preserve">, y </w:t>
      </w:r>
      <w:r w:rsidRPr="001160D6">
        <w:rPr>
          <w:lang w:val="es-AR"/>
        </w:rPr>
        <w:t xml:space="preserve">que se aprobarán </w:t>
      </w:r>
      <w:r w:rsidR="00DB1F86" w:rsidRPr="001160D6">
        <w:rPr>
          <w:lang w:val="es-AR"/>
        </w:rPr>
        <w:t xml:space="preserve">etapas adicionales de planes de gestión de eliminación de </w:t>
      </w:r>
      <w:r w:rsidR="007120E8" w:rsidRPr="001160D6">
        <w:rPr>
          <w:lang w:val="es-AR"/>
        </w:rPr>
        <w:t>los HCFC</w:t>
      </w:r>
      <w:r w:rsidR="00DB1F86" w:rsidRPr="001160D6">
        <w:rPr>
          <w:lang w:val="es-AR"/>
        </w:rPr>
        <w:t xml:space="preserve"> posiblemente antes de 2025, se </w:t>
      </w:r>
      <w:r w:rsidR="00684461" w:rsidRPr="001160D6">
        <w:rPr>
          <w:lang w:val="es-AR"/>
        </w:rPr>
        <w:t xml:space="preserve">prevé </w:t>
      </w:r>
      <w:r w:rsidR="00DB1F86" w:rsidRPr="001160D6">
        <w:rPr>
          <w:lang w:val="es-AR"/>
        </w:rPr>
        <w:t>que los niveles de consumo</w:t>
      </w:r>
      <w:r w:rsidR="00684461" w:rsidRPr="001160D6">
        <w:rPr>
          <w:lang w:val="es-AR"/>
        </w:rPr>
        <w:t xml:space="preserve"> de 2020-2030 </w:t>
      </w:r>
      <w:r w:rsidR="00DB1F86" w:rsidRPr="001160D6">
        <w:rPr>
          <w:lang w:val="es-AR"/>
        </w:rPr>
        <w:t>se</w:t>
      </w:r>
      <w:r w:rsidRPr="001160D6">
        <w:rPr>
          <w:lang w:val="es-AR"/>
        </w:rPr>
        <w:t>a</w:t>
      </w:r>
      <w:r w:rsidR="00DB1F86" w:rsidRPr="001160D6">
        <w:rPr>
          <w:lang w:val="es-AR"/>
        </w:rPr>
        <w:t xml:space="preserve">n probablemente más bajos que </w:t>
      </w:r>
      <w:r w:rsidRPr="001160D6">
        <w:rPr>
          <w:lang w:val="es-AR"/>
        </w:rPr>
        <w:t xml:space="preserve">los indicados </w:t>
      </w:r>
      <w:r w:rsidR="00DB1F86" w:rsidRPr="001160D6">
        <w:rPr>
          <w:lang w:val="es-AR"/>
        </w:rPr>
        <w:t xml:space="preserve">en el </w:t>
      </w:r>
      <w:r w:rsidR="007120E8" w:rsidRPr="001160D6">
        <w:rPr>
          <w:lang w:val="es-AR"/>
        </w:rPr>
        <w:t>Cuadro</w:t>
      </w:r>
      <w:r w:rsidR="00DB1F86" w:rsidRPr="001160D6">
        <w:rPr>
          <w:lang w:val="es-AR"/>
        </w:rPr>
        <w:t xml:space="preserve"> 1. </w:t>
      </w:r>
      <w:r w:rsidR="007120E8" w:rsidRPr="001160D6">
        <w:rPr>
          <w:lang w:val="es-AR"/>
        </w:rPr>
        <w:t>Si bien</w:t>
      </w:r>
      <w:r w:rsidR="00DB1F86" w:rsidRPr="001160D6">
        <w:rPr>
          <w:lang w:val="es-AR"/>
        </w:rPr>
        <w:t xml:space="preserve"> una reducción más rápida</w:t>
      </w:r>
      <w:r w:rsidRPr="001160D6">
        <w:rPr>
          <w:lang w:val="es-AR"/>
        </w:rPr>
        <w:t xml:space="preserve"> del consumo de HCFC</w:t>
      </w:r>
      <w:r w:rsidR="00482916">
        <w:rPr>
          <w:lang w:val="es-AR"/>
        </w:rPr>
        <w:t xml:space="preserve"> es </w:t>
      </w:r>
      <w:r w:rsidR="00A31785" w:rsidRPr="001160D6">
        <w:rPr>
          <w:lang w:val="es-AR"/>
        </w:rPr>
        <w:t>alentadora</w:t>
      </w:r>
      <w:r w:rsidR="00DB1F86" w:rsidRPr="001160D6">
        <w:rPr>
          <w:lang w:val="es-AR"/>
        </w:rPr>
        <w:t xml:space="preserve">, </w:t>
      </w:r>
      <w:r w:rsidRPr="001160D6">
        <w:rPr>
          <w:lang w:val="es-AR"/>
        </w:rPr>
        <w:t xml:space="preserve">dado que </w:t>
      </w:r>
      <w:r w:rsidR="007120E8" w:rsidRPr="001160D6">
        <w:rPr>
          <w:lang w:val="es-AR"/>
        </w:rPr>
        <w:t>los HCFC</w:t>
      </w:r>
      <w:r w:rsidR="00DB1F86" w:rsidRPr="001160D6">
        <w:rPr>
          <w:lang w:val="es-AR"/>
        </w:rPr>
        <w:t xml:space="preserve"> y </w:t>
      </w:r>
      <w:r w:rsidR="00FF4D54" w:rsidRPr="001160D6">
        <w:rPr>
          <w:lang w:val="es-AR"/>
        </w:rPr>
        <w:t>HFC</w:t>
      </w:r>
      <w:r w:rsidR="00DB1F86" w:rsidRPr="001160D6">
        <w:rPr>
          <w:lang w:val="es-AR"/>
        </w:rPr>
        <w:t xml:space="preserve"> se utilizan en varios usos comunes</w:t>
      </w:r>
      <w:r w:rsidR="00684461" w:rsidRPr="001160D6">
        <w:rPr>
          <w:lang w:val="es-AR"/>
        </w:rPr>
        <w:t>,</w:t>
      </w:r>
      <w:r w:rsidR="00DB1F86" w:rsidRPr="001160D6">
        <w:rPr>
          <w:lang w:val="es-AR"/>
        </w:rPr>
        <w:t xml:space="preserve"> es importante </w:t>
      </w:r>
      <w:r w:rsidRPr="001160D6">
        <w:rPr>
          <w:lang w:val="es-AR"/>
        </w:rPr>
        <w:t xml:space="preserve">hacer </w:t>
      </w:r>
      <w:r w:rsidR="00DB1F86" w:rsidRPr="001160D6">
        <w:rPr>
          <w:lang w:val="es-AR"/>
        </w:rPr>
        <w:t xml:space="preserve">esfuerzos para asegurar que estas </w:t>
      </w:r>
      <w:r w:rsidRPr="001160D6">
        <w:rPr>
          <w:lang w:val="es-AR"/>
        </w:rPr>
        <w:t xml:space="preserve">reducciones de HCFC </w:t>
      </w:r>
      <w:r w:rsidR="00DB1F86" w:rsidRPr="001160D6">
        <w:rPr>
          <w:lang w:val="es-AR"/>
        </w:rPr>
        <w:t>no dan lugar a</w:t>
      </w:r>
      <w:r w:rsidRPr="001160D6">
        <w:rPr>
          <w:lang w:val="es-AR"/>
        </w:rPr>
        <w:t xml:space="preserve"> un</w:t>
      </w:r>
      <w:r w:rsidR="00DB1F86" w:rsidRPr="001160D6">
        <w:rPr>
          <w:lang w:val="es-AR"/>
        </w:rPr>
        <w:t xml:space="preserve"> </w:t>
      </w:r>
      <w:r w:rsidR="00684461" w:rsidRPr="001160D6">
        <w:rPr>
          <w:lang w:val="es-AR"/>
        </w:rPr>
        <w:t xml:space="preserve">crecimiento del </w:t>
      </w:r>
      <w:r w:rsidR="00DB1F86" w:rsidRPr="001160D6">
        <w:rPr>
          <w:lang w:val="es-AR"/>
        </w:rPr>
        <w:t xml:space="preserve">consumo de HFC. </w:t>
      </w:r>
    </w:p>
    <w:p w14:paraId="0C926DE5" w14:textId="77777777" w:rsidR="00DB1F86" w:rsidRPr="001160D6" w:rsidRDefault="00DB1F86" w:rsidP="00DB1F86">
      <w:pPr>
        <w:rPr>
          <w:u w:val="single"/>
          <w:lang w:val="es-AR"/>
        </w:rPr>
      </w:pPr>
      <w:r w:rsidRPr="001160D6">
        <w:rPr>
          <w:u w:val="single"/>
          <w:lang w:val="es-AR"/>
        </w:rPr>
        <w:t>HFC</w:t>
      </w:r>
    </w:p>
    <w:p w14:paraId="688EAEC0" w14:textId="77777777" w:rsidR="00DB1F86" w:rsidRPr="001160D6" w:rsidRDefault="00DB1F86" w:rsidP="00DB1F86">
      <w:pPr>
        <w:rPr>
          <w:lang w:val="es-AR"/>
        </w:rPr>
      </w:pPr>
    </w:p>
    <w:p w14:paraId="44D2DD4F" w14:textId="5F6CB1A0" w:rsidR="00DB1F86" w:rsidRPr="001160D6" w:rsidRDefault="0021191E" w:rsidP="0021191E">
      <w:pPr>
        <w:pStyle w:val="Heading1"/>
        <w:widowControl w:val="0"/>
        <w:numPr>
          <w:ilvl w:val="0"/>
          <w:numId w:val="0"/>
        </w:numPr>
        <w:rPr>
          <w:lang w:val="es-AR"/>
        </w:rPr>
      </w:pPr>
      <w:r w:rsidRPr="001160D6">
        <w:rPr>
          <w:lang w:val="es-AR"/>
        </w:rPr>
        <w:t>13.</w:t>
      </w:r>
      <w:r w:rsidRPr="001160D6">
        <w:rPr>
          <w:lang w:val="es-AR"/>
        </w:rPr>
        <w:tab/>
      </w:r>
      <w:r w:rsidR="00DB1F86" w:rsidRPr="001160D6">
        <w:rPr>
          <w:lang w:val="es-AR"/>
        </w:rPr>
        <w:t xml:space="preserve">El nivel </w:t>
      </w:r>
      <w:r w:rsidRPr="001160D6">
        <w:rPr>
          <w:lang w:val="es-AR"/>
        </w:rPr>
        <w:t xml:space="preserve">agregado </w:t>
      </w:r>
      <w:r w:rsidR="00DB1F86" w:rsidRPr="001160D6">
        <w:rPr>
          <w:lang w:val="es-AR"/>
        </w:rPr>
        <w:t xml:space="preserve">de consumo de HFC en los países del </w:t>
      </w:r>
      <w:r w:rsidR="007120E8" w:rsidRPr="001160D6">
        <w:rPr>
          <w:lang w:val="es-AR"/>
        </w:rPr>
        <w:t>Artículo</w:t>
      </w:r>
      <w:r w:rsidR="00DB1F86" w:rsidRPr="001160D6">
        <w:rPr>
          <w:lang w:val="es-AR"/>
        </w:rPr>
        <w:t xml:space="preserve"> 5</w:t>
      </w:r>
      <w:r w:rsidRPr="001160D6">
        <w:rPr>
          <w:lang w:val="es-AR"/>
        </w:rPr>
        <w:t>,</w:t>
      </w:r>
      <w:r w:rsidR="00DB1F86" w:rsidRPr="001160D6">
        <w:rPr>
          <w:lang w:val="es-AR"/>
        </w:rPr>
        <w:t xml:space="preserve"> </w:t>
      </w:r>
      <w:r w:rsidR="00FF4D54" w:rsidRPr="001160D6">
        <w:rPr>
          <w:lang w:val="es-AR"/>
        </w:rPr>
        <w:t>inform</w:t>
      </w:r>
      <w:r w:rsidR="00DB1F86" w:rsidRPr="001160D6">
        <w:rPr>
          <w:lang w:val="es-AR"/>
        </w:rPr>
        <w:t xml:space="preserve">ado </w:t>
      </w:r>
      <w:r w:rsidR="008A3166" w:rsidRPr="001160D6">
        <w:rPr>
          <w:lang w:val="es-AR"/>
        </w:rPr>
        <w:t xml:space="preserve">por el </w:t>
      </w:r>
      <w:r w:rsidRPr="001160D6">
        <w:rPr>
          <w:lang w:val="es-AR"/>
        </w:rPr>
        <w:t xml:space="preserve">equipo de </w:t>
      </w:r>
      <w:r w:rsidR="009A618F" w:rsidRPr="001160D6">
        <w:rPr>
          <w:lang w:val="es-AR"/>
        </w:rPr>
        <w:t>tareas del Grupo</w:t>
      </w:r>
      <w:r w:rsidRPr="001160D6">
        <w:rPr>
          <w:lang w:val="es-AR"/>
        </w:rPr>
        <w:t xml:space="preserve"> de evaluación técnica y económica, conforme a las decisiones</w:t>
      </w:r>
      <w:r w:rsidR="00DB1F86" w:rsidRPr="001160D6">
        <w:rPr>
          <w:lang w:val="es-AR"/>
        </w:rPr>
        <w:t xml:space="preserve"> XXV/5 y XXVI/9, ascendió a 28</w:t>
      </w:r>
      <w:r w:rsidR="007120E8" w:rsidRPr="001160D6">
        <w:rPr>
          <w:lang w:val="es-AR"/>
        </w:rPr>
        <w:t>4 325</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 xml:space="preserve">en 2015 y, en ausencia de la </w:t>
      </w:r>
      <w:r w:rsidR="00FF4D54" w:rsidRPr="001160D6">
        <w:rPr>
          <w:lang w:val="es-AR"/>
        </w:rPr>
        <w:t>Enmienda</w:t>
      </w:r>
      <w:r w:rsidR="00DB1F86" w:rsidRPr="001160D6">
        <w:rPr>
          <w:lang w:val="es-AR"/>
        </w:rPr>
        <w:t xml:space="preserve"> de Kigali (es decir, </w:t>
      </w:r>
      <w:r w:rsidRPr="001160D6">
        <w:rPr>
          <w:lang w:val="es-AR"/>
        </w:rPr>
        <w:t>como es habitual</w:t>
      </w:r>
      <w:r w:rsidR="00DB1F86" w:rsidRPr="001160D6">
        <w:rPr>
          <w:lang w:val="es-AR"/>
        </w:rPr>
        <w:t>)</w:t>
      </w:r>
      <w:r w:rsidR="008A3166" w:rsidRPr="001160D6">
        <w:rPr>
          <w:lang w:val="es-AR"/>
        </w:rPr>
        <w:t>,</w:t>
      </w:r>
      <w:r w:rsidR="00DB1F86" w:rsidRPr="001160D6">
        <w:rPr>
          <w:lang w:val="es-AR"/>
        </w:rPr>
        <w:t xml:space="preserve"> se </w:t>
      </w:r>
      <w:r w:rsidR="008A3166" w:rsidRPr="001160D6">
        <w:rPr>
          <w:lang w:val="es-AR"/>
        </w:rPr>
        <w:t xml:space="preserve">preveía </w:t>
      </w:r>
      <w:r w:rsidR="00DB1F86" w:rsidRPr="001160D6">
        <w:rPr>
          <w:lang w:val="es-AR"/>
        </w:rPr>
        <w:t xml:space="preserve">que el consumo aumentara a </w:t>
      </w:r>
      <w:r w:rsidR="007120E8" w:rsidRPr="001160D6">
        <w:rPr>
          <w:lang w:val="es-AR"/>
        </w:rPr>
        <w:t>1 021 216</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 xml:space="preserve">en 2030, </w:t>
      </w:r>
      <w:r w:rsidR="007120E8" w:rsidRPr="001160D6">
        <w:rPr>
          <w:lang w:val="es-AR"/>
        </w:rPr>
        <w:t>como</w:t>
      </w:r>
      <w:r w:rsidR="00DB1F86" w:rsidRPr="001160D6">
        <w:rPr>
          <w:lang w:val="es-AR"/>
        </w:rPr>
        <w:t xml:space="preserve"> </w:t>
      </w:r>
      <w:r w:rsidR="00FF4D54" w:rsidRPr="001160D6">
        <w:rPr>
          <w:lang w:val="es-AR"/>
        </w:rPr>
        <w:t>se indica</w:t>
      </w:r>
      <w:r w:rsidR="00DB1F86" w:rsidRPr="001160D6">
        <w:rPr>
          <w:lang w:val="es-AR"/>
        </w:rPr>
        <w:t xml:space="preserve"> </w:t>
      </w:r>
      <w:r w:rsidR="008631D0" w:rsidRPr="001160D6">
        <w:rPr>
          <w:lang w:val="es-AR"/>
        </w:rPr>
        <w:t>en el Cuadro</w:t>
      </w:r>
      <w:r w:rsidR="00DB1F86" w:rsidRPr="001160D6">
        <w:rPr>
          <w:lang w:val="es-AR"/>
        </w:rPr>
        <w:t xml:space="preserve"> 3.</w:t>
      </w:r>
      <w:r w:rsidR="00DB1F86" w:rsidRPr="001160D6">
        <w:rPr>
          <w:rStyle w:val="FootnoteReference"/>
          <w:lang w:val="es-AR"/>
        </w:rPr>
        <w:footnoteReference w:id="21"/>
      </w:r>
      <w:r w:rsidR="00DB1F86" w:rsidRPr="001160D6">
        <w:rPr>
          <w:lang w:val="es-AR"/>
        </w:rPr>
        <w:t xml:space="preserve"> </w:t>
      </w:r>
      <w:r w:rsidRPr="001160D6">
        <w:rPr>
          <w:lang w:val="es-AR"/>
        </w:rPr>
        <w:t xml:space="preserve">En 2025 cinco </w:t>
      </w:r>
      <w:r w:rsidR="00FF4D54" w:rsidRPr="001160D6">
        <w:rPr>
          <w:lang w:val="es-AR"/>
        </w:rPr>
        <w:t>HFC</w:t>
      </w:r>
      <w:r w:rsidR="00DB1F86" w:rsidRPr="001160D6">
        <w:rPr>
          <w:lang w:val="es-AR"/>
        </w:rPr>
        <w:t xml:space="preserve"> (</w:t>
      </w:r>
      <w:r w:rsidRPr="001160D6">
        <w:rPr>
          <w:lang w:val="es-AR"/>
        </w:rPr>
        <w:t xml:space="preserve">incluido mezclas con </w:t>
      </w:r>
      <w:r w:rsidR="00DB1F86" w:rsidRPr="001160D6">
        <w:rPr>
          <w:lang w:val="es-AR"/>
        </w:rPr>
        <w:t xml:space="preserve">HFC), </w:t>
      </w:r>
      <w:r w:rsidR="00A31785" w:rsidRPr="001160D6">
        <w:rPr>
          <w:lang w:val="es-AR"/>
        </w:rPr>
        <w:t xml:space="preserve">a saber: </w:t>
      </w:r>
      <w:r w:rsidR="008A3166" w:rsidRPr="001160D6">
        <w:rPr>
          <w:lang w:val="es-AR"/>
        </w:rPr>
        <w:t xml:space="preserve">el </w:t>
      </w:r>
      <w:r w:rsidR="00DB1F86" w:rsidRPr="001160D6">
        <w:rPr>
          <w:lang w:val="es-AR"/>
        </w:rPr>
        <w:t xml:space="preserve">R-410A, HFC-134a, R-407C, R-404A, y R-507A representaron </w:t>
      </w:r>
      <w:r w:rsidR="008A3166" w:rsidRPr="001160D6">
        <w:rPr>
          <w:lang w:val="es-AR"/>
        </w:rPr>
        <w:t xml:space="preserve">más del </w:t>
      </w:r>
      <w:r w:rsidR="00DB1F86" w:rsidRPr="001160D6">
        <w:rPr>
          <w:lang w:val="es-AR"/>
        </w:rPr>
        <w:t>97 por ciento del consumo total en 2025.</w:t>
      </w:r>
    </w:p>
    <w:p w14:paraId="6880E634" w14:textId="49DBE059" w:rsidR="00DB1F86" w:rsidRPr="001160D6" w:rsidRDefault="0021191E" w:rsidP="00DB1F86">
      <w:pPr>
        <w:keepNext/>
        <w:outlineLvl w:val="0"/>
        <w:rPr>
          <w:b/>
          <w:sz w:val="21"/>
          <w:szCs w:val="21"/>
          <w:lang w:val="es-AR"/>
        </w:rPr>
      </w:pPr>
      <w:r w:rsidRPr="001160D6">
        <w:rPr>
          <w:b/>
          <w:sz w:val="21"/>
          <w:szCs w:val="21"/>
          <w:lang w:val="es-AR"/>
        </w:rPr>
        <w:t xml:space="preserve">Cuadro 3. </w:t>
      </w:r>
      <w:r w:rsidR="00DB1F86" w:rsidRPr="001160D6">
        <w:rPr>
          <w:b/>
          <w:sz w:val="21"/>
          <w:szCs w:val="21"/>
          <w:lang w:val="es-AR"/>
        </w:rPr>
        <w:t>Consumo </w:t>
      </w:r>
      <w:r w:rsidR="00CE031A" w:rsidRPr="001160D6">
        <w:rPr>
          <w:b/>
          <w:sz w:val="21"/>
          <w:szCs w:val="21"/>
          <w:lang w:val="es-AR"/>
        </w:rPr>
        <w:t xml:space="preserve">de </w:t>
      </w:r>
      <w:r w:rsidR="00944DE1" w:rsidRPr="001160D6">
        <w:rPr>
          <w:b/>
          <w:sz w:val="21"/>
          <w:szCs w:val="21"/>
          <w:lang w:val="es-AR"/>
        </w:rPr>
        <w:t>los HFC</w:t>
      </w:r>
      <w:r w:rsidR="00DB1F86" w:rsidRPr="001160D6">
        <w:rPr>
          <w:b/>
          <w:sz w:val="21"/>
          <w:szCs w:val="21"/>
          <w:lang w:val="es-AR"/>
        </w:rPr>
        <w:t xml:space="preserve"> en los países del </w:t>
      </w:r>
      <w:r w:rsidR="007120E8" w:rsidRPr="001160D6">
        <w:rPr>
          <w:b/>
          <w:sz w:val="21"/>
          <w:szCs w:val="21"/>
          <w:lang w:val="es-AR"/>
        </w:rPr>
        <w:t>Artículo</w:t>
      </w:r>
      <w:r w:rsidR="00DB1F86" w:rsidRPr="001160D6">
        <w:rPr>
          <w:b/>
          <w:sz w:val="21"/>
          <w:szCs w:val="21"/>
          <w:lang w:val="es-AR"/>
        </w:rPr>
        <w:t xml:space="preserve"> 5</w:t>
      </w:r>
      <w:r w:rsidR="008A3166" w:rsidRPr="001160D6">
        <w:rPr>
          <w:b/>
          <w:sz w:val="21"/>
          <w:szCs w:val="21"/>
          <w:lang w:val="es-AR"/>
        </w:rPr>
        <w:t>,</w:t>
      </w:r>
      <w:r w:rsidR="00DB1F86" w:rsidRPr="001160D6">
        <w:rPr>
          <w:b/>
          <w:sz w:val="21"/>
          <w:szCs w:val="21"/>
          <w:lang w:val="es-AR"/>
        </w:rPr>
        <w:t xml:space="preserve"> </w:t>
      </w:r>
      <w:r w:rsidR="00FF4D54" w:rsidRPr="001160D6">
        <w:rPr>
          <w:b/>
          <w:sz w:val="21"/>
          <w:szCs w:val="21"/>
          <w:lang w:val="es-AR"/>
        </w:rPr>
        <w:t>inform</w:t>
      </w:r>
      <w:r w:rsidR="00DB1F86" w:rsidRPr="001160D6">
        <w:rPr>
          <w:b/>
          <w:sz w:val="21"/>
          <w:szCs w:val="21"/>
          <w:lang w:val="es-AR"/>
        </w:rPr>
        <w:t xml:space="preserve">ado por el </w:t>
      </w:r>
      <w:r w:rsidRPr="001160D6">
        <w:rPr>
          <w:b/>
          <w:sz w:val="21"/>
          <w:szCs w:val="21"/>
          <w:lang w:val="es-AR"/>
        </w:rPr>
        <w:t xml:space="preserve">equipo de </w:t>
      </w:r>
      <w:r w:rsidR="009A618F" w:rsidRPr="001160D6">
        <w:rPr>
          <w:b/>
          <w:sz w:val="21"/>
          <w:szCs w:val="21"/>
          <w:lang w:val="es-AR"/>
        </w:rPr>
        <w:t>tareas del Grupo</w:t>
      </w:r>
      <w:r w:rsidRPr="001160D6">
        <w:rPr>
          <w:b/>
          <w:sz w:val="21"/>
          <w:szCs w:val="21"/>
          <w:lang w:val="es-AR"/>
        </w:rPr>
        <w:t xml:space="preserve"> de evaluación técnica y económica</w:t>
      </w:r>
    </w:p>
    <w:tbl>
      <w:tblPr>
        <w:tblW w:w="9360" w:type="dxa"/>
        <w:tblLayout w:type="fixed"/>
        <w:tblLook w:val="04A0" w:firstRow="1" w:lastRow="0" w:firstColumn="1" w:lastColumn="0" w:noHBand="0" w:noVBand="1"/>
      </w:tblPr>
      <w:tblGrid>
        <w:gridCol w:w="2610"/>
        <w:gridCol w:w="1350"/>
        <w:gridCol w:w="1350"/>
        <w:gridCol w:w="1350"/>
        <w:gridCol w:w="1350"/>
        <w:gridCol w:w="1350"/>
      </w:tblGrid>
      <w:tr w:rsidR="00DB1F86" w:rsidRPr="001160D6" w14:paraId="0E2D812A" w14:textId="77777777" w:rsidTr="00FF4D54">
        <w:trPr>
          <w:tblHeader/>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14:paraId="340C562C" w14:textId="77777777" w:rsidR="00DB1F86" w:rsidRPr="001160D6" w:rsidRDefault="00DB1F86" w:rsidP="00FF4D54">
            <w:pPr>
              <w:rPr>
                <w:b/>
                <w:bCs/>
                <w:color w:val="000000"/>
                <w:sz w:val="21"/>
                <w:szCs w:val="21"/>
                <w:lang w:val="es-AR" w:eastAsia="en-CA"/>
              </w:rPr>
            </w:pPr>
            <w:r w:rsidRPr="001160D6">
              <w:rPr>
                <w:b/>
                <w:bCs/>
                <w:color w:val="000000"/>
                <w:sz w:val="21"/>
                <w:szCs w:val="21"/>
                <w:lang w:val="es-AR"/>
              </w:rPr>
              <w:t>HFC</w:t>
            </w:r>
          </w:p>
        </w:tc>
        <w:tc>
          <w:tcPr>
            <w:tcW w:w="5400" w:type="dxa"/>
            <w:gridSpan w:val="4"/>
            <w:tcBorders>
              <w:top w:val="single" w:sz="4" w:space="0" w:color="auto"/>
              <w:left w:val="nil"/>
              <w:bottom w:val="single" w:sz="4" w:space="0" w:color="auto"/>
              <w:right w:val="single" w:sz="4" w:space="0" w:color="auto"/>
            </w:tcBorders>
            <w:noWrap/>
            <w:vAlign w:val="bottom"/>
            <w:hideMark/>
          </w:tcPr>
          <w:p w14:paraId="5852A46F" w14:textId="7BF31B8B"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Consumo (</w:t>
            </w:r>
            <w:proofErr w:type="spellStart"/>
            <w:r w:rsidR="008631D0" w:rsidRPr="001160D6">
              <w:rPr>
                <w:b/>
                <w:bCs/>
                <w:color w:val="000000"/>
                <w:sz w:val="21"/>
                <w:szCs w:val="21"/>
                <w:lang w:val="es-AR"/>
              </w:rPr>
              <w:t>tm</w:t>
            </w:r>
            <w:proofErr w:type="spellEnd"/>
            <w:r w:rsidRPr="001160D6">
              <w:rPr>
                <w:b/>
                <w:bCs/>
                <w:color w:val="000000"/>
                <w:sz w:val="21"/>
                <w:szCs w:val="21"/>
                <w:lang w:val="es-AR"/>
              </w:rPr>
              <w:t>)</w:t>
            </w:r>
          </w:p>
        </w:tc>
        <w:tc>
          <w:tcPr>
            <w:tcW w:w="1350" w:type="dxa"/>
            <w:vMerge w:val="restart"/>
            <w:tcBorders>
              <w:top w:val="single" w:sz="4" w:space="0" w:color="auto"/>
              <w:left w:val="nil"/>
              <w:bottom w:val="single" w:sz="4" w:space="0" w:color="auto"/>
              <w:right w:val="single" w:sz="4" w:space="0" w:color="auto"/>
            </w:tcBorders>
            <w:noWrap/>
            <w:vAlign w:val="center"/>
            <w:hideMark/>
          </w:tcPr>
          <w:p w14:paraId="757B16FB" w14:textId="4483490C" w:rsidR="00DB1F86" w:rsidRPr="001160D6" w:rsidRDefault="008A3166" w:rsidP="008A3166">
            <w:pPr>
              <w:jc w:val="center"/>
              <w:rPr>
                <w:b/>
                <w:color w:val="000000"/>
                <w:sz w:val="21"/>
                <w:szCs w:val="21"/>
                <w:lang w:val="es-AR" w:eastAsia="en-CA"/>
              </w:rPr>
            </w:pPr>
            <w:r w:rsidRPr="001160D6">
              <w:rPr>
                <w:b/>
                <w:color w:val="000000"/>
                <w:sz w:val="21"/>
                <w:szCs w:val="21"/>
                <w:lang w:val="es-AR"/>
              </w:rPr>
              <w:t xml:space="preserve">Índice </w:t>
            </w:r>
            <w:r w:rsidR="001160D6">
              <w:rPr>
                <w:b/>
                <w:color w:val="000000"/>
                <w:sz w:val="21"/>
                <w:szCs w:val="21"/>
                <w:lang w:val="es-AR"/>
              </w:rPr>
              <w:t>de crecimiento (%)</w:t>
            </w:r>
            <w:r w:rsidR="00DB1F86" w:rsidRPr="001160D6">
              <w:rPr>
                <w:b/>
                <w:color w:val="000000"/>
                <w:sz w:val="21"/>
                <w:szCs w:val="21"/>
                <w:lang w:val="es-AR"/>
              </w:rPr>
              <w:t>*</w:t>
            </w:r>
          </w:p>
        </w:tc>
      </w:tr>
      <w:tr w:rsidR="00DB1F86" w:rsidRPr="001160D6" w14:paraId="734BFCD7" w14:textId="77777777" w:rsidTr="00FF4D54">
        <w:trPr>
          <w:tblHeader/>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02C0E3FB" w14:textId="77777777" w:rsidR="00DB1F86" w:rsidRPr="001160D6" w:rsidRDefault="00DB1F86" w:rsidP="00FF4D54">
            <w:pPr>
              <w:rPr>
                <w:b/>
                <w:bCs/>
                <w:color w:val="000000"/>
                <w:sz w:val="21"/>
                <w:szCs w:val="21"/>
                <w:lang w:val="es-AR" w:eastAsia="en-CA"/>
              </w:rPr>
            </w:pPr>
          </w:p>
        </w:tc>
        <w:tc>
          <w:tcPr>
            <w:tcW w:w="1350" w:type="dxa"/>
            <w:tcBorders>
              <w:top w:val="single" w:sz="4" w:space="0" w:color="auto"/>
              <w:left w:val="nil"/>
              <w:bottom w:val="single" w:sz="4" w:space="0" w:color="auto"/>
              <w:right w:val="single" w:sz="4" w:space="0" w:color="auto"/>
            </w:tcBorders>
            <w:noWrap/>
            <w:vAlign w:val="bottom"/>
            <w:hideMark/>
          </w:tcPr>
          <w:p w14:paraId="3CF6BEBE"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2015</w:t>
            </w:r>
          </w:p>
        </w:tc>
        <w:tc>
          <w:tcPr>
            <w:tcW w:w="1350" w:type="dxa"/>
            <w:tcBorders>
              <w:top w:val="single" w:sz="4" w:space="0" w:color="auto"/>
              <w:left w:val="nil"/>
              <w:bottom w:val="single" w:sz="4" w:space="0" w:color="auto"/>
              <w:right w:val="single" w:sz="4" w:space="0" w:color="auto"/>
            </w:tcBorders>
            <w:noWrap/>
            <w:vAlign w:val="bottom"/>
            <w:hideMark/>
          </w:tcPr>
          <w:p w14:paraId="61005F75"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2020</w:t>
            </w:r>
          </w:p>
        </w:tc>
        <w:tc>
          <w:tcPr>
            <w:tcW w:w="1350" w:type="dxa"/>
            <w:tcBorders>
              <w:top w:val="single" w:sz="4" w:space="0" w:color="auto"/>
              <w:left w:val="nil"/>
              <w:bottom w:val="single" w:sz="4" w:space="0" w:color="auto"/>
              <w:right w:val="single" w:sz="4" w:space="0" w:color="auto"/>
            </w:tcBorders>
            <w:noWrap/>
            <w:vAlign w:val="bottom"/>
            <w:hideMark/>
          </w:tcPr>
          <w:p w14:paraId="665AF394"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2025</w:t>
            </w:r>
          </w:p>
        </w:tc>
        <w:tc>
          <w:tcPr>
            <w:tcW w:w="1350" w:type="dxa"/>
            <w:tcBorders>
              <w:top w:val="single" w:sz="4" w:space="0" w:color="auto"/>
              <w:left w:val="nil"/>
              <w:bottom w:val="single" w:sz="4" w:space="0" w:color="auto"/>
              <w:right w:val="single" w:sz="4" w:space="0" w:color="auto"/>
            </w:tcBorders>
            <w:noWrap/>
            <w:vAlign w:val="bottom"/>
            <w:hideMark/>
          </w:tcPr>
          <w:p w14:paraId="4A3F5A12" w14:textId="77777777" w:rsidR="00DB1F86" w:rsidRPr="001160D6" w:rsidRDefault="00DB1F86" w:rsidP="00FF4D54">
            <w:pPr>
              <w:jc w:val="center"/>
              <w:rPr>
                <w:b/>
                <w:bCs/>
                <w:color w:val="000000"/>
                <w:sz w:val="21"/>
                <w:szCs w:val="21"/>
                <w:lang w:val="es-AR" w:eastAsia="en-CA"/>
              </w:rPr>
            </w:pPr>
            <w:r w:rsidRPr="001160D6">
              <w:rPr>
                <w:b/>
                <w:bCs/>
                <w:color w:val="000000"/>
                <w:sz w:val="21"/>
                <w:szCs w:val="21"/>
                <w:lang w:val="es-AR"/>
              </w:rPr>
              <w:t>2030</w:t>
            </w:r>
          </w:p>
        </w:tc>
        <w:tc>
          <w:tcPr>
            <w:tcW w:w="1350" w:type="dxa"/>
            <w:vMerge/>
            <w:tcBorders>
              <w:top w:val="single" w:sz="4" w:space="0" w:color="auto"/>
              <w:left w:val="nil"/>
              <w:bottom w:val="single" w:sz="4" w:space="0" w:color="auto"/>
              <w:right w:val="single" w:sz="4" w:space="0" w:color="auto"/>
            </w:tcBorders>
            <w:vAlign w:val="center"/>
            <w:hideMark/>
          </w:tcPr>
          <w:p w14:paraId="7B6F2E31" w14:textId="77777777" w:rsidR="00DB1F86" w:rsidRPr="001160D6" w:rsidRDefault="00DB1F86" w:rsidP="00FF4D54">
            <w:pPr>
              <w:rPr>
                <w:b/>
                <w:color w:val="000000"/>
                <w:sz w:val="21"/>
                <w:szCs w:val="21"/>
                <w:lang w:val="es-AR" w:eastAsia="en-CA"/>
              </w:rPr>
            </w:pPr>
          </w:p>
        </w:tc>
      </w:tr>
      <w:tr w:rsidR="00DB1F86" w:rsidRPr="001160D6" w14:paraId="0DFC2E9D"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452FCBCD" w14:textId="77777777" w:rsidR="00DB1F86" w:rsidRPr="001160D6" w:rsidRDefault="00DB1F86" w:rsidP="00FF4D54">
            <w:pPr>
              <w:rPr>
                <w:color w:val="000000"/>
                <w:sz w:val="21"/>
                <w:szCs w:val="21"/>
                <w:lang w:val="es-AR" w:eastAsia="en-CA"/>
              </w:rPr>
            </w:pPr>
            <w:r w:rsidRPr="001160D6">
              <w:rPr>
                <w:color w:val="000000"/>
                <w:sz w:val="21"/>
                <w:szCs w:val="21"/>
                <w:lang w:val="es-AR"/>
              </w:rPr>
              <w:t>R-410A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5AA4F83" w14:textId="2D9DC555" w:rsidR="00DB1F86" w:rsidRPr="001160D6" w:rsidRDefault="00DB1F86" w:rsidP="00FF4D54">
            <w:pPr>
              <w:jc w:val="right"/>
              <w:rPr>
                <w:color w:val="000000"/>
                <w:sz w:val="21"/>
                <w:szCs w:val="21"/>
                <w:lang w:val="es-AR" w:eastAsia="en-CA"/>
              </w:rPr>
            </w:pPr>
            <w:r w:rsidRPr="001160D6">
              <w:rPr>
                <w:color w:val="000000"/>
                <w:sz w:val="21"/>
                <w:szCs w:val="21"/>
                <w:lang w:val="es-AR"/>
              </w:rPr>
              <w:t>10</w:t>
            </w:r>
            <w:r w:rsidR="007120E8" w:rsidRPr="001160D6">
              <w:rPr>
                <w:color w:val="000000"/>
                <w:sz w:val="21"/>
                <w:szCs w:val="21"/>
                <w:lang w:val="es-AR"/>
              </w:rPr>
              <w:t>6 661</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1B93ED8" w14:textId="367D1F26" w:rsidR="00DB1F86" w:rsidRPr="001160D6" w:rsidRDefault="00DB1F86" w:rsidP="00FF4D54">
            <w:pPr>
              <w:jc w:val="right"/>
              <w:rPr>
                <w:color w:val="000000"/>
                <w:sz w:val="21"/>
                <w:szCs w:val="21"/>
                <w:lang w:val="es-AR" w:eastAsia="en-CA"/>
              </w:rPr>
            </w:pPr>
            <w:r w:rsidRPr="001160D6">
              <w:rPr>
                <w:color w:val="000000"/>
                <w:sz w:val="21"/>
                <w:szCs w:val="21"/>
                <w:lang w:val="es-AR"/>
              </w:rPr>
              <w:t>19</w:t>
            </w:r>
            <w:r w:rsidR="007120E8" w:rsidRPr="001160D6">
              <w:rPr>
                <w:color w:val="000000"/>
                <w:sz w:val="21"/>
                <w:szCs w:val="21"/>
                <w:lang w:val="es-AR"/>
              </w:rPr>
              <w:t>2 770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AAC8750" w14:textId="2967C501" w:rsidR="00DB1F86" w:rsidRPr="001160D6" w:rsidRDefault="00DB1F86" w:rsidP="00FF4D54">
            <w:pPr>
              <w:jc w:val="right"/>
              <w:rPr>
                <w:color w:val="000000"/>
                <w:sz w:val="21"/>
                <w:szCs w:val="21"/>
                <w:lang w:val="es-AR" w:eastAsia="en-CA"/>
              </w:rPr>
            </w:pPr>
            <w:r w:rsidRPr="001160D6">
              <w:rPr>
                <w:color w:val="000000"/>
                <w:sz w:val="21"/>
                <w:szCs w:val="21"/>
                <w:lang w:val="es-AR"/>
              </w:rPr>
              <w:t>28</w:t>
            </w:r>
            <w:r w:rsidR="007120E8" w:rsidRPr="001160D6">
              <w:rPr>
                <w:color w:val="000000"/>
                <w:sz w:val="21"/>
                <w:szCs w:val="21"/>
                <w:lang w:val="es-AR"/>
              </w:rPr>
              <w:t>4 682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7CFCD4D" w14:textId="24AF21AC" w:rsidR="00DB1F86" w:rsidRPr="001160D6" w:rsidRDefault="00DB1F86" w:rsidP="00FF4D54">
            <w:pPr>
              <w:jc w:val="right"/>
              <w:rPr>
                <w:color w:val="000000"/>
                <w:sz w:val="21"/>
                <w:szCs w:val="21"/>
                <w:lang w:val="es-AR" w:eastAsia="en-CA"/>
              </w:rPr>
            </w:pPr>
            <w:r w:rsidRPr="001160D6">
              <w:rPr>
                <w:color w:val="000000"/>
                <w:sz w:val="21"/>
                <w:szCs w:val="21"/>
                <w:lang w:val="es-AR"/>
              </w:rPr>
              <w:t>36</w:t>
            </w:r>
            <w:r w:rsidR="007120E8" w:rsidRPr="001160D6">
              <w:rPr>
                <w:color w:val="000000"/>
                <w:sz w:val="21"/>
                <w:szCs w:val="21"/>
                <w:lang w:val="es-AR"/>
              </w:rPr>
              <w:t>4 845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4A03C728" w14:textId="7CB1DEAF" w:rsidR="00DB1F86" w:rsidRPr="001160D6" w:rsidRDefault="007120E8" w:rsidP="00FF4D54">
            <w:pPr>
              <w:jc w:val="right"/>
              <w:rPr>
                <w:sz w:val="21"/>
                <w:szCs w:val="21"/>
                <w:lang w:val="es-AR"/>
              </w:rPr>
            </w:pPr>
            <w:r w:rsidRPr="001160D6">
              <w:rPr>
                <w:sz w:val="21"/>
                <w:szCs w:val="21"/>
                <w:lang w:val="es-AR"/>
              </w:rPr>
              <w:t>8,5</w:t>
            </w:r>
          </w:p>
        </w:tc>
      </w:tr>
      <w:tr w:rsidR="00DB1F86" w:rsidRPr="001160D6" w14:paraId="3038B7AA"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1E94F1C9" w14:textId="77777777" w:rsidR="00DB1F86" w:rsidRPr="001160D6" w:rsidRDefault="00DB1F86" w:rsidP="00FF4D54">
            <w:pPr>
              <w:rPr>
                <w:color w:val="000000"/>
                <w:sz w:val="21"/>
                <w:szCs w:val="21"/>
                <w:lang w:val="es-AR" w:eastAsia="en-CA"/>
              </w:rPr>
            </w:pPr>
            <w:r w:rsidRPr="001160D6">
              <w:rPr>
                <w:color w:val="000000"/>
                <w:sz w:val="21"/>
                <w:szCs w:val="21"/>
                <w:lang w:val="es-AR"/>
              </w:rPr>
              <w:t>HFC-134a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30C8110" w14:textId="2EEA4600" w:rsidR="00DB1F86" w:rsidRPr="001160D6" w:rsidRDefault="00DB1F86" w:rsidP="00FF4D54">
            <w:pPr>
              <w:jc w:val="right"/>
              <w:rPr>
                <w:color w:val="000000"/>
                <w:sz w:val="21"/>
                <w:szCs w:val="21"/>
                <w:lang w:val="es-AR" w:eastAsia="en-CA"/>
              </w:rPr>
            </w:pPr>
            <w:r w:rsidRPr="001160D6">
              <w:rPr>
                <w:color w:val="000000"/>
                <w:sz w:val="21"/>
                <w:szCs w:val="21"/>
                <w:lang w:val="es-AR"/>
              </w:rPr>
              <w:t>7</w:t>
            </w:r>
            <w:r w:rsidR="007120E8" w:rsidRPr="001160D6">
              <w:rPr>
                <w:color w:val="000000"/>
                <w:sz w:val="21"/>
                <w:szCs w:val="21"/>
                <w:lang w:val="es-AR"/>
              </w:rPr>
              <w:t>8 688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1C022DF" w14:textId="16B993C2" w:rsidR="00DB1F86" w:rsidRPr="001160D6" w:rsidRDefault="00DB1F86" w:rsidP="00FF4D54">
            <w:pPr>
              <w:jc w:val="right"/>
              <w:rPr>
                <w:color w:val="000000"/>
                <w:sz w:val="21"/>
                <w:szCs w:val="21"/>
                <w:lang w:val="es-AR" w:eastAsia="en-CA"/>
              </w:rPr>
            </w:pPr>
            <w:r w:rsidRPr="001160D6">
              <w:rPr>
                <w:color w:val="000000"/>
                <w:sz w:val="21"/>
                <w:szCs w:val="21"/>
                <w:lang w:val="es-AR"/>
              </w:rPr>
              <w:t>10</w:t>
            </w:r>
            <w:r w:rsidR="007120E8" w:rsidRPr="001160D6">
              <w:rPr>
                <w:color w:val="000000"/>
                <w:sz w:val="21"/>
                <w:szCs w:val="21"/>
                <w:lang w:val="es-AR"/>
              </w:rPr>
              <w:t>6 731</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306999B" w14:textId="79FE1446" w:rsidR="00DB1F86" w:rsidRPr="001160D6" w:rsidRDefault="00DB1F86" w:rsidP="00FF4D54">
            <w:pPr>
              <w:jc w:val="right"/>
              <w:rPr>
                <w:color w:val="000000"/>
                <w:sz w:val="21"/>
                <w:szCs w:val="21"/>
                <w:lang w:val="es-AR" w:eastAsia="en-CA"/>
              </w:rPr>
            </w:pPr>
            <w:r w:rsidRPr="001160D6">
              <w:rPr>
                <w:color w:val="000000"/>
                <w:sz w:val="21"/>
                <w:szCs w:val="21"/>
                <w:lang w:val="es-AR"/>
              </w:rPr>
              <w:t>13</w:t>
            </w:r>
            <w:r w:rsidR="007120E8" w:rsidRPr="001160D6">
              <w:rPr>
                <w:color w:val="000000"/>
                <w:sz w:val="21"/>
                <w:szCs w:val="21"/>
                <w:lang w:val="es-AR"/>
              </w:rPr>
              <w:t>9 547</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F3FABEC" w14:textId="714AEADE" w:rsidR="00DB1F86" w:rsidRPr="001160D6" w:rsidRDefault="00DB1F86" w:rsidP="00FF4D54">
            <w:pPr>
              <w:jc w:val="right"/>
              <w:rPr>
                <w:color w:val="000000"/>
                <w:sz w:val="21"/>
                <w:szCs w:val="21"/>
                <w:lang w:val="es-AR" w:eastAsia="en-CA"/>
              </w:rPr>
            </w:pPr>
            <w:r w:rsidRPr="001160D6">
              <w:rPr>
                <w:color w:val="000000"/>
                <w:sz w:val="21"/>
                <w:szCs w:val="21"/>
                <w:lang w:val="es-AR"/>
              </w:rPr>
              <w:t>17</w:t>
            </w:r>
            <w:r w:rsidR="007120E8" w:rsidRPr="001160D6">
              <w:rPr>
                <w:color w:val="000000"/>
                <w:sz w:val="21"/>
                <w:szCs w:val="21"/>
                <w:lang w:val="es-AR"/>
              </w:rPr>
              <w:t>7 432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18B343B2" w14:textId="54CA248E" w:rsidR="00DB1F86" w:rsidRPr="001160D6" w:rsidRDefault="007120E8" w:rsidP="00FF4D54">
            <w:pPr>
              <w:jc w:val="right"/>
              <w:rPr>
                <w:sz w:val="21"/>
                <w:szCs w:val="21"/>
                <w:lang w:val="es-AR"/>
              </w:rPr>
            </w:pPr>
            <w:r w:rsidRPr="001160D6">
              <w:rPr>
                <w:sz w:val="21"/>
                <w:szCs w:val="21"/>
                <w:lang w:val="es-AR"/>
              </w:rPr>
              <w:t>5,6</w:t>
            </w:r>
          </w:p>
        </w:tc>
      </w:tr>
      <w:tr w:rsidR="00DB1F86" w:rsidRPr="001160D6" w14:paraId="35D55A06"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0AEAD0D9" w14:textId="77777777" w:rsidR="00DB1F86" w:rsidRPr="001160D6" w:rsidRDefault="00DB1F86" w:rsidP="00FF4D54">
            <w:pPr>
              <w:rPr>
                <w:color w:val="000000"/>
                <w:sz w:val="21"/>
                <w:szCs w:val="21"/>
                <w:lang w:val="es-AR" w:eastAsia="en-CA"/>
              </w:rPr>
            </w:pPr>
            <w:r w:rsidRPr="001160D6">
              <w:rPr>
                <w:color w:val="000000"/>
                <w:sz w:val="21"/>
                <w:szCs w:val="21"/>
                <w:lang w:val="es-AR"/>
              </w:rPr>
              <w:t>R-407C</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D5AD15F" w14:textId="18EE7FCD" w:rsidR="00DB1F86" w:rsidRPr="001160D6" w:rsidRDefault="00DB1F86" w:rsidP="00FF4D54">
            <w:pPr>
              <w:jc w:val="right"/>
              <w:rPr>
                <w:color w:val="000000"/>
                <w:sz w:val="21"/>
                <w:szCs w:val="21"/>
                <w:lang w:val="es-AR" w:eastAsia="en-CA"/>
              </w:rPr>
            </w:pPr>
            <w:r w:rsidRPr="001160D6">
              <w:rPr>
                <w:color w:val="000000"/>
                <w:sz w:val="21"/>
                <w:szCs w:val="21"/>
                <w:lang w:val="es-AR"/>
              </w:rPr>
              <w:t>5</w:t>
            </w:r>
            <w:r w:rsidR="007120E8" w:rsidRPr="001160D6">
              <w:rPr>
                <w:color w:val="000000"/>
                <w:sz w:val="21"/>
                <w:szCs w:val="21"/>
                <w:lang w:val="es-AR"/>
              </w:rPr>
              <w:t>5 278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01F20B9" w14:textId="3AE9E4FF" w:rsidR="00DB1F86" w:rsidRPr="001160D6" w:rsidRDefault="00DB1F86" w:rsidP="00FF4D54">
            <w:pPr>
              <w:jc w:val="right"/>
              <w:rPr>
                <w:color w:val="000000"/>
                <w:sz w:val="21"/>
                <w:szCs w:val="21"/>
                <w:lang w:val="es-AR" w:eastAsia="en-CA"/>
              </w:rPr>
            </w:pPr>
            <w:r w:rsidRPr="001160D6">
              <w:rPr>
                <w:color w:val="000000"/>
                <w:sz w:val="21"/>
                <w:szCs w:val="21"/>
                <w:lang w:val="es-AR"/>
              </w:rPr>
              <w:t>10</w:t>
            </w:r>
            <w:r w:rsidR="007120E8" w:rsidRPr="001160D6">
              <w:rPr>
                <w:color w:val="000000"/>
                <w:sz w:val="21"/>
                <w:szCs w:val="21"/>
                <w:lang w:val="es-AR"/>
              </w:rPr>
              <w:t>1 216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53732BF" w14:textId="12680F57" w:rsidR="00DB1F86" w:rsidRPr="001160D6" w:rsidRDefault="00DB1F86" w:rsidP="00FF4D54">
            <w:pPr>
              <w:jc w:val="right"/>
              <w:rPr>
                <w:color w:val="000000"/>
                <w:sz w:val="21"/>
                <w:szCs w:val="21"/>
                <w:lang w:val="es-AR" w:eastAsia="en-CA"/>
              </w:rPr>
            </w:pPr>
            <w:r w:rsidRPr="001160D6">
              <w:rPr>
                <w:color w:val="000000"/>
                <w:sz w:val="21"/>
                <w:szCs w:val="21"/>
                <w:lang w:val="es-AR"/>
              </w:rPr>
              <w:t>17</w:t>
            </w:r>
            <w:r w:rsidR="007120E8" w:rsidRPr="001160D6">
              <w:rPr>
                <w:color w:val="000000"/>
                <w:sz w:val="21"/>
                <w:szCs w:val="21"/>
                <w:lang w:val="es-AR"/>
              </w:rPr>
              <w:t>4 433</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1A2A58C" w14:textId="1237A20E" w:rsidR="00DB1F86" w:rsidRPr="001160D6" w:rsidRDefault="00DB1F86" w:rsidP="00FF4D54">
            <w:pPr>
              <w:jc w:val="right"/>
              <w:rPr>
                <w:color w:val="000000"/>
                <w:sz w:val="21"/>
                <w:szCs w:val="21"/>
                <w:lang w:val="es-AR" w:eastAsia="en-CA"/>
              </w:rPr>
            </w:pPr>
            <w:r w:rsidRPr="001160D6">
              <w:rPr>
                <w:color w:val="000000"/>
                <w:sz w:val="21"/>
                <w:szCs w:val="21"/>
                <w:lang w:val="es-AR"/>
              </w:rPr>
              <w:t>28</w:t>
            </w:r>
            <w:r w:rsidR="007120E8" w:rsidRPr="001160D6">
              <w:rPr>
                <w:color w:val="000000"/>
                <w:sz w:val="21"/>
                <w:szCs w:val="21"/>
                <w:lang w:val="es-AR"/>
              </w:rPr>
              <w:t>5 500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17B5D5BC" w14:textId="752E61BA" w:rsidR="00DB1F86" w:rsidRPr="001160D6" w:rsidRDefault="00DB1F86" w:rsidP="00FF4D54">
            <w:pPr>
              <w:jc w:val="right"/>
              <w:rPr>
                <w:sz w:val="21"/>
                <w:szCs w:val="21"/>
                <w:lang w:val="es-AR"/>
              </w:rPr>
            </w:pPr>
            <w:r w:rsidRPr="001160D6">
              <w:rPr>
                <w:sz w:val="21"/>
                <w:szCs w:val="21"/>
                <w:lang w:val="es-AR"/>
              </w:rPr>
              <w:t>1</w:t>
            </w:r>
            <w:r w:rsidR="007120E8" w:rsidRPr="001160D6">
              <w:rPr>
                <w:sz w:val="21"/>
                <w:szCs w:val="21"/>
                <w:lang w:val="es-AR"/>
              </w:rPr>
              <w:t>1,6</w:t>
            </w:r>
          </w:p>
        </w:tc>
      </w:tr>
      <w:tr w:rsidR="00DB1F86" w:rsidRPr="001160D6" w14:paraId="7DC776D7"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54EB7205" w14:textId="77777777" w:rsidR="00DB1F86" w:rsidRPr="001160D6" w:rsidRDefault="00DB1F86" w:rsidP="00FF4D54">
            <w:pPr>
              <w:rPr>
                <w:color w:val="000000"/>
                <w:sz w:val="21"/>
                <w:szCs w:val="21"/>
                <w:lang w:val="es-AR" w:eastAsia="en-CA"/>
              </w:rPr>
            </w:pPr>
            <w:r w:rsidRPr="001160D6">
              <w:rPr>
                <w:color w:val="000000"/>
                <w:sz w:val="21"/>
                <w:szCs w:val="21"/>
                <w:lang w:val="es-AR"/>
              </w:rPr>
              <w:t>R-404A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781FB7C" w14:textId="4079D281" w:rsidR="00DB1F86" w:rsidRPr="001160D6" w:rsidRDefault="00DB1F86" w:rsidP="00FF4D54">
            <w:pPr>
              <w:jc w:val="right"/>
              <w:rPr>
                <w:color w:val="000000"/>
                <w:sz w:val="21"/>
                <w:szCs w:val="21"/>
                <w:lang w:val="es-AR" w:eastAsia="en-CA"/>
              </w:rPr>
            </w:pPr>
            <w:r w:rsidRPr="001160D6">
              <w:rPr>
                <w:color w:val="000000"/>
                <w:sz w:val="21"/>
                <w:szCs w:val="21"/>
                <w:lang w:val="es-AR"/>
              </w:rPr>
              <w:t>1</w:t>
            </w:r>
            <w:r w:rsidR="007120E8" w:rsidRPr="001160D6">
              <w:rPr>
                <w:color w:val="000000"/>
                <w:sz w:val="21"/>
                <w:szCs w:val="21"/>
                <w:lang w:val="es-AR"/>
              </w:rPr>
              <w:t>8 202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099C3CE" w14:textId="3B453F32" w:rsidR="00DB1F86" w:rsidRPr="001160D6" w:rsidRDefault="00DB1F86" w:rsidP="00FF4D54">
            <w:pPr>
              <w:jc w:val="right"/>
              <w:rPr>
                <w:color w:val="000000"/>
                <w:sz w:val="21"/>
                <w:szCs w:val="21"/>
                <w:lang w:val="es-AR" w:eastAsia="en-CA"/>
              </w:rPr>
            </w:pPr>
            <w:r w:rsidRPr="001160D6">
              <w:rPr>
                <w:color w:val="000000"/>
                <w:sz w:val="21"/>
                <w:szCs w:val="21"/>
                <w:lang w:val="es-AR"/>
              </w:rPr>
              <w:t>3</w:t>
            </w:r>
            <w:r w:rsidR="007120E8" w:rsidRPr="001160D6">
              <w:rPr>
                <w:color w:val="000000"/>
                <w:sz w:val="21"/>
                <w:szCs w:val="21"/>
                <w:lang w:val="es-AR"/>
              </w:rPr>
              <w:t>1 982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5F95DB3" w14:textId="1BDE6E1D" w:rsidR="00DB1F86" w:rsidRPr="001160D6" w:rsidRDefault="00DB1F86" w:rsidP="00FF4D54">
            <w:pPr>
              <w:jc w:val="right"/>
              <w:rPr>
                <w:color w:val="000000"/>
                <w:sz w:val="21"/>
                <w:szCs w:val="21"/>
                <w:lang w:val="es-AR" w:eastAsia="en-CA"/>
              </w:rPr>
            </w:pPr>
            <w:r w:rsidRPr="001160D6">
              <w:rPr>
                <w:color w:val="000000"/>
                <w:sz w:val="21"/>
                <w:szCs w:val="21"/>
                <w:lang w:val="es-AR"/>
              </w:rPr>
              <w:t>5</w:t>
            </w:r>
            <w:r w:rsidR="007120E8" w:rsidRPr="001160D6">
              <w:rPr>
                <w:color w:val="000000"/>
                <w:sz w:val="21"/>
                <w:szCs w:val="21"/>
                <w:lang w:val="es-AR"/>
              </w:rPr>
              <w:t>5 964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A8C67C7" w14:textId="412710B5" w:rsidR="00DB1F86" w:rsidRPr="001160D6" w:rsidRDefault="00DB1F86" w:rsidP="00FF4D54">
            <w:pPr>
              <w:jc w:val="right"/>
              <w:rPr>
                <w:color w:val="000000"/>
                <w:sz w:val="21"/>
                <w:szCs w:val="21"/>
                <w:lang w:val="es-AR" w:eastAsia="en-CA"/>
              </w:rPr>
            </w:pPr>
            <w:r w:rsidRPr="001160D6">
              <w:rPr>
                <w:color w:val="000000"/>
                <w:sz w:val="21"/>
                <w:szCs w:val="21"/>
                <w:lang w:val="es-AR"/>
              </w:rPr>
              <w:t>8</w:t>
            </w:r>
            <w:r w:rsidR="007120E8" w:rsidRPr="001160D6">
              <w:rPr>
                <w:color w:val="000000"/>
                <w:sz w:val="21"/>
                <w:szCs w:val="21"/>
                <w:lang w:val="es-AR"/>
              </w:rPr>
              <w:t>3 845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27763B23" w14:textId="42A85597" w:rsidR="00DB1F86" w:rsidRPr="001160D6" w:rsidRDefault="00DB1F86" w:rsidP="00FF4D54">
            <w:pPr>
              <w:jc w:val="right"/>
              <w:rPr>
                <w:sz w:val="21"/>
                <w:szCs w:val="21"/>
                <w:lang w:val="es-AR"/>
              </w:rPr>
            </w:pPr>
            <w:r w:rsidRPr="001160D6">
              <w:rPr>
                <w:sz w:val="21"/>
                <w:szCs w:val="21"/>
                <w:lang w:val="es-AR"/>
              </w:rPr>
              <w:t>1</w:t>
            </w:r>
            <w:r w:rsidR="007120E8" w:rsidRPr="001160D6">
              <w:rPr>
                <w:sz w:val="21"/>
                <w:szCs w:val="21"/>
                <w:lang w:val="es-AR"/>
              </w:rPr>
              <w:t>0,7</w:t>
            </w:r>
          </w:p>
        </w:tc>
      </w:tr>
      <w:tr w:rsidR="00DB1F86" w:rsidRPr="001160D6" w14:paraId="28E1BF2F"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68272118" w14:textId="77777777" w:rsidR="00DB1F86" w:rsidRPr="001160D6" w:rsidRDefault="00DB1F86" w:rsidP="00FF4D54">
            <w:pPr>
              <w:rPr>
                <w:color w:val="000000"/>
                <w:sz w:val="21"/>
                <w:szCs w:val="21"/>
                <w:lang w:val="es-AR" w:eastAsia="en-CA"/>
              </w:rPr>
            </w:pPr>
            <w:r w:rsidRPr="001160D6">
              <w:rPr>
                <w:color w:val="000000"/>
                <w:sz w:val="21"/>
                <w:szCs w:val="21"/>
                <w:lang w:val="es-AR"/>
              </w:rPr>
              <w:t>R-507A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02D93D3" w14:textId="0AEA47D1" w:rsidR="00DB1F86" w:rsidRPr="001160D6" w:rsidRDefault="00DB1F86" w:rsidP="00FF4D54">
            <w:pPr>
              <w:jc w:val="right"/>
              <w:rPr>
                <w:color w:val="000000"/>
                <w:sz w:val="21"/>
                <w:szCs w:val="21"/>
                <w:lang w:val="es-AR" w:eastAsia="en-CA"/>
              </w:rPr>
            </w:pPr>
            <w:r w:rsidRPr="001160D6">
              <w:rPr>
                <w:color w:val="000000"/>
                <w:sz w:val="21"/>
                <w:szCs w:val="21"/>
                <w:lang w:val="es-AR"/>
              </w:rPr>
              <w:t>1</w:t>
            </w:r>
            <w:r w:rsidR="007120E8" w:rsidRPr="001160D6">
              <w:rPr>
                <w:color w:val="000000"/>
                <w:sz w:val="21"/>
                <w:szCs w:val="21"/>
                <w:lang w:val="es-AR"/>
              </w:rPr>
              <w:t>8 202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F8CD407" w14:textId="29AD141B" w:rsidR="00DB1F86" w:rsidRPr="001160D6" w:rsidRDefault="00DB1F86" w:rsidP="00FF4D54">
            <w:pPr>
              <w:jc w:val="right"/>
              <w:rPr>
                <w:color w:val="000000"/>
                <w:sz w:val="21"/>
                <w:szCs w:val="21"/>
                <w:lang w:val="es-AR" w:eastAsia="en-CA"/>
              </w:rPr>
            </w:pPr>
            <w:r w:rsidRPr="001160D6">
              <w:rPr>
                <w:color w:val="000000"/>
                <w:sz w:val="21"/>
                <w:szCs w:val="21"/>
                <w:lang w:val="es-AR"/>
              </w:rPr>
              <w:t>3</w:t>
            </w:r>
            <w:r w:rsidR="007120E8" w:rsidRPr="001160D6">
              <w:rPr>
                <w:color w:val="000000"/>
                <w:sz w:val="21"/>
                <w:szCs w:val="21"/>
                <w:lang w:val="es-AR"/>
              </w:rPr>
              <w:t>1 982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8AEEA3B" w14:textId="51A398C4" w:rsidR="00DB1F86" w:rsidRPr="001160D6" w:rsidRDefault="00DB1F86" w:rsidP="00FF4D54">
            <w:pPr>
              <w:jc w:val="right"/>
              <w:rPr>
                <w:color w:val="000000"/>
                <w:sz w:val="21"/>
                <w:szCs w:val="21"/>
                <w:lang w:val="es-AR" w:eastAsia="en-CA"/>
              </w:rPr>
            </w:pPr>
            <w:r w:rsidRPr="001160D6">
              <w:rPr>
                <w:color w:val="000000"/>
                <w:sz w:val="21"/>
                <w:szCs w:val="21"/>
                <w:lang w:val="es-AR"/>
              </w:rPr>
              <w:t>5</w:t>
            </w:r>
            <w:r w:rsidR="007120E8" w:rsidRPr="001160D6">
              <w:rPr>
                <w:color w:val="000000"/>
                <w:sz w:val="21"/>
                <w:szCs w:val="21"/>
                <w:lang w:val="es-AR"/>
              </w:rPr>
              <w:t>5 964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95CC387" w14:textId="1587DF01" w:rsidR="00DB1F86" w:rsidRPr="001160D6" w:rsidRDefault="00DB1F86" w:rsidP="00FF4D54">
            <w:pPr>
              <w:jc w:val="right"/>
              <w:rPr>
                <w:color w:val="000000"/>
                <w:sz w:val="21"/>
                <w:szCs w:val="21"/>
                <w:lang w:val="es-AR" w:eastAsia="en-CA"/>
              </w:rPr>
            </w:pPr>
            <w:r w:rsidRPr="001160D6">
              <w:rPr>
                <w:color w:val="000000"/>
                <w:sz w:val="21"/>
                <w:szCs w:val="21"/>
                <w:lang w:val="es-AR"/>
              </w:rPr>
              <w:t>8</w:t>
            </w:r>
            <w:r w:rsidR="007120E8" w:rsidRPr="001160D6">
              <w:rPr>
                <w:color w:val="000000"/>
                <w:sz w:val="21"/>
                <w:szCs w:val="21"/>
                <w:lang w:val="es-AR"/>
              </w:rPr>
              <w:t>3 845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76C61A09" w14:textId="1DA8085E" w:rsidR="00DB1F86" w:rsidRPr="001160D6" w:rsidRDefault="00DB1F86" w:rsidP="00FF4D54">
            <w:pPr>
              <w:jc w:val="right"/>
              <w:rPr>
                <w:sz w:val="21"/>
                <w:szCs w:val="21"/>
                <w:lang w:val="es-AR"/>
              </w:rPr>
            </w:pPr>
            <w:r w:rsidRPr="001160D6">
              <w:rPr>
                <w:sz w:val="21"/>
                <w:szCs w:val="21"/>
                <w:lang w:val="es-AR"/>
              </w:rPr>
              <w:t>1</w:t>
            </w:r>
            <w:r w:rsidR="007120E8" w:rsidRPr="001160D6">
              <w:rPr>
                <w:sz w:val="21"/>
                <w:szCs w:val="21"/>
                <w:lang w:val="es-AR"/>
              </w:rPr>
              <w:t>0,7</w:t>
            </w:r>
          </w:p>
        </w:tc>
      </w:tr>
      <w:tr w:rsidR="00DB1F86" w:rsidRPr="001160D6" w14:paraId="720BDCD5"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777047E9" w14:textId="77777777" w:rsidR="00DB1F86" w:rsidRPr="001160D6" w:rsidRDefault="00DB1F86" w:rsidP="00FF4D54">
            <w:pPr>
              <w:rPr>
                <w:color w:val="000000"/>
                <w:sz w:val="21"/>
                <w:szCs w:val="21"/>
                <w:lang w:val="es-AR" w:eastAsia="en-CA"/>
              </w:rPr>
            </w:pPr>
            <w:r w:rsidRPr="001160D6">
              <w:rPr>
                <w:color w:val="000000"/>
                <w:sz w:val="21"/>
                <w:szCs w:val="21"/>
                <w:lang w:val="es-AR"/>
              </w:rPr>
              <w:t>HFC-152a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983ADAE" w14:textId="13130C20" w:rsidR="00DB1F86" w:rsidRPr="001160D6" w:rsidRDefault="007120E8" w:rsidP="00FF4D54">
            <w:pPr>
              <w:jc w:val="right"/>
              <w:rPr>
                <w:color w:val="000000"/>
                <w:sz w:val="21"/>
                <w:szCs w:val="21"/>
                <w:lang w:val="es-AR" w:eastAsia="en-CA"/>
              </w:rPr>
            </w:pPr>
            <w:r w:rsidRPr="001160D6">
              <w:rPr>
                <w:color w:val="000000"/>
                <w:sz w:val="21"/>
                <w:szCs w:val="21"/>
                <w:lang w:val="es-AR"/>
              </w:rPr>
              <w:t>3 364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BAAC5C0" w14:textId="37B0C0BB" w:rsidR="00DB1F86" w:rsidRPr="001160D6" w:rsidRDefault="007120E8" w:rsidP="00FF4D54">
            <w:pPr>
              <w:jc w:val="right"/>
              <w:rPr>
                <w:color w:val="000000"/>
                <w:sz w:val="21"/>
                <w:szCs w:val="21"/>
                <w:lang w:val="es-AR" w:eastAsia="en-CA"/>
              </w:rPr>
            </w:pPr>
            <w:r w:rsidRPr="001160D6">
              <w:rPr>
                <w:color w:val="000000"/>
                <w:sz w:val="21"/>
                <w:szCs w:val="21"/>
                <w:lang w:val="es-AR"/>
              </w:rPr>
              <w:t>5 669</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17132EA" w14:textId="6BF75C6F" w:rsidR="00DB1F86" w:rsidRPr="001160D6" w:rsidRDefault="00DB1F86" w:rsidP="00FF4D54">
            <w:pPr>
              <w:jc w:val="right"/>
              <w:rPr>
                <w:color w:val="000000"/>
                <w:sz w:val="21"/>
                <w:szCs w:val="21"/>
                <w:lang w:val="es-AR" w:eastAsia="en-CA"/>
              </w:rPr>
            </w:pPr>
            <w:r w:rsidRPr="001160D6">
              <w:rPr>
                <w:color w:val="000000"/>
                <w:sz w:val="21"/>
                <w:szCs w:val="21"/>
                <w:lang w:val="es-AR"/>
              </w:rPr>
              <w:t>1</w:t>
            </w:r>
            <w:r w:rsidR="007120E8" w:rsidRPr="001160D6">
              <w:rPr>
                <w:color w:val="000000"/>
                <w:sz w:val="21"/>
                <w:szCs w:val="21"/>
                <w:lang w:val="es-AR"/>
              </w:rPr>
              <w:t>1 280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EBAFE86" w14:textId="6F15CC0F" w:rsidR="00DB1F86" w:rsidRPr="001160D6" w:rsidRDefault="00DB1F86" w:rsidP="00FF4D54">
            <w:pPr>
              <w:jc w:val="right"/>
              <w:rPr>
                <w:color w:val="000000"/>
                <w:sz w:val="21"/>
                <w:szCs w:val="21"/>
                <w:lang w:val="es-AR" w:eastAsia="en-CA"/>
              </w:rPr>
            </w:pPr>
            <w:r w:rsidRPr="001160D6">
              <w:rPr>
                <w:color w:val="000000"/>
                <w:sz w:val="21"/>
                <w:szCs w:val="21"/>
                <w:lang w:val="es-AR"/>
              </w:rPr>
              <w:t>1</w:t>
            </w:r>
            <w:r w:rsidR="007120E8" w:rsidRPr="001160D6">
              <w:rPr>
                <w:color w:val="000000"/>
                <w:sz w:val="21"/>
                <w:szCs w:val="21"/>
                <w:lang w:val="es-AR"/>
              </w:rPr>
              <w:t>5 225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36C3010B" w14:textId="501A053A" w:rsidR="00DB1F86" w:rsidRPr="001160D6" w:rsidRDefault="00DB1F86" w:rsidP="00FF4D54">
            <w:pPr>
              <w:jc w:val="right"/>
              <w:rPr>
                <w:sz w:val="21"/>
                <w:szCs w:val="21"/>
                <w:lang w:val="es-AR"/>
              </w:rPr>
            </w:pPr>
            <w:r w:rsidRPr="001160D6">
              <w:rPr>
                <w:sz w:val="21"/>
                <w:szCs w:val="21"/>
                <w:lang w:val="es-AR"/>
              </w:rPr>
              <w:t>1</w:t>
            </w:r>
            <w:r w:rsidR="007120E8" w:rsidRPr="001160D6">
              <w:rPr>
                <w:sz w:val="21"/>
                <w:szCs w:val="21"/>
                <w:lang w:val="es-AR"/>
              </w:rPr>
              <w:t>0,6</w:t>
            </w:r>
          </w:p>
        </w:tc>
      </w:tr>
      <w:tr w:rsidR="00DB1F86" w:rsidRPr="001160D6" w14:paraId="1FDBDAC7"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4C23CF6A" w14:textId="77777777" w:rsidR="00DB1F86" w:rsidRPr="001160D6" w:rsidRDefault="00DB1F86" w:rsidP="00FF4D54">
            <w:pPr>
              <w:rPr>
                <w:color w:val="000000"/>
                <w:sz w:val="21"/>
                <w:szCs w:val="21"/>
                <w:lang w:val="es-AR" w:eastAsia="en-CA"/>
              </w:rPr>
            </w:pPr>
            <w:r w:rsidRPr="001160D6">
              <w:rPr>
                <w:color w:val="000000"/>
                <w:sz w:val="21"/>
                <w:szCs w:val="21"/>
                <w:lang w:val="es-AR"/>
              </w:rPr>
              <w:t>HFC-245fa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4D8EF0D" w14:textId="47B3E195" w:rsidR="00DB1F86" w:rsidRPr="001160D6" w:rsidRDefault="007120E8" w:rsidP="00FF4D54">
            <w:pPr>
              <w:jc w:val="right"/>
              <w:rPr>
                <w:color w:val="000000"/>
                <w:sz w:val="21"/>
                <w:szCs w:val="21"/>
                <w:lang w:val="es-AR" w:eastAsia="en-CA"/>
              </w:rPr>
            </w:pPr>
            <w:r w:rsidRPr="001160D6">
              <w:rPr>
                <w:color w:val="000000"/>
                <w:sz w:val="21"/>
                <w:szCs w:val="21"/>
                <w:lang w:val="es-AR"/>
              </w:rPr>
              <w:t>2 172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1577B85" w14:textId="7A23FD26" w:rsidR="00DB1F86" w:rsidRPr="001160D6" w:rsidRDefault="007120E8" w:rsidP="00FF4D54">
            <w:pPr>
              <w:jc w:val="right"/>
              <w:rPr>
                <w:color w:val="000000"/>
                <w:sz w:val="21"/>
                <w:szCs w:val="21"/>
                <w:lang w:val="es-AR" w:eastAsia="en-CA"/>
              </w:rPr>
            </w:pPr>
            <w:r w:rsidRPr="001160D6">
              <w:rPr>
                <w:color w:val="000000"/>
                <w:sz w:val="21"/>
                <w:szCs w:val="21"/>
                <w:lang w:val="es-AR"/>
              </w:rPr>
              <w:t>3 840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42A8730" w14:textId="03FBE1D2" w:rsidR="00DB1F86" w:rsidRPr="001160D6" w:rsidRDefault="007120E8" w:rsidP="00FF4D54">
            <w:pPr>
              <w:jc w:val="right"/>
              <w:rPr>
                <w:color w:val="000000"/>
                <w:sz w:val="21"/>
                <w:szCs w:val="21"/>
                <w:lang w:val="es-AR" w:eastAsia="en-CA"/>
              </w:rPr>
            </w:pPr>
            <w:r w:rsidRPr="001160D6">
              <w:rPr>
                <w:color w:val="000000"/>
                <w:sz w:val="21"/>
                <w:szCs w:val="21"/>
                <w:lang w:val="es-AR"/>
              </w:rPr>
              <w:t>4 986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E912F88" w14:textId="17960827" w:rsidR="00DB1F86" w:rsidRPr="001160D6" w:rsidRDefault="007120E8" w:rsidP="00FF4D54">
            <w:pPr>
              <w:jc w:val="right"/>
              <w:rPr>
                <w:color w:val="000000"/>
                <w:sz w:val="21"/>
                <w:szCs w:val="21"/>
                <w:lang w:val="es-AR" w:eastAsia="en-CA"/>
              </w:rPr>
            </w:pPr>
            <w:r w:rsidRPr="001160D6">
              <w:rPr>
                <w:color w:val="000000"/>
                <w:sz w:val="21"/>
                <w:szCs w:val="21"/>
                <w:lang w:val="es-AR"/>
              </w:rPr>
              <w:t>5 504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42D927E2" w14:textId="5B54F0AA" w:rsidR="00DB1F86" w:rsidRPr="001160D6" w:rsidRDefault="007120E8" w:rsidP="00FF4D54">
            <w:pPr>
              <w:jc w:val="right"/>
              <w:rPr>
                <w:sz w:val="21"/>
                <w:szCs w:val="21"/>
                <w:lang w:val="es-AR"/>
              </w:rPr>
            </w:pPr>
            <w:r w:rsidRPr="001160D6">
              <w:rPr>
                <w:sz w:val="21"/>
                <w:szCs w:val="21"/>
                <w:lang w:val="es-AR"/>
              </w:rPr>
              <w:t>6,4</w:t>
            </w:r>
          </w:p>
        </w:tc>
      </w:tr>
      <w:tr w:rsidR="00DB1F86" w:rsidRPr="001160D6" w14:paraId="6DD5898E"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5064B752" w14:textId="77777777" w:rsidR="00DB1F86" w:rsidRPr="001160D6" w:rsidRDefault="00DB1F86" w:rsidP="00FF4D54">
            <w:pPr>
              <w:rPr>
                <w:color w:val="000000"/>
                <w:sz w:val="21"/>
                <w:szCs w:val="21"/>
                <w:lang w:val="es-AR" w:eastAsia="en-CA"/>
              </w:rPr>
            </w:pPr>
            <w:r w:rsidRPr="001160D6">
              <w:rPr>
                <w:color w:val="000000"/>
                <w:sz w:val="21"/>
                <w:szCs w:val="21"/>
                <w:lang w:val="es-AR"/>
              </w:rPr>
              <w:t>HFC-365mfc/HFC-227ea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2D99304" w14:textId="1EFFB3CF" w:rsidR="00DB1F86" w:rsidRPr="001160D6" w:rsidRDefault="007120E8" w:rsidP="00FF4D54">
            <w:pPr>
              <w:jc w:val="right"/>
              <w:rPr>
                <w:color w:val="000000"/>
                <w:sz w:val="21"/>
                <w:szCs w:val="21"/>
                <w:lang w:val="es-AR" w:eastAsia="en-CA"/>
              </w:rPr>
            </w:pPr>
            <w:r w:rsidRPr="001160D6">
              <w:rPr>
                <w:color w:val="000000"/>
                <w:sz w:val="21"/>
                <w:szCs w:val="21"/>
                <w:lang w:val="es-AR"/>
              </w:rPr>
              <w:t>1 758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FE9CC35" w14:textId="4876EB81" w:rsidR="00DB1F86" w:rsidRPr="001160D6" w:rsidRDefault="007120E8" w:rsidP="00FF4D54">
            <w:pPr>
              <w:jc w:val="right"/>
              <w:rPr>
                <w:color w:val="000000"/>
                <w:sz w:val="21"/>
                <w:szCs w:val="21"/>
                <w:lang w:val="es-AR" w:eastAsia="en-CA"/>
              </w:rPr>
            </w:pPr>
            <w:r w:rsidRPr="001160D6">
              <w:rPr>
                <w:color w:val="000000"/>
                <w:sz w:val="21"/>
                <w:szCs w:val="21"/>
                <w:lang w:val="es-AR"/>
              </w:rPr>
              <w:t>3 428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74BD93B" w14:textId="78C15D6B" w:rsidR="00DB1F86" w:rsidRPr="001160D6" w:rsidRDefault="007120E8" w:rsidP="00FF4D54">
            <w:pPr>
              <w:jc w:val="right"/>
              <w:rPr>
                <w:color w:val="000000"/>
                <w:sz w:val="21"/>
                <w:szCs w:val="21"/>
                <w:lang w:val="es-AR" w:eastAsia="en-CA"/>
              </w:rPr>
            </w:pPr>
            <w:r w:rsidRPr="001160D6">
              <w:rPr>
                <w:color w:val="000000"/>
                <w:sz w:val="21"/>
                <w:szCs w:val="21"/>
                <w:lang w:val="es-AR"/>
              </w:rPr>
              <w:t>4 546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3D98D50" w14:textId="5A9EBB9D" w:rsidR="00DB1F86" w:rsidRPr="001160D6" w:rsidRDefault="007120E8" w:rsidP="00FF4D54">
            <w:pPr>
              <w:jc w:val="right"/>
              <w:rPr>
                <w:color w:val="000000"/>
                <w:sz w:val="21"/>
                <w:szCs w:val="21"/>
                <w:lang w:val="es-AR" w:eastAsia="en-CA"/>
              </w:rPr>
            </w:pPr>
            <w:r w:rsidRPr="001160D6">
              <w:rPr>
                <w:color w:val="000000"/>
                <w:sz w:val="21"/>
                <w:szCs w:val="21"/>
                <w:lang w:val="es-AR"/>
              </w:rPr>
              <w:t>5 020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7C0F30F1" w14:textId="23504984" w:rsidR="00DB1F86" w:rsidRPr="001160D6" w:rsidRDefault="007120E8" w:rsidP="00FF4D54">
            <w:pPr>
              <w:jc w:val="right"/>
              <w:rPr>
                <w:sz w:val="21"/>
                <w:szCs w:val="21"/>
                <w:lang w:val="es-AR"/>
              </w:rPr>
            </w:pPr>
            <w:r w:rsidRPr="001160D6">
              <w:rPr>
                <w:sz w:val="21"/>
                <w:szCs w:val="21"/>
                <w:lang w:val="es-AR"/>
              </w:rPr>
              <w:t>7,2</w:t>
            </w:r>
          </w:p>
        </w:tc>
      </w:tr>
      <w:tr w:rsidR="00DB1F86" w:rsidRPr="001160D6" w14:paraId="64C08CAE" w14:textId="77777777" w:rsidTr="00FF4D54">
        <w:tc>
          <w:tcPr>
            <w:tcW w:w="2610" w:type="dxa"/>
            <w:tcBorders>
              <w:top w:val="nil"/>
              <w:left w:val="single" w:sz="4" w:space="0" w:color="auto"/>
              <w:bottom w:val="single" w:sz="4" w:space="0" w:color="auto"/>
              <w:right w:val="single" w:sz="4" w:space="0" w:color="auto"/>
            </w:tcBorders>
            <w:noWrap/>
            <w:vAlign w:val="bottom"/>
            <w:hideMark/>
          </w:tcPr>
          <w:p w14:paraId="340AFE1A" w14:textId="77777777" w:rsidR="00DB1F86" w:rsidRPr="001160D6" w:rsidRDefault="00DB1F86" w:rsidP="00FF4D54">
            <w:pPr>
              <w:rPr>
                <w:b/>
                <w:color w:val="000000"/>
                <w:sz w:val="21"/>
                <w:szCs w:val="21"/>
                <w:lang w:val="es-AR" w:eastAsia="en-CA"/>
              </w:rPr>
            </w:pPr>
            <w:r w:rsidRPr="001160D6">
              <w:rPr>
                <w:b/>
                <w:color w:val="000000"/>
                <w:sz w:val="21"/>
                <w:szCs w:val="21"/>
                <w:lang w:val="es-AR"/>
              </w:rPr>
              <w:t>Total</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4C30C7B" w14:textId="30A4B022" w:rsidR="00DB1F86" w:rsidRPr="001160D6" w:rsidRDefault="00DB1F86" w:rsidP="00FF4D54">
            <w:pPr>
              <w:jc w:val="right"/>
              <w:rPr>
                <w:color w:val="000000"/>
                <w:sz w:val="21"/>
                <w:szCs w:val="21"/>
                <w:lang w:val="es-AR" w:eastAsia="en-CA"/>
              </w:rPr>
            </w:pPr>
            <w:r w:rsidRPr="001160D6">
              <w:rPr>
                <w:color w:val="000000"/>
                <w:sz w:val="21"/>
                <w:szCs w:val="21"/>
                <w:lang w:val="es-AR"/>
              </w:rPr>
              <w:t>28</w:t>
            </w:r>
            <w:r w:rsidR="007120E8" w:rsidRPr="001160D6">
              <w:rPr>
                <w:color w:val="000000"/>
                <w:sz w:val="21"/>
                <w:szCs w:val="21"/>
                <w:lang w:val="es-AR"/>
              </w:rPr>
              <w:t>4 325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9C286C6" w14:textId="3FDD2CF2" w:rsidR="00DB1F86" w:rsidRPr="001160D6" w:rsidRDefault="00DB1F86" w:rsidP="00FF4D54">
            <w:pPr>
              <w:jc w:val="right"/>
              <w:rPr>
                <w:color w:val="000000"/>
                <w:sz w:val="21"/>
                <w:szCs w:val="21"/>
                <w:lang w:val="es-AR" w:eastAsia="en-CA"/>
              </w:rPr>
            </w:pPr>
            <w:r w:rsidRPr="001160D6">
              <w:rPr>
                <w:color w:val="000000"/>
                <w:sz w:val="21"/>
                <w:szCs w:val="21"/>
                <w:lang w:val="es-AR"/>
              </w:rPr>
              <w:t>47</w:t>
            </w:r>
            <w:r w:rsidR="007120E8" w:rsidRPr="001160D6">
              <w:rPr>
                <w:color w:val="000000"/>
                <w:sz w:val="21"/>
                <w:szCs w:val="21"/>
                <w:lang w:val="es-AR"/>
              </w:rPr>
              <w:t>7 618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6B94DB1" w14:textId="38F21CBC" w:rsidR="00DB1F86" w:rsidRPr="001160D6" w:rsidRDefault="00DB1F86" w:rsidP="00FF4D54">
            <w:pPr>
              <w:jc w:val="right"/>
              <w:rPr>
                <w:color w:val="000000"/>
                <w:sz w:val="21"/>
                <w:szCs w:val="21"/>
                <w:lang w:val="es-AR" w:eastAsia="en-CA"/>
              </w:rPr>
            </w:pPr>
            <w:r w:rsidRPr="001160D6">
              <w:rPr>
                <w:color w:val="000000"/>
                <w:sz w:val="21"/>
                <w:szCs w:val="21"/>
                <w:lang w:val="es-AR"/>
              </w:rPr>
              <w:t>73</w:t>
            </w:r>
            <w:r w:rsidR="007120E8" w:rsidRPr="001160D6">
              <w:rPr>
                <w:color w:val="000000"/>
                <w:sz w:val="21"/>
                <w:szCs w:val="21"/>
                <w:lang w:val="es-AR"/>
              </w:rPr>
              <w:t>1 402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DE6717D" w14:textId="001D19B4" w:rsidR="00DB1F86" w:rsidRPr="001160D6" w:rsidRDefault="007120E8" w:rsidP="00FF4D54">
            <w:pPr>
              <w:jc w:val="right"/>
              <w:rPr>
                <w:color w:val="000000"/>
                <w:sz w:val="21"/>
                <w:szCs w:val="21"/>
                <w:lang w:val="es-AR" w:eastAsia="en-CA"/>
              </w:rPr>
            </w:pPr>
            <w:r w:rsidRPr="001160D6">
              <w:rPr>
                <w:color w:val="000000"/>
                <w:sz w:val="21"/>
                <w:szCs w:val="21"/>
                <w:lang w:val="es-AR"/>
              </w:rPr>
              <w:t>1 021 216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3C9CC1B8" w14:textId="6BB73F8E" w:rsidR="00DB1F86" w:rsidRPr="001160D6" w:rsidRDefault="007120E8" w:rsidP="00FF4D54">
            <w:pPr>
              <w:jc w:val="right"/>
              <w:rPr>
                <w:sz w:val="21"/>
                <w:szCs w:val="21"/>
                <w:lang w:val="es-AR"/>
              </w:rPr>
            </w:pPr>
            <w:r w:rsidRPr="001160D6">
              <w:rPr>
                <w:sz w:val="21"/>
                <w:szCs w:val="21"/>
                <w:lang w:val="es-AR"/>
              </w:rPr>
              <w:t>8,9</w:t>
            </w:r>
          </w:p>
        </w:tc>
      </w:tr>
    </w:tbl>
    <w:p w14:paraId="49E1CB13" w14:textId="51D5194C" w:rsidR="00DB1F86" w:rsidRPr="001160D6" w:rsidRDefault="00DB1F86" w:rsidP="00DB1F86">
      <w:pPr>
        <w:ind w:left="1440" w:hanging="1440"/>
        <w:outlineLvl w:val="0"/>
        <w:rPr>
          <w:sz w:val="20"/>
          <w:szCs w:val="20"/>
          <w:lang w:val="es-AR"/>
        </w:rPr>
      </w:pPr>
      <w:r w:rsidRPr="001160D6">
        <w:rPr>
          <w:sz w:val="20"/>
          <w:szCs w:val="20"/>
          <w:lang w:val="es-AR"/>
        </w:rPr>
        <w:t xml:space="preserve">* </w:t>
      </w:r>
      <w:r w:rsidR="009A618F" w:rsidRPr="001160D6">
        <w:rPr>
          <w:sz w:val="20"/>
          <w:szCs w:val="20"/>
          <w:lang w:val="es-AR"/>
        </w:rPr>
        <w:t>Promedio del índice de crecimiento</w:t>
      </w:r>
      <w:r w:rsidRPr="001160D6">
        <w:rPr>
          <w:sz w:val="20"/>
          <w:szCs w:val="20"/>
          <w:lang w:val="es-AR"/>
        </w:rPr>
        <w:t xml:space="preserve"> entre 2015 y 2030.</w:t>
      </w:r>
    </w:p>
    <w:p w14:paraId="763865E6" w14:textId="77777777" w:rsidR="00DB1F86" w:rsidRPr="001160D6" w:rsidRDefault="00DB1F86" w:rsidP="00DB1F86">
      <w:pPr>
        <w:rPr>
          <w:lang w:val="es-AR"/>
        </w:rPr>
      </w:pPr>
    </w:p>
    <w:p w14:paraId="6CAA2C20" w14:textId="5B55A3E3" w:rsidR="00DB1F86" w:rsidRPr="001160D6" w:rsidRDefault="009A618F" w:rsidP="009A618F">
      <w:pPr>
        <w:pStyle w:val="Heading1"/>
        <w:numPr>
          <w:ilvl w:val="0"/>
          <w:numId w:val="0"/>
        </w:numPr>
        <w:rPr>
          <w:lang w:val="es-AR"/>
        </w:rPr>
      </w:pPr>
      <w:r w:rsidRPr="001160D6">
        <w:rPr>
          <w:lang w:val="es-AR"/>
        </w:rPr>
        <w:t>14.</w:t>
      </w:r>
      <w:r w:rsidRPr="001160D6">
        <w:rPr>
          <w:lang w:val="es-AR"/>
        </w:rPr>
        <w:tab/>
      </w:r>
      <w:r w:rsidR="00DB1F86" w:rsidRPr="001160D6">
        <w:rPr>
          <w:lang w:val="es-AR"/>
        </w:rPr>
        <w:t xml:space="preserve">Los niveles reales de consumo de </w:t>
      </w:r>
      <w:r w:rsidR="007120E8" w:rsidRPr="001160D6">
        <w:rPr>
          <w:lang w:val="es-AR"/>
        </w:rPr>
        <w:t>los HCFC</w:t>
      </w:r>
      <w:r w:rsidR="00DB1F86" w:rsidRPr="001160D6">
        <w:rPr>
          <w:lang w:val="es-AR"/>
        </w:rPr>
        <w:t xml:space="preserve"> y </w:t>
      </w:r>
      <w:r w:rsidR="00FF4D54" w:rsidRPr="001160D6">
        <w:rPr>
          <w:lang w:val="es-AR"/>
        </w:rPr>
        <w:t>HFC</w:t>
      </w:r>
      <w:r w:rsidR="00DB1F86" w:rsidRPr="001160D6">
        <w:rPr>
          <w:lang w:val="es-AR"/>
        </w:rPr>
        <w:t xml:space="preserve"> (</w:t>
      </w:r>
      <w:r w:rsidR="007120E8" w:rsidRPr="001160D6">
        <w:rPr>
          <w:lang w:val="es-AR"/>
        </w:rPr>
        <w:t>Cuadro</w:t>
      </w:r>
      <w:r w:rsidR="00DB1F86" w:rsidRPr="001160D6">
        <w:rPr>
          <w:lang w:val="es-AR"/>
        </w:rPr>
        <w:t>s 1 y 3) dependerán, entre otras cosas</w:t>
      </w:r>
      <w:r w:rsidR="00DB1F86" w:rsidRPr="001160D6">
        <w:rPr>
          <w:i/>
          <w:lang w:val="es-AR"/>
        </w:rPr>
        <w:t xml:space="preserve">, </w:t>
      </w:r>
      <w:r w:rsidRPr="001160D6">
        <w:rPr>
          <w:lang w:val="es-AR"/>
        </w:rPr>
        <w:t xml:space="preserve">de </w:t>
      </w:r>
      <w:r w:rsidR="00DB1F86" w:rsidRPr="001160D6">
        <w:rPr>
          <w:lang w:val="es-AR"/>
        </w:rPr>
        <w:t xml:space="preserve">la </w:t>
      </w:r>
      <w:r w:rsidRPr="001160D6">
        <w:rPr>
          <w:lang w:val="es-AR"/>
        </w:rPr>
        <w:t xml:space="preserve">conclusión </w:t>
      </w:r>
      <w:r w:rsidR="00DB1F86" w:rsidRPr="001160D6">
        <w:rPr>
          <w:lang w:val="es-AR"/>
        </w:rPr>
        <w:t xml:space="preserve">de los proyectos </w:t>
      </w:r>
      <w:r w:rsidR="00E7633D" w:rsidRPr="001160D6">
        <w:rPr>
          <w:lang w:val="es-AR"/>
        </w:rPr>
        <w:t xml:space="preserve">de eliminación de los HCFC </w:t>
      </w:r>
      <w:r w:rsidR="00DB1F86" w:rsidRPr="001160D6">
        <w:rPr>
          <w:lang w:val="es-AR"/>
        </w:rPr>
        <w:t xml:space="preserve">aprobados, el </w:t>
      </w:r>
      <w:r w:rsidR="00014677" w:rsidRPr="001160D6">
        <w:rPr>
          <w:lang w:val="es-AR"/>
        </w:rPr>
        <w:t xml:space="preserve">aumento </w:t>
      </w:r>
      <w:r w:rsidR="00DB1F86" w:rsidRPr="001160D6">
        <w:rPr>
          <w:lang w:val="es-AR"/>
        </w:rPr>
        <w:t xml:space="preserve">de </w:t>
      </w:r>
      <w:r w:rsidRPr="001160D6">
        <w:rPr>
          <w:lang w:val="es-AR"/>
        </w:rPr>
        <w:t>equipos de refrigeración y climatización</w:t>
      </w:r>
      <w:r w:rsidR="00DB1F86" w:rsidRPr="001160D6">
        <w:rPr>
          <w:lang w:val="es-AR"/>
        </w:rPr>
        <w:t xml:space="preserve"> en países del </w:t>
      </w:r>
      <w:r w:rsidR="007120E8" w:rsidRPr="001160D6">
        <w:rPr>
          <w:lang w:val="es-AR"/>
        </w:rPr>
        <w:t>Artículo</w:t>
      </w:r>
      <w:r w:rsidR="00DB1F86" w:rsidRPr="001160D6">
        <w:rPr>
          <w:lang w:val="es-AR"/>
        </w:rPr>
        <w:t xml:space="preserve"> 5, la introducción de refrigerantes alternativos que se podrían utilizar como </w:t>
      </w:r>
      <w:r w:rsidRPr="001160D6">
        <w:rPr>
          <w:lang w:val="es-AR"/>
        </w:rPr>
        <w:t>sucedáneos de uso inmediato para ciertas aplicaciones</w:t>
      </w:r>
      <w:r w:rsidR="00DB1F86" w:rsidRPr="001160D6">
        <w:rPr>
          <w:lang w:val="es-AR"/>
        </w:rPr>
        <w:t xml:space="preserve"> (</w:t>
      </w:r>
      <w:r w:rsidRPr="001160D6">
        <w:rPr>
          <w:lang w:val="es-AR"/>
        </w:rPr>
        <w:t xml:space="preserve">por ej., el </w:t>
      </w:r>
      <w:r w:rsidR="00DB1F86" w:rsidRPr="001160D6">
        <w:rPr>
          <w:lang w:val="es-AR"/>
        </w:rPr>
        <w:t xml:space="preserve">R-407C se ha </w:t>
      </w:r>
      <w:r w:rsidR="00DB1F86" w:rsidRPr="001160D6">
        <w:rPr>
          <w:lang w:val="es-AR"/>
        </w:rPr>
        <w:lastRenderedPageBreak/>
        <w:t xml:space="preserve">utilizado como alternativa </w:t>
      </w:r>
      <w:r w:rsidRPr="001160D6">
        <w:rPr>
          <w:lang w:val="es-AR"/>
        </w:rPr>
        <w:t>de</w:t>
      </w:r>
      <w:r w:rsidR="007120E8" w:rsidRPr="001160D6">
        <w:rPr>
          <w:lang w:val="es-AR"/>
        </w:rPr>
        <w:t>l HCFC</w:t>
      </w:r>
      <w:r w:rsidR="00DB1F86" w:rsidRPr="001160D6">
        <w:rPr>
          <w:lang w:val="es-AR"/>
        </w:rPr>
        <w:t xml:space="preserve">-22 en </w:t>
      </w:r>
      <w:r w:rsidR="00240A87" w:rsidRPr="001160D6">
        <w:rPr>
          <w:lang w:val="es-AR"/>
        </w:rPr>
        <w:t>acondicionamiento de aire</w:t>
      </w:r>
      <w:r w:rsidR="00DB1F86" w:rsidRPr="001160D6">
        <w:rPr>
          <w:lang w:val="es-AR"/>
        </w:rPr>
        <w:t>;</w:t>
      </w:r>
      <w:r w:rsidRPr="001160D6">
        <w:rPr>
          <w:lang w:val="es-AR"/>
        </w:rPr>
        <w:t xml:space="preserve"> el</w:t>
      </w:r>
      <w:r w:rsidR="00DB1F86" w:rsidRPr="001160D6">
        <w:rPr>
          <w:lang w:val="es-AR"/>
        </w:rPr>
        <w:t xml:space="preserve"> R-407F o R-448A, entre otros, </w:t>
      </w:r>
      <w:r w:rsidRPr="001160D6">
        <w:rPr>
          <w:lang w:val="es-AR"/>
        </w:rPr>
        <w:t xml:space="preserve">podría usarse </w:t>
      </w:r>
      <w:r w:rsidR="00DB1F86" w:rsidRPr="001160D6">
        <w:rPr>
          <w:lang w:val="es-AR"/>
        </w:rPr>
        <w:t xml:space="preserve">como </w:t>
      </w:r>
      <w:r w:rsidRPr="001160D6">
        <w:rPr>
          <w:lang w:val="es-AR"/>
        </w:rPr>
        <w:t xml:space="preserve">sustituto del </w:t>
      </w:r>
      <w:r w:rsidR="00DB1F86" w:rsidRPr="001160D6">
        <w:rPr>
          <w:lang w:val="es-AR"/>
        </w:rPr>
        <w:t xml:space="preserve">R-404A </w:t>
      </w:r>
      <w:r w:rsidRPr="001160D6">
        <w:rPr>
          <w:lang w:val="es-AR"/>
        </w:rPr>
        <w:t>en refrigeración</w:t>
      </w:r>
      <w:r w:rsidR="00DB1F86" w:rsidRPr="001160D6">
        <w:rPr>
          <w:lang w:val="es-AR"/>
        </w:rPr>
        <w:t xml:space="preserve">), y la introducción de tecnologías alternativas eficaces en función de los costos disponibles </w:t>
      </w:r>
      <w:r w:rsidRPr="001160D6">
        <w:rPr>
          <w:lang w:val="es-AR"/>
        </w:rPr>
        <w:t xml:space="preserve">en las aplicaciones de </w:t>
      </w:r>
      <w:r w:rsidR="007120E8" w:rsidRPr="001160D6">
        <w:rPr>
          <w:lang w:val="es-AR"/>
        </w:rPr>
        <w:t>los HCFC</w:t>
      </w:r>
      <w:r w:rsidR="00DB1F86" w:rsidRPr="001160D6">
        <w:rPr>
          <w:lang w:val="es-AR"/>
        </w:rPr>
        <w:t xml:space="preserve"> y HFC. </w:t>
      </w:r>
    </w:p>
    <w:p w14:paraId="576BC654" w14:textId="56550797" w:rsidR="00DB1F86" w:rsidRPr="001160D6" w:rsidRDefault="009A618F" w:rsidP="009A618F">
      <w:pPr>
        <w:pStyle w:val="Heading1"/>
        <w:numPr>
          <w:ilvl w:val="0"/>
          <w:numId w:val="0"/>
        </w:numPr>
        <w:rPr>
          <w:lang w:val="es-AR"/>
        </w:rPr>
      </w:pPr>
      <w:r w:rsidRPr="001160D6">
        <w:rPr>
          <w:lang w:val="es-AR"/>
        </w:rPr>
        <w:t>15.</w:t>
      </w:r>
      <w:r w:rsidRPr="001160D6">
        <w:rPr>
          <w:lang w:val="es-AR"/>
        </w:rPr>
        <w:tab/>
      </w:r>
      <w:r w:rsidR="00DB1F86" w:rsidRPr="001160D6">
        <w:rPr>
          <w:lang w:val="es-AR"/>
        </w:rPr>
        <w:t xml:space="preserve">Con respecto a la distribución sectorial de </w:t>
      </w:r>
      <w:r w:rsidRPr="001160D6">
        <w:rPr>
          <w:lang w:val="es-AR"/>
        </w:rPr>
        <w:t>lo</w:t>
      </w:r>
      <w:r w:rsidR="00014677" w:rsidRPr="001160D6">
        <w:rPr>
          <w:lang w:val="es-AR"/>
        </w:rPr>
        <w:t>s</w:t>
      </w:r>
      <w:r w:rsidRPr="001160D6">
        <w:rPr>
          <w:lang w:val="es-AR"/>
        </w:rPr>
        <w:t xml:space="preserve"> </w:t>
      </w:r>
      <w:r w:rsidR="00DB1F86" w:rsidRPr="001160D6">
        <w:rPr>
          <w:lang w:val="es-AR"/>
        </w:rPr>
        <w:t xml:space="preserve">HFC, el informe del </w:t>
      </w:r>
      <w:r w:rsidR="0021191E" w:rsidRPr="001160D6">
        <w:rPr>
          <w:lang w:val="es-AR"/>
        </w:rPr>
        <w:t xml:space="preserve">equipo de </w:t>
      </w:r>
      <w:r w:rsidRPr="001160D6">
        <w:rPr>
          <w:lang w:val="es-AR"/>
        </w:rPr>
        <w:t>tareas del Grupo</w:t>
      </w:r>
      <w:r w:rsidR="0021191E" w:rsidRPr="001160D6">
        <w:rPr>
          <w:lang w:val="es-AR"/>
        </w:rPr>
        <w:t xml:space="preserve"> de evaluación técnica y económica</w:t>
      </w:r>
      <w:r w:rsidRPr="001160D6">
        <w:rPr>
          <w:lang w:val="es-AR"/>
        </w:rPr>
        <w:t xml:space="preserve"> </w:t>
      </w:r>
      <w:r w:rsidR="00DB1F86" w:rsidRPr="001160D6">
        <w:rPr>
          <w:lang w:val="es-AR"/>
        </w:rPr>
        <w:t xml:space="preserve">indica que </w:t>
      </w:r>
      <w:r w:rsidRPr="001160D6">
        <w:rPr>
          <w:lang w:val="es-AR"/>
        </w:rPr>
        <w:t xml:space="preserve">más del </w:t>
      </w:r>
      <w:r w:rsidR="00DB1F86" w:rsidRPr="001160D6">
        <w:rPr>
          <w:lang w:val="es-AR"/>
        </w:rPr>
        <w:t xml:space="preserve">95 por ciento del consumo total de HFC en </w:t>
      </w:r>
      <w:r w:rsidR="00DF6940" w:rsidRPr="001160D6">
        <w:rPr>
          <w:lang w:val="es-AR"/>
        </w:rPr>
        <w:t xml:space="preserve">los países del </w:t>
      </w:r>
      <w:r w:rsidR="007120E8" w:rsidRPr="001160D6">
        <w:rPr>
          <w:lang w:val="es-AR"/>
        </w:rPr>
        <w:t>Artículo</w:t>
      </w:r>
      <w:r w:rsidR="00DB1F86" w:rsidRPr="001160D6">
        <w:rPr>
          <w:lang w:val="es-AR"/>
        </w:rPr>
        <w:t xml:space="preserve"> 5 </w:t>
      </w:r>
      <w:r w:rsidR="00F06738" w:rsidRPr="001160D6">
        <w:rPr>
          <w:lang w:val="es-AR"/>
        </w:rPr>
        <w:t xml:space="preserve">se halla </w:t>
      </w:r>
      <w:r w:rsidR="00DB1F86" w:rsidRPr="001160D6">
        <w:rPr>
          <w:lang w:val="es-AR"/>
        </w:rPr>
        <w:t xml:space="preserve">en el </w:t>
      </w:r>
      <w:r w:rsidRPr="001160D6">
        <w:rPr>
          <w:lang w:val="es-AR"/>
        </w:rPr>
        <w:t>sector de refrigeración y climatización</w:t>
      </w:r>
      <w:r w:rsidR="00DB1F86" w:rsidRPr="001160D6">
        <w:rPr>
          <w:lang w:val="es-AR"/>
        </w:rPr>
        <w:t xml:space="preserve">, </w:t>
      </w:r>
      <w:r w:rsidR="007120E8" w:rsidRPr="001160D6">
        <w:rPr>
          <w:lang w:val="es-AR"/>
        </w:rPr>
        <w:t>como</w:t>
      </w:r>
      <w:r w:rsidR="00DB1F86" w:rsidRPr="001160D6">
        <w:rPr>
          <w:lang w:val="es-AR"/>
        </w:rPr>
        <w:t xml:space="preserve"> </w:t>
      </w:r>
      <w:r w:rsidR="00FF4D54" w:rsidRPr="001160D6">
        <w:rPr>
          <w:lang w:val="es-AR"/>
        </w:rPr>
        <w:t>indica</w:t>
      </w:r>
      <w:r w:rsidR="00DB1F86" w:rsidRPr="001160D6">
        <w:rPr>
          <w:lang w:val="es-AR"/>
        </w:rPr>
        <w:t xml:space="preserve"> </w:t>
      </w:r>
      <w:r w:rsidR="008631D0" w:rsidRPr="001160D6">
        <w:rPr>
          <w:lang w:val="es-AR"/>
        </w:rPr>
        <w:t>el Cuadro</w:t>
      </w:r>
      <w:r w:rsidR="00DB1F86" w:rsidRPr="001160D6">
        <w:rPr>
          <w:lang w:val="es-AR"/>
        </w:rPr>
        <w:t xml:space="preserve"> 4. </w:t>
      </w:r>
    </w:p>
    <w:p w14:paraId="5CA46459" w14:textId="0B651D7B" w:rsidR="00DB1F86" w:rsidRPr="001160D6" w:rsidRDefault="00482916" w:rsidP="00DB1F86">
      <w:pPr>
        <w:rPr>
          <w:b/>
          <w:sz w:val="21"/>
          <w:szCs w:val="21"/>
          <w:lang w:val="es-AR"/>
        </w:rPr>
      </w:pPr>
      <w:r>
        <w:rPr>
          <w:b/>
          <w:sz w:val="21"/>
          <w:szCs w:val="21"/>
          <w:lang w:val="es-AR"/>
        </w:rPr>
        <w:t xml:space="preserve">Cuadro 4. </w:t>
      </w:r>
      <w:r w:rsidR="00DB1F86" w:rsidRPr="001160D6">
        <w:rPr>
          <w:b/>
          <w:sz w:val="21"/>
          <w:szCs w:val="21"/>
          <w:lang w:val="es-AR"/>
        </w:rPr>
        <w:t xml:space="preserve">Distribución del consumo de HFC en países del </w:t>
      </w:r>
      <w:r w:rsidR="007120E8" w:rsidRPr="001160D6">
        <w:rPr>
          <w:b/>
          <w:sz w:val="21"/>
          <w:szCs w:val="21"/>
          <w:lang w:val="es-AR"/>
        </w:rPr>
        <w:t>Artículo</w:t>
      </w:r>
      <w:r w:rsidR="00DB1F86" w:rsidRPr="001160D6">
        <w:rPr>
          <w:b/>
          <w:sz w:val="21"/>
          <w:szCs w:val="21"/>
          <w:lang w:val="es-AR"/>
        </w:rPr>
        <w:t xml:space="preserve"> 5</w:t>
      </w:r>
      <w:r w:rsidR="00DB1F86" w:rsidRPr="001160D6">
        <w:rPr>
          <w:lang w:val="es-AR"/>
        </w:rPr>
        <w:t xml:space="preserve"> </w:t>
      </w:r>
    </w:p>
    <w:tbl>
      <w:tblPr>
        <w:tblW w:w="9379" w:type="dxa"/>
        <w:tblLayout w:type="fixed"/>
        <w:tblLook w:val="04A0" w:firstRow="1" w:lastRow="0" w:firstColumn="1" w:lastColumn="0" w:noHBand="0" w:noVBand="1"/>
      </w:tblPr>
      <w:tblGrid>
        <w:gridCol w:w="1795"/>
        <w:gridCol w:w="948"/>
        <w:gridCol w:w="948"/>
        <w:gridCol w:w="948"/>
        <w:gridCol w:w="948"/>
        <w:gridCol w:w="948"/>
        <w:gridCol w:w="948"/>
        <w:gridCol w:w="948"/>
        <w:gridCol w:w="948"/>
      </w:tblGrid>
      <w:tr w:rsidR="00DB1F86" w:rsidRPr="001160D6" w14:paraId="444D3BA4" w14:textId="77777777" w:rsidTr="00FF4D54">
        <w:trPr>
          <w:tblHeader/>
        </w:trPr>
        <w:tc>
          <w:tcPr>
            <w:tcW w:w="1795"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14:paraId="29AA9063" w14:textId="77777777" w:rsidR="00DB1F86" w:rsidRPr="001160D6" w:rsidRDefault="00DB1F86" w:rsidP="00FF4D54">
            <w:pPr>
              <w:rPr>
                <w:b/>
                <w:bCs/>
                <w:color w:val="000000"/>
                <w:sz w:val="20"/>
                <w:szCs w:val="20"/>
                <w:lang w:val="es-AR" w:eastAsia="en-CA"/>
              </w:rPr>
            </w:pPr>
            <w:r w:rsidRPr="001160D6">
              <w:rPr>
                <w:b/>
                <w:bCs/>
                <w:color w:val="000000"/>
                <w:sz w:val="20"/>
                <w:szCs w:val="20"/>
                <w:lang w:val="es-AR"/>
              </w:rPr>
              <w:t>Sector</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71E894" w14:textId="77777777" w:rsidR="00DB1F86" w:rsidRPr="001160D6" w:rsidRDefault="00DB1F86" w:rsidP="00FF4D54">
            <w:pPr>
              <w:jc w:val="center"/>
              <w:rPr>
                <w:b/>
                <w:bCs/>
                <w:color w:val="000000"/>
                <w:sz w:val="20"/>
                <w:szCs w:val="20"/>
                <w:lang w:val="es-AR" w:eastAsia="en-CA"/>
              </w:rPr>
            </w:pPr>
            <w:r w:rsidRPr="001160D6">
              <w:rPr>
                <w:b/>
                <w:bCs/>
                <w:color w:val="000000"/>
                <w:sz w:val="20"/>
                <w:szCs w:val="20"/>
                <w:lang w:val="es-AR"/>
              </w:rPr>
              <w:t>2015</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F43B9A" w14:textId="77777777" w:rsidR="00DB1F86" w:rsidRPr="001160D6" w:rsidRDefault="00DB1F86" w:rsidP="00FF4D54">
            <w:pPr>
              <w:jc w:val="center"/>
              <w:rPr>
                <w:b/>
                <w:bCs/>
                <w:color w:val="000000"/>
                <w:sz w:val="20"/>
                <w:szCs w:val="20"/>
                <w:lang w:val="es-AR" w:eastAsia="en-CA"/>
              </w:rPr>
            </w:pPr>
            <w:r w:rsidRPr="001160D6">
              <w:rPr>
                <w:b/>
                <w:bCs/>
                <w:color w:val="000000"/>
                <w:sz w:val="20"/>
                <w:szCs w:val="20"/>
                <w:lang w:val="es-AR"/>
              </w:rPr>
              <w:t>2020</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9F4182" w14:textId="77777777" w:rsidR="00DB1F86" w:rsidRPr="001160D6" w:rsidRDefault="00DB1F86" w:rsidP="00FF4D54">
            <w:pPr>
              <w:jc w:val="center"/>
              <w:rPr>
                <w:b/>
                <w:bCs/>
                <w:color w:val="000000"/>
                <w:sz w:val="20"/>
                <w:szCs w:val="20"/>
                <w:lang w:val="es-AR" w:eastAsia="en-CA"/>
              </w:rPr>
            </w:pPr>
            <w:r w:rsidRPr="001160D6">
              <w:rPr>
                <w:b/>
                <w:bCs/>
                <w:color w:val="000000"/>
                <w:sz w:val="20"/>
                <w:szCs w:val="20"/>
                <w:lang w:val="es-AR"/>
              </w:rPr>
              <w:t>2025</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A10BC4" w14:textId="77777777" w:rsidR="00DB1F86" w:rsidRPr="001160D6" w:rsidRDefault="00DB1F86" w:rsidP="00FF4D54">
            <w:pPr>
              <w:jc w:val="center"/>
              <w:rPr>
                <w:b/>
                <w:bCs/>
                <w:color w:val="000000"/>
                <w:sz w:val="20"/>
                <w:szCs w:val="20"/>
                <w:lang w:val="es-AR" w:eastAsia="en-CA"/>
              </w:rPr>
            </w:pPr>
            <w:r w:rsidRPr="001160D6">
              <w:rPr>
                <w:b/>
                <w:bCs/>
                <w:color w:val="000000"/>
                <w:sz w:val="20"/>
                <w:szCs w:val="20"/>
                <w:lang w:val="es-AR"/>
              </w:rPr>
              <w:t>2030</w:t>
            </w:r>
          </w:p>
        </w:tc>
      </w:tr>
      <w:tr w:rsidR="00DB1F86" w:rsidRPr="001160D6" w14:paraId="29AA68CB" w14:textId="77777777" w:rsidTr="00FF4D54">
        <w:trPr>
          <w:tblHeader/>
        </w:trPr>
        <w:tc>
          <w:tcPr>
            <w:tcW w:w="1795" w:type="dxa"/>
            <w:vMerge/>
            <w:tcBorders>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1F5C975" w14:textId="77777777" w:rsidR="00DB1F86" w:rsidRPr="001160D6" w:rsidRDefault="00DB1F86" w:rsidP="00FF4D54">
            <w:pPr>
              <w:rPr>
                <w:b/>
                <w:color w:val="000000"/>
                <w:sz w:val="20"/>
                <w:szCs w:val="20"/>
                <w:lang w:val="es-AR" w:eastAsia="en-CA"/>
              </w:rPr>
            </w:pPr>
          </w:p>
        </w:tc>
        <w:tc>
          <w:tcPr>
            <w:tcW w:w="948" w:type="dxa"/>
            <w:tcBorders>
              <w:top w:val="nil"/>
              <w:left w:val="nil"/>
              <w:bottom w:val="single" w:sz="4" w:space="0" w:color="auto"/>
              <w:right w:val="single" w:sz="4" w:space="0" w:color="auto"/>
            </w:tcBorders>
            <w:shd w:val="clear" w:color="auto" w:fill="auto"/>
            <w:noWrap/>
            <w:vAlign w:val="center"/>
            <w:hideMark/>
          </w:tcPr>
          <w:p w14:paraId="2D3E8744" w14:textId="6F98E640" w:rsidR="00DB1F86" w:rsidRPr="001160D6" w:rsidRDefault="00DB1F86" w:rsidP="00FF4D54">
            <w:pPr>
              <w:jc w:val="center"/>
              <w:rPr>
                <w:b/>
                <w:color w:val="000000"/>
                <w:sz w:val="20"/>
                <w:szCs w:val="20"/>
                <w:lang w:val="es-AR" w:eastAsia="en-CA"/>
              </w:rPr>
            </w:pPr>
            <w:r w:rsidRPr="001160D6">
              <w:rPr>
                <w:b/>
                <w:color w:val="000000"/>
                <w:sz w:val="20"/>
                <w:szCs w:val="20"/>
                <w:lang w:val="es-AR"/>
              </w:rPr>
              <w:t>(</w:t>
            </w:r>
            <w:proofErr w:type="spellStart"/>
            <w:r w:rsidR="008631D0" w:rsidRPr="001160D6">
              <w:rPr>
                <w:b/>
                <w:color w:val="000000"/>
                <w:sz w:val="20"/>
                <w:szCs w:val="20"/>
                <w:lang w:val="es-AR"/>
              </w:rPr>
              <w:t>tm</w:t>
            </w:r>
            <w:proofErr w:type="spellEnd"/>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52D7F58C" w14:textId="77777777" w:rsidR="00DB1F86" w:rsidRPr="001160D6" w:rsidRDefault="00DB1F86" w:rsidP="00FF4D54">
            <w:pPr>
              <w:jc w:val="center"/>
              <w:rPr>
                <w:b/>
                <w:color w:val="000000"/>
                <w:sz w:val="20"/>
                <w:szCs w:val="20"/>
                <w:lang w:val="es-AR" w:eastAsia="en-CA"/>
              </w:rPr>
            </w:pPr>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41F3DE64" w14:textId="64366BE3" w:rsidR="00DB1F86" w:rsidRPr="001160D6" w:rsidRDefault="00DB1F86" w:rsidP="00FF4D54">
            <w:pPr>
              <w:jc w:val="center"/>
              <w:rPr>
                <w:b/>
                <w:color w:val="000000"/>
                <w:sz w:val="20"/>
                <w:szCs w:val="20"/>
                <w:lang w:val="es-AR" w:eastAsia="en-CA"/>
              </w:rPr>
            </w:pPr>
            <w:r w:rsidRPr="001160D6">
              <w:rPr>
                <w:b/>
                <w:color w:val="000000"/>
                <w:sz w:val="20"/>
                <w:szCs w:val="20"/>
                <w:lang w:val="es-AR"/>
              </w:rPr>
              <w:t>(</w:t>
            </w:r>
            <w:proofErr w:type="spellStart"/>
            <w:r w:rsidR="008631D0" w:rsidRPr="001160D6">
              <w:rPr>
                <w:b/>
                <w:color w:val="000000"/>
                <w:sz w:val="20"/>
                <w:szCs w:val="20"/>
                <w:lang w:val="es-AR"/>
              </w:rPr>
              <w:t>tm</w:t>
            </w:r>
            <w:proofErr w:type="spellEnd"/>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43A776B3" w14:textId="77777777" w:rsidR="00DB1F86" w:rsidRPr="001160D6" w:rsidRDefault="00DB1F86" w:rsidP="00FF4D54">
            <w:pPr>
              <w:jc w:val="center"/>
              <w:rPr>
                <w:b/>
                <w:color w:val="000000"/>
                <w:sz w:val="20"/>
                <w:szCs w:val="20"/>
                <w:lang w:val="es-AR" w:eastAsia="en-CA"/>
              </w:rPr>
            </w:pPr>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0A8178BD" w14:textId="24BD1D9E" w:rsidR="00DB1F86" w:rsidRPr="001160D6" w:rsidRDefault="00DB1F86" w:rsidP="00FF4D54">
            <w:pPr>
              <w:jc w:val="center"/>
              <w:rPr>
                <w:b/>
                <w:color w:val="000000"/>
                <w:sz w:val="20"/>
                <w:szCs w:val="20"/>
                <w:lang w:val="es-AR" w:eastAsia="en-CA"/>
              </w:rPr>
            </w:pPr>
            <w:r w:rsidRPr="001160D6">
              <w:rPr>
                <w:b/>
                <w:color w:val="000000"/>
                <w:sz w:val="20"/>
                <w:szCs w:val="20"/>
                <w:lang w:val="es-AR"/>
              </w:rPr>
              <w:t>(</w:t>
            </w:r>
            <w:proofErr w:type="spellStart"/>
            <w:r w:rsidR="008631D0" w:rsidRPr="001160D6">
              <w:rPr>
                <w:b/>
                <w:color w:val="000000"/>
                <w:sz w:val="20"/>
                <w:szCs w:val="20"/>
                <w:lang w:val="es-AR"/>
              </w:rPr>
              <w:t>tm</w:t>
            </w:r>
            <w:proofErr w:type="spellEnd"/>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2401979F" w14:textId="77777777" w:rsidR="00DB1F86" w:rsidRPr="001160D6" w:rsidRDefault="00DB1F86" w:rsidP="00FF4D54">
            <w:pPr>
              <w:jc w:val="center"/>
              <w:rPr>
                <w:b/>
                <w:color w:val="000000"/>
                <w:sz w:val="20"/>
                <w:szCs w:val="20"/>
                <w:lang w:val="es-AR" w:eastAsia="en-CA"/>
              </w:rPr>
            </w:pPr>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6C2261A3" w14:textId="792AD54B" w:rsidR="00DB1F86" w:rsidRPr="001160D6" w:rsidRDefault="00DB1F86" w:rsidP="00FF4D54">
            <w:pPr>
              <w:jc w:val="center"/>
              <w:rPr>
                <w:b/>
                <w:color w:val="000000"/>
                <w:sz w:val="20"/>
                <w:szCs w:val="20"/>
                <w:lang w:val="es-AR" w:eastAsia="en-CA"/>
              </w:rPr>
            </w:pPr>
            <w:r w:rsidRPr="001160D6">
              <w:rPr>
                <w:b/>
                <w:color w:val="000000"/>
                <w:sz w:val="20"/>
                <w:szCs w:val="20"/>
                <w:lang w:val="es-AR"/>
              </w:rPr>
              <w:t>(</w:t>
            </w:r>
            <w:proofErr w:type="spellStart"/>
            <w:r w:rsidR="008631D0" w:rsidRPr="001160D6">
              <w:rPr>
                <w:b/>
                <w:color w:val="000000"/>
                <w:sz w:val="20"/>
                <w:szCs w:val="20"/>
                <w:lang w:val="es-AR"/>
              </w:rPr>
              <w:t>tm</w:t>
            </w:r>
            <w:proofErr w:type="spellEnd"/>
            <w:r w:rsidRPr="001160D6">
              <w:rPr>
                <w:b/>
                <w:color w:val="000000"/>
                <w:sz w:val="20"/>
                <w:szCs w:val="20"/>
                <w:lang w:val="es-AR"/>
              </w:rPr>
              <w:t>)</w:t>
            </w:r>
          </w:p>
        </w:tc>
        <w:tc>
          <w:tcPr>
            <w:tcW w:w="948" w:type="dxa"/>
            <w:tcBorders>
              <w:top w:val="nil"/>
              <w:left w:val="nil"/>
              <w:bottom w:val="single" w:sz="4" w:space="0" w:color="auto"/>
              <w:right w:val="single" w:sz="4" w:space="0" w:color="auto"/>
            </w:tcBorders>
            <w:shd w:val="clear" w:color="auto" w:fill="auto"/>
            <w:noWrap/>
            <w:vAlign w:val="center"/>
            <w:hideMark/>
          </w:tcPr>
          <w:p w14:paraId="7E0890DD" w14:textId="77777777" w:rsidR="00DB1F86" w:rsidRPr="001160D6" w:rsidRDefault="00DB1F86" w:rsidP="00FF4D54">
            <w:pPr>
              <w:jc w:val="center"/>
              <w:rPr>
                <w:b/>
                <w:color w:val="000000"/>
                <w:sz w:val="20"/>
                <w:szCs w:val="20"/>
                <w:lang w:val="es-AR" w:eastAsia="en-CA"/>
              </w:rPr>
            </w:pPr>
            <w:r w:rsidRPr="001160D6">
              <w:rPr>
                <w:b/>
                <w:color w:val="000000"/>
                <w:sz w:val="20"/>
                <w:szCs w:val="20"/>
                <w:lang w:val="es-AR"/>
              </w:rPr>
              <w:t>(%)</w:t>
            </w:r>
          </w:p>
        </w:tc>
      </w:tr>
      <w:tr w:rsidR="00DB1F86" w:rsidRPr="001160D6" w14:paraId="251FAD6A" w14:textId="77777777" w:rsidTr="00FF4D54">
        <w:tc>
          <w:tcPr>
            <w:tcW w:w="179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9830CFD" w14:textId="1958E102" w:rsidR="00DB1F86" w:rsidRPr="001160D6" w:rsidRDefault="00DB1F86" w:rsidP="001160D6">
            <w:pPr>
              <w:jc w:val="left"/>
              <w:rPr>
                <w:color w:val="000000"/>
                <w:sz w:val="20"/>
                <w:szCs w:val="20"/>
                <w:lang w:val="es-AR" w:eastAsia="en-CA"/>
              </w:rPr>
            </w:pPr>
            <w:r w:rsidRPr="001160D6">
              <w:rPr>
                <w:color w:val="000000"/>
                <w:sz w:val="20"/>
                <w:szCs w:val="20"/>
                <w:lang w:val="es-AR"/>
              </w:rPr>
              <w:t>F</w:t>
            </w:r>
            <w:r w:rsidR="009A618F" w:rsidRPr="001160D6">
              <w:rPr>
                <w:color w:val="000000"/>
                <w:sz w:val="20"/>
                <w:szCs w:val="20"/>
                <w:lang w:val="es-AR"/>
              </w:rPr>
              <w:t>abricación de equipos de refrigeración y climatización</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3960634" w14:textId="74886597" w:rsidR="00DB1F86" w:rsidRPr="001160D6" w:rsidRDefault="00DB1F86" w:rsidP="00FF4D54">
            <w:pPr>
              <w:jc w:val="right"/>
              <w:rPr>
                <w:color w:val="000000"/>
                <w:sz w:val="20"/>
                <w:szCs w:val="20"/>
                <w:lang w:val="es-AR" w:eastAsia="en-CA"/>
              </w:rPr>
            </w:pPr>
            <w:r w:rsidRPr="001160D6">
              <w:rPr>
                <w:color w:val="000000"/>
                <w:sz w:val="20"/>
                <w:szCs w:val="20"/>
                <w:lang w:val="es-AR"/>
              </w:rPr>
              <w:t>18</w:t>
            </w:r>
            <w:r w:rsidR="007120E8" w:rsidRPr="001160D6">
              <w:rPr>
                <w:color w:val="000000"/>
                <w:sz w:val="20"/>
                <w:szCs w:val="20"/>
                <w:lang w:val="es-AR"/>
              </w:rPr>
              <w:t>5 838</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2D78A686" w14:textId="1696AFB1" w:rsidR="00DB1F86" w:rsidRPr="001160D6" w:rsidRDefault="00DB1F86" w:rsidP="00FF4D54">
            <w:pPr>
              <w:jc w:val="right"/>
              <w:rPr>
                <w:color w:val="000000"/>
                <w:sz w:val="20"/>
                <w:szCs w:val="20"/>
                <w:lang w:val="es-AR" w:eastAsia="en-CA"/>
              </w:rPr>
            </w:pPr>
            <w:r w:rsidRPr="001160D6">
              <w:rPr>
                <w:color w:val="000000"/>
                <w:sz w:val="20"/>
                <w:szCs w:val="20"/>
                <w:lang w:val="es-AR"/>
              </w:rPr>
              <w:t>6</w:t>
            </w:r>
            <w:r w:rsidR="007120E8" w:rsidRPr="001160D6">
              <w:rPr>
                <w:color w:val="000000"/>
                <w:sz w:val="20"/>
                <w:szCs w:val="20"/>
                <w:lang w:val="es-AR"/>
              </w:rPr>
              <w:t>5,4</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8992DE9" w14:textId="3008D0FB" w:rsidR="00DB1F86" w:rsidRPr="001160D6" w:rsidRDefault="00DB1F86" w:rsidP="00FF4D54">
            <w:pPr>
              <w:jc w:val="right"/>
              <w:rPr>
                <w:color w:val="000000"/>
                <w:sz w:val="20"/>
                <w:szCs w:val="20"/>
                <w:lang w:val="es-AR" w:eastAsia="en-CA"/>
              </w:rPr>
            </w:pPr>
            <w:r w:rsidRPr="001160D6">
              <w:rPr>
                <w:color w:val="000000"/>
                <w:sz w:val="20"/>
                <w:szCs w:val="20"/>
                <w:lang w:val="es-AR"/>
              </w:rPr>
              <w:t>28</w:t>
            </w:r>
            <w:r w:rsidR="007120E8" w:rsidRPr="001160D6">
              <w:rPr>
                <w:color w:val="000000"/>
                <w:sz w:val="20"/>
                <w:szCs w:val="20"/>
                <w:lang w:val="es-AR"/>
              </w:rPr>
              <w:t>1 619</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77830534" w14:textId="7D8A0C9F" w:rsidR="00DB1F86" w:rsidRPr="001160D6" w:rsidRDefault="00DB1F86" w:rsidP="00FF4D54">
            <w:pPr>
              <w:jc w:val="right"/>
              <w:rPr>
                <w:color w:val="000000"/>
                <w:sz w:val="20"/>
                <w:szCs w:val="20"/>
                <w:lang w:val="es-AR" w:eastAsia="en-CA"/>
              </w:rPr>
            </w:pPr>
            <w:r w:rsidRPr="001160D6">
              <w:rPr>
                <w:color w:val="000000"/>
                <w:sz w:val="20"/>
                <w:szCs w:val="20"/>
                <w:lang w:val="es-AR"/>
              </w:rPr>
              <w:t>5</w:t>
            </w:r>
            <w:r w:rsidR="007120E8" w:rsidRPr="001160D6">
              <w:rPr>
                <w:color w:val="000000"/>
                <w:sz w:val="20"/>
                <w:szCs w:val="20"/>
                <w:lang w:val="es-AR"/>
              </w:rPr>
              <w:t>9,0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786B999E" w14:textId="339EF4D0" w:rsidR="00DB1F86" w:rsidRPr="001160D6" w:rsidRDefault="00DB1F86" w:rsidP="00FF4D54">
            <w:pPr>
              <w:jc w:val="right"/>
              <w:rPr>
                <w:color w:val="000000"/>
                <w:sz w:val="20"/>
                <w:szCs w:val="20"/>
                <w:lang w:val="es-AR" w:eastAsia="en-CA"/>
              </w:rPr>
            </w:pPr>
            <w:r w:rsidRPr="001160D6">
              <w:rPr>
                <w:color w:val="000000"/>
                <w:sz w:val="20"/>
                <w:szCs w:val="20"/>
                <w:lang w:val="es-AR"/>
              </w:rPr>
              <w:t>39</w:t>
            </w:r>
            <w:r w:rsidR="007120E8" w:rsidRPr="001160D6">
              <w:rPr>
                <w:color w:val="000000"/>
                <w:sz w:val="20"/>
                <w:szCs w:val="20"/>
                <w:lang w:val="es-AR"/>
              </w:rPr>
              <w:t>2 390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52F13ACF" w14:textId="3560E167" w:rsidR="00DB1F86" w:rsidRPr="001160D6" w:rsidRDefault="00DB1F86" w:rsidP="00FF4D54">
            <w:pPr>
              <w:jc w:val="right"/>
              <w:rPr>
                <w:color w:val="000000"/>
                <w:sz w:val="20"/>
                <w:szCs w:val="20"/>
                <w:lang w:val="es-AR" w:eastAsia="en-CA"/>
              </w:rPr>
            </w:pPr>
            <w:r w:rsidRPr="001160D6">
              <w:rPr>
                <w:color w:val="000000"/>
                <w:sz w:val="20"/>
                <w:szCs w:val="20"/>
                <w:lang w:val="es-AR"/>
              </w:rPr>
              <w:t>5</w:t>
            </w:r>
            <w:r w:rsidR="007120E8" w:rsidRPr="001160D6">
              <w:rPr>
                <w:color w:val="000000"/>
                <w:sz w:val="20"/>
                <w:szCs w:val="20"/>
                <w:lang w:val="es-AR"/>
              </w:rPr>
              <w:t>3,6</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B69ED25" w14:textId="680DDDA5" w:rsidR="00DB1F86" w:rsidRPr="001160D6" w:rsidRDefault="00DB1F86" w:rsidP="00FF4D54">
            <w:pPr>
              <w:jc w:val="right"/>
              <w:rPr>
                <w:color w:val="000000"/>
                <w:sz w:val="20"/>
                <w:szCs w:val="20"/>
                <w:lang w:val="es-AR" w:eastAsia="en-CA"/>
              </w:rPr>
            </w:pPr>
            <w:r w:rsidRPr="001160D6">
              <w:rPr>
                <w:color w:val="000000"/>
                <w:sz w:val="20"/>
                <w:szCs w:val="20"/>
                <w:lang w:val="es-AR"/>
              </w:rPr>
              <w:t>51</w:t>
            </w:r>
            <w:r w:rsidR="007120E8" w:rsidRPr="001160D6">
              <w:rPr>
                <w:color w:val="000000"/>
                <w:sz w:val="20"/>
                <w:szCs w:val="20"/>
                <w:lang w:val="es-AR"/>
              </w:rPr>
              <w:t>0 596</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79BB6507" w14:textId="418B8CCE" w:rsidR="00DB1F86" w:rsidRPr="001160D6" w:rsidRDefault="00DB1F86" w:rsidP="00FF4D54">
            <w:pPr>
              <w:jc w:val="right"/>
              <w:rPr>
                <w:color w:val="000000"/>
                <w:sz w:val="20"/>
                <w:szCs w:val="20"/>
                <w:lang w:val="es-AR" w:eastAsia="en-CA"/>
              </w:rPr>
            </w:pPr>
            <w:r w:rsidRPr="001160D6">
              <w:rPr>
                <w:color w:val="000000"/>
                <w:sz w:val="20"/>
                <w:szCs w:val="20"/>
                <w:lang w:val="es-AR"/>
              </w:rPr>
              <w:t>5</w:t>
            </w:r>
            <w:r w:rsidR="007120E8" w:rsidRPr="001160D6">
              <w:rPr>
                <w:color w:val="000000"/>
                <w:sz w:val="20"/>
                <w:szCs w:val="20"/>
                <w:lang w:val="es-AR"/>
              </w:rPr>
              <w:t>0,0</w:t>
            </w:r>
          </w:p>
        </w:tc>
      </w:tr>
      <w:tr w:rsidR="00DB1F86" w:rsidRPr="001160D6" w14:paraId="2C4E6C50" w14:textId="77777777" w:rsidTr="00FF4D54">
        <w:tc>
          <w:tcPr>
            <w:tcW w:w="179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B4C7653" w14:textId="55815754" w:rsidR="00DB1F86" w:rsidRPr="001160D6" w:rsidRDefault="00DF6940" w:rsidP="001160D6">
            <w:pPr>
              <w:jc w:val="left"/>
              <w:rPr>
                <w:color w:val="000000"/>
                <w:sz w:val="20"/>
                <w:szCs w:val="20"/>
                <w:lang w:val="es-AR" w:eastAsia="en-CA"/>
              </w:rPr>
            </w:pPr>
            <w:r w:rsidRPr="001160D6">
              <w:rPr>
                <w:color w:val="000000"/>
                <w:sz w:val="20"/>
                <w:szCs w:val="20"/>
                <w:lang w:val="es-AR"/>
              </w:rPr>
              <w:t>Servicio y m</w:t>
            </w:r>
            <w:r w:rsidR="00DB1F86" w:rsidRPr="001160D6">
              <w:rPr>
                <w:color w:val="000000"/>
                <w:sz w:val="20"/>
                <w:szCs w:val="20"/>
                <w:lang w:val="es-AR"/>
              </w:rPr>
              <w:t>a</w:t>
            </w:r>
            <w:r w:rsidR="009A618F" w:rsidRPr="001160D6">
              <w:rPr>
                <w:color w:val="000000"/>
                <w:sz w:val="20"/>
                <w:szCs w:val="20"/>
                <w:lang w:val="es-AR"/>
              </w:rPr>
              <w:t>ntenimiento de equipos de refrigeración y climatización</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4F643E8B" w14:textId="0B12FB14" w:rsidR="00DB1F86" w:rsidRPr="001160D6" w:rsidRDefault="00DB1F86" w:rsidP="00FF4D54">
            <w:pPr>
              <w:jc w:val="right"/>
              <w:rPr>
                <w:color w:val="000000"/>
                <w:sz w:val="20"/>
                <w:szCs w:val="20"/>
                <w:lang w:val="es-AR" w:eastAsia="en-CA"/>
              </w:rPr>
            </w:pPr>
            <w:r w:rsidRPr="001160D6">
              <w:rPr>
                <w:color w:val="000000"/>
                <w:sz w:val="20"/>
                <w:szCs w:val="20"/>
                <w:lang w:val="es-AR"/>
              </w:rPr>
              <w:t>8</w:t>
            </w:r>
            <w:r w:rsidR="007120E8" w:rsidRPr="001160D6">
              <w:rPr>
                <w:color w:val="000000"/>
                <w:sz w:val="20"/>
                <w:szCs w:val="20"/>
                <w:lang w:val="es-AR"/>
              </w:rPr>
              <w:t>7 033</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53C04604" w14:textId="35E8C882" w:rsidR="00DB1F86" w:rsidRPr="001160D6" w:rsidRDefault="00DB1F86" w:rsidP="00FF4D54">
            <w:pPr>
              <w:jc w:val="right"/>
              <w:rPr>
                <w:color w:val="000000"/>
                <w:sz w:val="20"/>
                <w:szCs w:val="20"/>
                <w:lang w:val="es-AR" w:eastAsia="en-CA"/>
              </w:rPr>
            </w:pPr>
            <w:r w:rsidRPr="001160D6">
              <w:rPr>
                <w:color w:val="000000"/>
                <w:sz w:val="20"/>
                <w:szCs w:val="20"/>
                <w:lang w:val="es-AR"/>
              </w:rPr>
              <w:t>3</w:t>
            </w:r>
            <w:r w:rsidR="007120E8" w:rsidRPr="001160D6">
              <w:rPr>
                <w:color w:val="000000"/>
                <w:sz w:val="20"/>
                <w:szCs w:val="20"/>
                <w:lang w:val="es-AR"/>
              </w:rPr>
              <w:t>0,6</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124AFA65" w14:textId="7556034A" w:rsidR="00DB1F86" w:rsidRPr="001160D6" w:rsidRDefault="00DB1F86" w:rsidP="00FF4D54">
            <w:pPr>
              <w:jc w:val="right"/>
              <w:rPr>
                <w:color w:val="000000"/>
                <w:sz w:val="20"/>
                <w:szCs w:val="20"/>
                <w:lang w:val="es-AR" w:eastAsia="en-CA"/>
              </w:rPr>
            </w:pPr>
            <w:r w:rsidRPr="001160D6">
              <w:rPr>
                <w:color w:val="000000"/>
                <w:sz w:val="20"/>
                <w:szCs w:val="20"/>
                <w:lang w:val="es-AR"/>
              </w:rPr>
              <w:t>17</w:t>
            </w:r>
            <w:r w:rsidR="007120E8" w:rsidRPr="001160D6">
              <w:rPr>
                <w:color w:val="000000"/>
                <w:sz w:val="20"/>
                <w:szCs w:val="20"/>
                <w:lang w:val="es-AR"/>
              </w:rPr>
              <w:t>6 493</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6174C098" w14:textId="1D803F53" w:rsidR="00DB1F86" w:rsidRPr="001160D6" w:rsidRDefault="00DB1F86" w:rsidP="00FF4D54">
            <w:pPr>
              <w:jc w:val="right"/>
              <w:rPr>
                <w:color w:val="000000"/>
                <w:sz w:val="20"/>
                <w:szCs w:val="20"/>
                <w:lang w:val="es-AR" w:eastAsia="en-CA"/>
              </w:rPr>
            </w:pPr>
            <w:r w:rsidRPr="001160D6">
              <w:rPr>
                <w:color w:val="000000"/>
                <w:sz w:val="20"/>
                <w:szCs w:val="20"/>
                <w:lang w:val="es-AR"/>
              </w:rPr>
              <w:t>3</w:t>
            </w:r>
            <w:r w:rsidR="007120E8" w:rsidRPr="001160D6">
              <w:rPr>
                <w:color w:val="000000"/>
                <w:sz w:val="20"/>
                <w:szCs w:val="20"/>
                <w:lang w:val="es-AR"/>
              </w:rPr>
              <w:t>7,0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570D6122" w14:textId="4EB8EFE0" w:rsidR="00DB1F86" w:rsidRPr="001160D6" w:rsidRDefault="00DB1F86" w:rsidP="00FF4D54">
            <w:pPr>
              <w:jc w:val="right"/>
              <w:rPr>
                <w:color w:val="000000"/>
                <w:sz w:val="20"/>
                <w:szCs w:val="20"/>
                <w:lang w:val="es-AR" w:eastAsia="en-CA"/>
              </w:rPr>
            </w:pPr>
            <w:r w:rsidRPr="001160D6">
              <w:rPr>
                <w:color w:val="000000"/>
                <w:sz w:val="20"/>
                <w:szCs w:val="20"/>
                <w:lang w:val="es-AR"/>
              </w:rPr>
              <w:t>30</w:t>
            </w:r>
            <w:r w:rsidR="007120E8" w:rsidRPr="001160D6">
              <w:rPr>
                <w:color w:val="000000"/>
                <w:sz w:val="20"/>
                <w:szCs w:val="20"/>
                <w:lang w:val="es-AR"/>
              </w:rPr>
              <w:t>5 922</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37542DFE" w14:textId="082DB05E" w:rsidR="00DB1F86" w:rsidRPr="001160D6" w:rsidRDefault="00DB1F86" w:rsidP="00FF4D54">
            <w:pPr>
              <w:jc w:val="right"/>
              <w:rPr>
                <w:color w:val="000000"/>
                <w:sz w:val="20"/>
                <w:szCs w:val="20"/>
                <w:lang w:val="es-AR" w:eastAsia="en-CA"/>
              </w:rPr>
            </w:pPr>
            <w:r w:rsidRPr="001160D6">
              <w:rPr>
                <w:color w:val="000000"/>
                <w:sz w:val="20"/>
                <w:szCs w:val="20"/>
                <w:lang w:val="es-AR"/>
              </w:rPr>
              <w:t>4</w:t>
            </w:r>
            <w:r w:rsidR="007120E8" w:rsidRPr="001160D6">
              <w:rPr>
                <w:color w:val="000000"/>
                <w:sz w:val="20"/>
                <w:szCs w:val="20"/>
                <w:lang w:val="es-AR"/>
              </w:rPr>
              <w:t>1,8</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33753E8B" w14:textId="3CCC1FD6" w:rsidR="00DB1F86" w:rsidRPr="001160D6" w:rsidRDefault="00DB1F86" w:rsidP="00FF4D54">
            <w:pPr>
              <w:jc w:val="right"/>
              <w:rPr>
                <w:color w:val="000000"/>
                <w:sz w:val="20"/>
                <w:szCs w:val="20"/>
                <w:lang w:val="es-AR" w:eastAsia="en-CA"/>
              </w:rPr>
            </w:pPr>
            <w:r w:rsidRPr="001160D6">
              <w:rPr>
                <w:color w:val="000000"/>
                <w:sz w:val="20"/>
                <w:szCs w:val="20"/>
                <w:lang w:val="es-AR"/>
              </w:rPr>
              <w:t>46</w:t>
            </w:r>
            <w:r w:rsidR="007120E8" w:rsidRPr="001160D6">
              <w:rPr>
                <w:color w:val="000000"/>
                <w:sz w:val="20"/>
                <w:szCs w:val="20"/>
                <w:lang w:val="es-AR"/>
              </w:rPr>
              <w:t>8 550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33ED2919" w14:textId="0D23B189" w:rsidR="00DB1F86" w:rsidRPr="001160D6" w:rsidRDefault="00DB1F86" w:rsidP="00FF4D54">
            <w:pPr>
              <w:jc w:val="right"/>
              <w:rPr>
                <w:color w:val="000000"/>
                <w:sz w:val="20"/>
                <w:szCs w:val="20"/>
                <w:lang w:val="es-AR" w:eastAsia="en-CA"/>
              </w:rPr>
            </w:pPr>
            <w:r w:rsidRPr="001160D6">
              <w:rPr>
                <w:color w:val="000000"/>
                <w:sz w:val="20"/>
                <w:szCs w:val="20"/>
                <w:lang w:val="es-AR"/>
              </w:rPr>
              <w:t>4</w:t>
            </w:r>
            <w:r w:rsidR="007120E8" w:rsidRPr="001160D6">
              <w:rPr>
                <w:color w:val="000000"/>
                <w:sz w:val="20"/>
                <w:szCs w:val="20"/>
                <w:lang w:val="es-AR"/>
              </w:rPr>
              <w:t>5,9</w:t>
            </w:r>
          </w:p>
        </w:tc>
      </w:tr>
      <w:tr w:rsidR="00DB1F86" w:rsidRPr="001160D6" w14:paraId="06594032" w14:textId="77777777" w:rsidTr="00FF4D54">
        <w:tc>
          <w:tcPr>
            <w:tcW w:w="179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79E16CC" w14:textId="77777777" w:rsidR="00DB1F86" w:rsidRPr="001160D6" w:rsidRDefault="00DB1F86" w:rsidP="00FF4D54">
            <w:pPr>
              <w:rPr>
                <w:color w:val="000000"/>
                <w:sz w:val="20"/>
                <w:szCs w:val="20"/>
                <w:lang w:val="es-AR" w:eastAsia="en-CA"/>
              </w:rPr>
            </w:pPr>
            <w:r w:rsidRPr="001160D6">
              <w:rPr>
                <w:color w:val="000000"/>
                <w:sz w:val="20"/>
                <w:szCs w:val="20"/>
                <w:lang w:val="es-AR"/>
              </w:rPr>
              <w:t>Otros sectores</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66DD72DD" w14:textId="7D207D3E" w:rsidR="00DB1F86" w:rsidRPr="001160D6" w:rsidRDefault="00DB1F86" w:rsidP="00FF4D54">
            <w:pPr>
              <w:jc w:val="right"/>
              <w:rPr>
                <w:color w:val="000000"/>
                <w:sz w:val="20"/>
                <w:szCs w:val="20"/>
                <w:lang w:val="es-AR" w:eastAsia="en-CA"/>
              </w:rPr>
            </w:pPr>
            <w:r w:rsidRPr="001160D6">
              <w:rPr>
                <w:color w:val="000000"/>
                <w:sz w:val="20"/>
                <w:szCs w:val="20"/>
                <w:lang w:val="es-AR"/>
              </w:rPr>
              <w:t>1</w:t>
            </w:r>
            <w:r w:rsidR="007120E8" w:rsidRPr="001160D6">
              <w:rPr>
                <w:color w:val="000000"/>
                <w:sz w:val="20"/>
                <w:szCs w:val="20"/>
                <w:lang w:val="es-AR"/>
              </w:rPr>
              <w:t>1 454</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588C718F" w14:textId="1885F28B" w:rsidR="00DB1F86" w:rsidRPr="001160D6" w:rsidRDefault="007120E8" w:rsidP="00FF4D54">
            <w:pPr>
              <w:jc w:val="right"/>
              <w:rPr>
                <w:color w:val="000000"/>
                <w:sz w:val="20"/>
                <w:szCs w:val="20"/>
                <w:lang w:val="es-AR" w:eastAsia="en-CA"/>
              </w:rPr>
            </w:pPr>
            <w:r w:rsidRPr="001160D6">
              <w:rPr>
                <w:color w:val="000000"/>
                <w:sz w:val="20"/>
                <w:szCs w:val="20"/>
                <w:lang w:val="es-AR"/>
              </w:rPr>
              <w:t>4,0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1EED5CA8" w14:textId="5A515A25" w:rsidR="00DB1F86" w:rsidRPr="001160D6" w:rsidRDefault="00DB1F86" w:rsidP="00FF4D54">
            <w:pPr>
              <w:jc w:val="right"/>
              <w:rPr>
                <w:color w:val="000000"/>
                <w:sz w:val="20"/>
                <w:szCs w:val="20"/>
                <w:lang w:val="es-AR" w:eastAsia="en-CA"/>
              </w:rPr>
            </w:pPr>
            <w:r w:rsidRPr="001160D6">
              <w:rPr>
                <w:color w:val="000000"/>
                <w:sz w:val="20"/>
                <w:szCs w:val="20"/>
                <w:lang w:val="es-AR"/>
              </w:rPr>
              <w:t>1</w:t>
            </w:r>
            <w:r w:rsidR="007120E8" w:rsidRPr="001160D6">
              <w:rPr>
                <w:color w:val="000000"/>
                <w:sz w:val="20"/>
                <w:szCs w:val="20"/>
                <w:lang w:val="es-AR"/>
              </w:rPr>
              <w:t>9 506</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13086D7A" w14:textId="57A1861C" w:rsidR="00DB1F86" w:rsidRPr="001160D6" w:rsidRDefault="007120E8" w:rsidP="00FF4D54">
            <w:pPr>
              <w:jc w:val="right"/>
              <w:rPr>
                <w:color w:val="000000"/>
                <w:sz w:val="20"/>
                <w:szCs w:val="20"/>
                <w:lang w:val="es-AR" w:eastAsia="en-CA"/>
              </w:rPr>
            </w:pPr>
            <w:r w:rsidRPr="001160D6">
              <w:rPr>
                <w:color w:val="000000"/>
                <w:sz w:val="20"/>
                <w:szCs w:val="20"/>
                <w:lang w:val="es-AR"/>
              </w:rPr>
              <w:t>4,1</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455CAFFF" w14:textId="7F2CEBD0" w:rsidR="00DB1F86" w:rsidRPr="001160D6" w:rsidRDefault="00DB1F86" w:rsidP="00FF4D54">
            <w:pPr>
              <w:jc w:val="right"/>
              <w:rPr>
                <w:color w:val="000000"/>
                <w:sz w:val="20"/>
                <w:szCs w:val="20"/>
                <w:lang w:val="es-AR" w:eastAsia="en-CA"/>
              </w:rPr>
            </w:pPr>
            <w:r w:rsidRPr="001160D6">
              <w:rPr>
                <w:color w:val="000000"/>
                <w:sz w:val="20"/>
                <w:szCs w:val="20"/>
                <w:lang w:val="es-AR"/>
              </w:rPr>
              <w:t>3</w:t>
            </w:r>
            <w:r w:rsidR="007120E8" w:rsidRPr="001160D6">
              <w:rPr>
                <w:color w:val="000000"/>
                <w:sz w:val="20"/>
                <w:szCs w:val="20"/>
                <w:lang w:val="es-AR"/>
              </w:rPr>
              <w:t>3 090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FD898D7" w14:textId="61781A71" w:rsidR="00DB1F86" w:rsidRPr="001160D6" w:rsidRDefault="007120E8" w:rsidP="00FF4D54">
            <w:pPr>
              <w:jc w:val="right"/>
              <w:rPr>
                <w:color w:val="000000"/>
                <w:sz w:val="20"/>
                <w:szCs w:val="20"/>
                <w:lang w:val="es-AR" w:eastAsia="en-CA"/>
              </w:rPr>
            </w:pPr>
            <w:r w:rsidRPr="001160D6">
              <w:rPr>
                <w:color w:val="000000"/>
                <w:sz w:val="20"/>
                <w:szCs w:val="20"/>
                <w:lang w:val="es-AR"/>
              </w:rPr>
              <w:t>4,5</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36C235C" w14:textId="73F83EBD" w:rsidR="00DB1F86" w:rsidRPr="001160D6" w:rsidRDefault="00DB1F86" w:rsidP="00FF4D54">
            <w:pPr>
              <w:jc w:val="right"/>
              <w:rPr>
                <w:color w:val="000000"/>
                <w:sz w:val="20"/>
                <w:szCs w:val="20"/>
                <w:lang w:val="es-AR" w:eastAsia="en-CA"/>
              </w:rPr>
            </w:pPr>
            <w:r w:rsidRPr="001160D6">
              <w:rPr>
                <w:color w:val="000000"/>
                <w:sz w:val="20"/>
                <w:szCs w:val="20"/>
                <w:lang w:val="es-AR"/>
              </w:rPr>
              <w:t>4</w:t>
            </w:r>
            <w:r w:rsidR="007120E8" w:rsidRPr="001160D6">
              <w:rPr>
                <w:color w:val="000000"/>
                <w:sz w:val="20"/>
                <w:szCs w:val="20"/>
                <w:lang w:val="es-AR"/>
              </w:rPr>
              <w:t>2 070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66953D30" w14:textId="03846A10" w:rsidR="00DB1F86" w:rsidRPr="001160D6" w:rsidRDefault="007120E8" w:rsidP="00FF4D54">
            <w:pPr>
              <w:jc w:val="right"/>
              <w:rPr>
                <w:color w:val="000000"/>
                <w:sz w:val="20"/>
                <w:szCs w:val="20"/>
                <w:lang w:val="es-AR" w:eastAsia="en-CA"/>
              </w:rPr>
            </w:pPr>
            <w:r w:rsidRPr="001160D6">
              <w:rPr>
                <w:color w:val="000000"/>
                <w:sz w:val="20"/>
                <w:szCs w:val="20"/>
                <w:lang w:val="es-AR"/>
              </w:rPr>
              <w:t>4,1</w:t>
            </w:r>
          </w:p>
        </w:tc>
      </w:tr>
      <w:tr w:rsidR="00DB1F86" w:rsidRPr="001160D6" w14:paraId="362BD2D3" w14:textId="77777777" w:rsidTr="00FF4D54">
        <w:tc>
          <w:tcPr>
            <w:tcW w:w="179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90064E7" w14:textId="77777777" w:rsidR="00DB1F86" w:rsidRPr="001160D6" w:rsidRDefault="00DB1F86" w:rsidP="00FF4D54">
            <w:pPr>
              <w:rPr>
                <w:b/>
                <w:color w:val="000000"/>
                <w:sz w:val="20"/>
                <w:szCs w:val="20"/>
                <w:lang w:val="es-AR" w:eastAsia="en-CA"/>
              </w:rPr>
            </w:pPr>
            <w:r w:rsidRPr="001160D6">
              <w:rPr>
                <w:b/>
                <w:color w:val="000000"/>
                <w:sz w:val="20"/>
                <w:szCs w:val="20"/>
                <w:lang w:val="es-AR"/>
              </w:rPr>
              <w:t>Total</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F2BC83D" w14:textId="01C8A314" w:rsidR="00DB1F86" w:rsidRPr="001160D6" w:rsidRDefault="00DB1F86" w:rsidP="00FF4D54">
            <w:pPr>
              <w:jc w:val="right"/>
              <w:rPr>
                <w:color w:val="000000"/>
                <w:sz w:val="20"/>
                <w:szCs w:val="20"/>
                <w:lang w:val="es-AR" w:eastAsia="en-CA"/>
              </w:rPr>
            </w:pPr>
            <w:r w:rsidRPr="001160D6">
              <w:rPr>
                <w:color w:val="000000"/>
                <w:sz w:val="20"/>
                <w:szCs w:val="20"/>
                <w:lang w:val="es-AR"/>
              </w:rPr>
              <w:t>28</w:t>
            </w:r>
            <w:r w:rsidR="007120E8" w:rsidRPr="001160D6">
              <w:rPr>
                <w:color w:val="000000"/>
                <w:sz w:val="20"/>
                <w:szCs w:val="20"/>
                <w:lang w:val="es-AR"/>
              </w:rPr>
              <w:t>4 325</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1DAD893B" w14:textId="613E41B3" w:rsidR="00DB1F86" w:rsidRPr="001160D6" w:rsidRDefault="00DB1F86" w:rsidP="00FF4D54">
            <w:pPr>
              <w:jc w:val="right"/>
              <w:rPr>
                <w:color w:val="000000"/>
                <w:sz w:val="20"/>
                <w:szCs w:val="20"/>
                <w:lang w:val="es-AR" w:eastAsia="en-CA"/>
              </w:rPr>
            </w:pPr>
            <w:r w:rsidRPr="001160D6">
              <w:rPr>
                <w:color w:val="000000"/>
                <w:sz w:val="20"/>
                <w:szCs w:val="20"/>
                <w:lang w:val="es-AR"/>
              </w:rPr>
              <w:t>10</w:t>
            </w:r>
            <w:r w:rsidR="007120E8" w:rsidRPr="001160D6">
              <w:rPr>
                <w:color w:val="000000"/>
                <w:sz w:val="20"/>
                <w:szCs w:val="20"/>
                <w:lang w:val="es-AR"/>
              </w:rPr>
              <w:t>0,0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25765156" w14:textId="54C64C74" w:rsidR="00DB1F86" w:rsidRPr="001160D6" w:rsidRDefault="00DB1F86" w:rsidP="00FF4D54">
            <w:pPr>
              <w:jc w:val="right"/>
              <w:rPr>
                <w:color w:val="000000"/>
                <w:sz w:val="20"/>
                <w:szCs w:val="20"/>
                <w:lang w:val="es-AR" w:eastAsia="en-CA"/>
              </w:rPr>
            </w:pPr>
            <w:r w:rsidRPr="001160D6">
              <w:rPr>
                <w:color w:val="000000"/>
                <w:sz w:val="20"/>
                <w:szCs w:val="20"/>
                <w:lang w:val="es-AR"/>
              </w:rPr>
              <w:t>47</w:t>
            </w:r>
            <w:r w:rsidR="007120E8" w:rsidRPr="001160D6">
              <w:rPr>
                <w:color w:val="000000"/>
                <w:sz w:val="20"/>
                <w:szCs w:val="20"/>
                <w:lang w:val="es-AR"/>
              </w:rPr>
              <w:t>7 618</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471B0CDC" w14:textId="666E5E98" w:rsidR="00DB1F86" w:rsidRPr="001160D6" w:rsidRDefault="00DB1F86" w:rsidP="00FF4D54">
            <w:pPr>
              <w:jc w:val="right"/>
              <w:rPr>
                <w:color w:val="000000"/>
                <w:sz w:val="20"/>
                <w:szCs w:val="20"/>
                <w:lang w:val="es-AR" w:eastAsia="en-CA"/>
              </w:rPr>
            </w:pPr>
            <w:r w:rsidRPr="001160D6">
              <w:rPr>
                <w:color w:val="000000"/>
                <w:sz w:val="20"/>
                <w:szCs w:val="20"/>
                <w:lang w:val="es-AR"/>
              </w:rPr>
              <w:t>10</w:t>
            </w:r>
            <w:r w:rsidR="007120E8" w:rsidRPr="001160D6">
              <w:rPr>
                <w:color w:val="000000"/>
                <w:sz w:val="20"/>
                <w:szCs w:val="20"/>
                <w:lang w:val="es-AR"/>
              </w:rPr>
              <w:t>0,0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73C92BBC" w14:textId="39EF7067" w:rsidR="00DB1F86" w:rsidRPr="001160D6" w:rsidRDefault="00DB1F86" w:rsidP="00FF4D54">
            <w:pPr>
              <w:jc w:val="right"/>
              <w:rPr>
                <w:color w:val="000000"/>
                <w:sz w:val="20"/>
                <w:szCs w:val="20"/>
                <w:lang w:val="es-AR" w:eastAsia="en-CA"/>
              </w:rPr>
            </w:pPr>
            <w:r w:rsidRPr="001160D6">
              <w:rPr>
                <w:color w:val="000000"/>
                <w:sz w:val="20"/>
                <w:szCs w:val="20"/>
                <w:lang w:val="es-AR"/>
              </w:rPr>
              <w:t>73</w:t>
            </w:r>
            <w:r w:rsidR="007120E8" w:rsidRPr="001160D6">
              <w:rPr>
                <w:color w:val="000000"/>
                <w:sz w:val="20"/>
                <w:szCs w:val="20"/>
                <w:lang w:val="es-AR"/>
              </w:rPr>
              <w:t>1 402</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079FC702" w14:textId="2DE3A9DC" w:rsidR="00DB1F86" w:rsidRPr="001160D6" w:rsidRDefault="00DB1F86" w:rsidP="00FF4D54">
            <w:pPr>
              <w:jc w:val="right"/>
              <w:rPr>
                <w:color w:val="000000"/>
                <w:sz w:val="20"/>
                <w:szCs w:val="20"/>
                <w:lang w:val="es-AR" w:eastAsia="en-CA"/>
              </w:rPr>
            </w:pPr>
            <w:r w:rsidRPr="001160D6">
              <w:rPr>
                <w:color w:val="000000"/>
                <w:sz w:val="20"/>
                <w:szCs w:val="20"/>
                <w:lang w:val="es-AR"/>
              </w:rPr>
              <w:t>10</w:t>
            </w:r>
            <w:r w:rsidR="007120E8" w:rsidRPr="001160D6">
              <w:rPr>
                <w:color w:val="000000"/>
                <w:sz w:val="20"/>
                <w:szCs w:val="20"/>
                <w:lang w:val="es-AR"/>
              </w:rPr>
              <w:t>0,0</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17A24702" w14:textId="323A0C8E" w:rsidR="00DB1F86" w:rsidRPr="001160D6" w:rsidRDefault="007120E8" w:rsidP="00FF4D54">
            <w:pPr>
              <w:jc w:val="right"/>
              <w:rPr>
                <w:color w:val="000000"/>
                <w:sz w:val="20"/>
                <w:szCs w:val="20"/>
                <w:lang w:val="es-AR" w:eastAsia="en-CA"/>
              </w:rPr>
            </w:pPr>
            <w:r w:rsidRPr="001160D6">
              <w:rPr>
                <w:color w:val="000000"/>
                <w:sz w:val="20"/>
                <w:szCs w:val="20"/>
                <w:lang w:val="es-AR"/>
              </w:rPr>
              <w:t>1 021 216</w:t>
            </w:r>
          </w:p>
        </w:tc>
        <w:tc>
          <w:tcPr>
            <w:tcW w:w="948" w:type="dxa"/>
            <w:tcBorders>
              <w:top w:val="nil"/>
              <w:left w:val="nil"/>
              <w:bottom w:val="single" w:sz="4" w:space="0" w:color="auto"/>
              <w:right w:val="single" w:sz="4" w:space="0" w:color="auto"/>
            </w:tcBorders>
            <w:shd w:val="clear" w:color="auto" w:fill="auto"/>
            <w:noWrap/>
            <w:tcMar>
              <w:left w:w="0" w:type="dxa"/>
              <w:right w:w="115" w:type="dxa"/>
            </w:tcMar>
            <w:vAlign w:val="bottom"/>
            <w:hideMark/>
          </w:tcPr>
          <w:p w14:paraId="478AE2CE" w14:textId="47FD6389" w:rsidR="00DB1F86" w:rsidRPr="001160D6" w:rsidRDefault="00DB1F86" w:rsidP="00FF4D54">
            <w:pPr>
              <w:jc w:val="right"/>
              <w:rPr>
                <w:color w:val="000000"/>
                <w:sz w:val="20"/>
                <w:szCs w:val="20"/>
                <w:lang w:val="es-AR" w:eastAsia="en-CA"/>
              </w:rPr>
            </w:pPr>
            <w:r w:rsidRPr="001160D6">
              <w:rPr>
                <w:color w:val="000000"/>
                <w:sz w:val="20"/>
                <w:szCs w:val="20"/>
                <w:lang w:val="es-AR"/>
              </w:rPr>
              <w:t>10</w:t>
            </w:r>
            <w:r w:rsidR="007120E8" w:rsidRPr="001160D6">
              <w:rPr>
                <w:color w:val="000000"/>
                <w:sz w:val="20"/>
                <w:szCs w:val="20"/>
                <w:lang w:val="es-AR"/>
              </w:rPr>
              <w:t>0,0</w:t>
            </w:r>
          </w:p>
        </w:tc>
      </w:tr>
    </w:tbl>
    <w:p w14:paraId="4A43C843" w14:textId="77777777" w:rsidR="00DB1F86" w:rsidRPr="001160D6" w:rsidRDefault="00DB1F86" w:rsidP="00DB1F86">
      <w:pPr>
        <w:rPr>
          <w:lang w:val="es-AR"/>
        </w:rPr>
      </w:pPr>
    </w:p>
    <w:p w14:paraId="2566837D" w14:textId="4FFB128D" w:rsidR="00DB1F86" w:rsidRPr="001160D6" w:rsidRDefault="009A618F" w:rsidP="009A618F">
      <w:pPr>
        <w:pStyle w:val="Heading1"/>
        <w:numPr>
          <w:ilvl w:val="0"/>
          <w:numId w:val="0"/>
        </w:numPr>
        <w:rPr>
          <w:lang w:val="es-AR"/>
        </w:rPr>
      </w:pPr>
      <w:r w:rsidRPr="001160D6">
        <w:rPr>
          <w:lang w:val="es-AR"/>
        </w:rPr>
        <w:t>16.</w:t>
      </w:r>
      <w:r w:rsidRPr="001160D6">
        <w:rPr>
          <w:lang w:val="es-AR"/>
        </w:rPr>
        <w:tab/>
      </w:r>
      <w:r w:rsidR="00DB1F86" w:rsidRPr="001160D6">
        <w:rPr>
          <w:lang w:val="es-AR"/>
        </w:rPr>
        <w:t xml:space="preserve">Similar a la distribución sectorial de </w:t>
      </w:r>
      <w:r w:rsidR="007120E8" w:rsidRPr="001160D6">
        <w:rPr>
          <w:lang w:val="es-AR"/>
        </w:rPr>
        <w:t>los HCFC</w:t>
      </w:r>
      <w:r w:rsidR="00DB1F86" w:rsidRPr="001160D6">
        <w:rPr>
          <w:lang w:val="es-AR"/>
        </w:rPr>
        <w:t xml:space="preserve">, se asume que en </w:t>
      </w:r>
      <w:r w:rsidRPr="001160D6">
        <w:rPr>
          <w:lang w:val="es-AR"/>
        </w:rPr>
        <w:t xml:space="preserve">unos </w:t>
      </w:r>
      <w:r w:rsidR="00DB1F86" w:rsidRPr="001160D6">
        <w:rPr>
          <w:lang w:val="es-AR"/>
        </w:rPr>
        <w:t xml:space="preserve">100 países del </w:t>
      </w:r>
      <w:r w:rsidR="007120E8" w:rsidRPr="001160D6">
        <w:rPr>
          <w:lang w:val="es-AR"/>
        </w:rPr>
        <w:t>Artículo</w:t>
      </w:r>
      <w:r w:rsidR="00DB1F86" w:rsidRPr="001160D6">
        <w:rPr>
          <w:lang w:val="es-AR"/>
        </w:rPr>
        <w:t xml:space="preserve"> 5 </w:t>
      </w:r>
      <w:r w:rsidR="00944DE1" w:rsidRPr="001160D6">
        <w:rPr>
          <w:lang w:val="es-AR"/>
        </w:rPr>
        <w:t>los HFC</w:t>
      </w:r>
      <w:r w:rsidR="00DB1F86" w:rsidRPr="001160D6">
        <w:rPr>
          <w:lang w:val="es-AR"/>
        </w:rPr>
        <w:t xml:space="preserve"> </w:t>
      </w:r>
      <w:r w:rsidR="00C817F9" w:rsidRPr="001160D6">
        <w:rPr>
          <w:lang w:val="es-AR"/>
        </w:rPr>
        <w:t>se utiliza</w:t>
      </w:r>
      <w:r w:rsidR="00DF6940" w:rsidRPr="001160D6">
        <w:rPr>
          <w:lang w:val="es-AR"/>
        </w:rPr>
        <w:t>n</w:t>
      </w:r>
      <w:r w:rsidR="00C817F9" w:rsidRPr="001160D6">
        <w:rPr>
          <w:lang w:val="es-AR"/>
        </w:rPr>
        <w:t xml:space="preserve"> </w:t>
      </w:r>
      <w:r w:rsidR="007120E8" w:rsidRPr="001160D6">
        <w:rPr>
          <w:lang w:val="es-AR"/>
        </w:rPr>
        <w:t>sólo</w:t>
      </w:r>
      <w:r w:rsidR="00DB1F86" w:rsidRPr="001160D6">
        <w:rPr>
          <w:lang w:val="es-AR"/>
        </w:rPr>
        <w:t xml:space="preserve"> en el </w:t>
      </w:r>
      <w:r w:rsidR="007120E8" w:rsidRPr="001160D6">
        <w:rPr>
          <w:lang w:val="es-AR"/>
        </w:rPr>
        <w:t xml:space="preserve">sector de </w:t>
      </w:r>
      <w:r w:rsidR="00C817F9" w:rsidRPr="001160D6">
        <w:rPr>
          <w:lang w:val="es-AR"/>
        </w:rPr>
        <w:t>servicio</w:t>
      </w:r>
      <w:r w:rsidR="00DF6940" w:rsidRPr="001160D6">
        <w:rPr>
          <w:lang w:val="es-AR"/>
        </w:rPr>
        <w:t xml:space="preserve"> y mantenimiento</w:t>
      </w:r>
      <w:r w:rsidR="00C817F9" w:rsidRPr="001160D6">
        <w:rPr>
          <w:lang w:val="es-AR"/>
        </w:rPr>
        <w:t xml:space="preserve"> de equipos de refrigeración</w:t>
      </w:r>
      <w:r w:rsidR="00DB1F86" w:rsidRPr="001160D6">
        <w:rPr>
          <w:lang w:val="es-AR"/>
        </w:rPr>
        <w:t xml:space="preserve">. Este supuesto </w:t>
      </w:r>
      <w:r w:rsidR="00C817F9" w:rsidRPr="001160D6">
        <w:rPr>
          <w:lang w:val="es-AR"/>
        </w:rPr>
        <w:t xml:space="preserve">se apoya en </w:t>
      </w:r>
      <w:r w:rsidR="00DB1F86" w:rsidRPr="001160D6">
        <w:rPr>
          <w:lang w:val="es-AR"/>
        </w:rPr>
        <w:t xml:space="preserve">la información disponible </w:t>
      </w:r>
      <w:r w:rsidR="00DF6940" w:rsidRPr="001160D6">
        <w:rPr>
          <w:lang w:val="es-AR"/>
        </w:rPr>
        <w:t xml:space="preserve">proveniente </w:t>
      </w:r>
      <w:r w:rsidR="00DB1F86" w:rsidRPr="001160D6">
        <w:rPr>
          <w:lang w:val="es-AR"/>
        </w:rPr>
        <w:t xml:space="preserve">de encuestas de las alternativas </w:t>
      </w:r>
      <w:r w:rsidR="00C817F9" w:rsidRPr="001160D6">
        <w:rPr>
          <w:lang w:val="es-AR"/>
        </w:rPr>
        <w:t>de las SAO</w:t>
      </w:r>
      <w:r w:rsidR="00DB1F86" w:rsidRPr="001160D6">
        <w:rPr>
          <w:lang w:val="es-AR"/>
        </w:rPr>
        <w:t xml:space="preserve"> en 119 países del </w:t>
      </w:r>
      <w:r w:rsidR="007120E8" w:rsidRPr="001160D6">
        <w:rPr>
          <w:lang w:val="es-AR"/>
        </w:rPr>
        <w:t>Artículo</w:t>
      </w:r>
      <w:r w:rsidR="00DB1F86" w:rsidRPr="001160D6">
        <w:rPr>
          <w:lang w:val="es-AR"/>
        </w:rPr>
        <w:t xml:space="preserve"> 5,</w:t>
      </w:r>
      <w:r w:rsidR="00DB1F86" w:rsidRPr="001160D6">
        <w:rPr>
          <w:rStyle w:val="FootnoteReference"/>
          <w:lang w:val="es-AR"/>
        </w:rPr>
        <w:footnoteReference w:id="22"/>
      </w:r>
      <w:r w:rsidR="00DB1F86" w:rsidRPr="001160D6">
        <w:rPr>
          <w:lang w:val="es-AR"/>
        </w:rPr>
        <w:t xml:space="preserve"> </w:t>
      </w:r>
      <w:r w:rsidR="00C817F9" w:rsidRPr="001160D6">
        <w:rPr>
          <w:lang w:val="es-AR"/>
        </w:rPr>
        <w:t xml:space="preserve">lo </w:t>
      </w:r>
      <w:r w:rsidR="00DB1F86" w:rsidRPr="001160D6">
        <w:rPr>
          <w:lang w:val="es-AR"/>
        </w:rPr>
        <w:t xml:space="preserve">que indica que el consumo de HFC en el </w:t>
      </w:r>
      <w:r w:rsidR="007120E8" w:rsidRPr="001160D6">
        <w:rPr>
          <w:lang w:val="es-AR"/>
        </w:rPr>
        <w:t xml:space="preserve">sector de </w:t>
      </w:r>
      <w:r w:rsidR="00C817F9" w:rsidRPr="001160D6">
        <w:rPr>
          <w:lang w:val="es-AR"/>
        </w:rPr>
        <w:t>servicios</w:t>
      </w:r>
      <w:r w:rsidR="00C909C8" w:rsidRPr="001160D6">
        <w:rPr>
          <w:lang w:val="es-AR"/>
        </w:rPr>
        <w:t xml:space="preserve"> y mantenimiento</w:t>
      </w:r>
      <w:r w:rsidR="00C817F9" w:rsidRPr="001160D6">
        <w:rPr>
          <w:lang w:val="es-AR"/>
        </w:rPr>
        <w:t xml:space="preserve"> de equipos de refrigeración</w:t>
      </w:r>
      <w:r w:rsidR="00DB1F86" w:rsidRPr="001160D6">
        <w:rPr>
          <w:lang w:val="es-AR"/>
        </w:rPr>
        <w:t xml:space="preserve"> </w:t>
      </w:r>
      <w:r w:rsidR="00C909C8" w:rsidRPr="001160D6">
        <w:rPr>
          <w:lang w:val="es-AR"/>
        </w:rPr>
        <w:t xml:space="preserve">correspondiese al </w:t>
      </w:r>
      <w:r w:rsidR="00DB1F86" w:rsidRPr="001160D6">
        <w:rPr>
          <w:lang w:val="es-AR"/>
        </w:rPr>
        <w:t xml:space="preserve">97 por ciento de consumo total para los países </w:t>
      </w:r>
      <w:r w:rsidR="00B321BA" w:rsidRPr="001160D6">
        <w:rPr>
          <w:lang w:val="es-AR"/>
        </w:rPr>
        <w:t xml:space="preserve">con bajo consumo </w:t>
      </w:r>
      <w:r w:rsidR="00DB1F86" w:rsidRPr="001160D6">
        <w:rPr>
          <w:lang w:val="es-AR"/>
        </w:rPr>
        <w:t>y el 76 por ciento </w:t>
      </w:r>
      <w:r w:rsidR="00C909C8" w:rsidRPr="001160D6">
        <w:rPr>
          <w:lang w:val="es-AR"/>
        </w:rPr>
        <w:t xml:space="preserve">a los </w:t>
      </w:r>
      <w:r w:rsidR="00B321BA" w:rsidRPr="001160D6">
        <w:rPr>
          <w:lang w:val="es-AR"/>
        </w:rPr>
        <w:t>países sin bajo consumo</w:t>
      </w:r>
      <w:r w:rsidR="00DB1F86" w:rsidRPr="001160D6">
        <w:rPr>
          <w:lang w:val="es-AR"/>
        </w:rPr>
        <w:t>.</w:t>
      </w:r>
      <w:r w:rsidR="00DB1F86" w:rsidRPr="001160D6">
        <w:rPr>
          <w:rStyle w:val="FootnoteReference"/>
          <w:lang w:val="es-AR"/>
        </w:rPr>
        <w:footnoteReference w:id="23"/>
      </w:r>
    </w:p>
    <w:p w14:paraId="68CF2162" w14:textId="02978E5C" w:rsidR="00DB1F86" w:rsidRPr="001160D6" w:rsidRDefault="00D23F22" w:rsidP="00DB1F86">
      <w:pPr>
        <w:keepNext/>
        <w:rPr>
          <w:b/>
          <w:lang w:val="es-AR"/>
        </w:rPr>
      </w:pPr>
      <w:r w:rsidRPr="001160D6">
        <w:rPr>
          <w:b/>
          <w:lang w:val="es-AR"/>
        </w:rPr>
        <w:t>Beneficios</w:t>
      </w:r>
      <w:r w:rsidR="00DB1F86" w:rsidRPr="001160D6">
        <w:rPr>
          <w:b/>
          <w:lang w:val="es-AR"/>
        </w:rPr>
        <w:t xml:space="preserve"> de una </w:t>
      </w:r>
      <w:r w:rsidR="00C909C8" w:rsidRPr="001160D6">
        <w:rPr>
          <w:b/>
          <w:lang w:val="es-AR"/>
        </w:rPr>
        <w:t xml:space="preserve">acción </w:t>
      </w:r>
      <w:r w:rsidR="00DB1F86" w:rsidRPr="001160D6">
        <w:rPr>
          <w:b/>
          <w:lang w:val="es-AR"/>
        </w:rPr>
        <w:t xml:space="preserve">temprana </w:t>
      </w:r>
      <w:r w:rsidR="00825FAD" w:rsidRPr="001160D6">
        <w:rPr>
          <w:b/>
          <w:lang w:val="es-AR"/>
        </w:rPr>
        <w:t>en</w:t>
      </w:r>
      <w:r w:rsidR="00DB1F86" w:rsidRPr="001160D6">
        <w:rPr>
          <w:b/>
          <w:lang w:val="es-AR"/>
        </w:rPr>
        <w:t xml:space="preserve"> actividades reguladoras y encuestas </w:t>
      </w:r>
      <w:r w:rsidRPr="001160D6">
        <w:rPr>
          <w:b/>
          <w:lang w:val="es-AR"/>
        </w:rPr>
        <w:t xml:space="preserve">exhaustivas sobre </w:t>
      </w:r>
      <w:r w:rsidR="00DB1F86" w:rsidRPr="001160D6">
        <w:rPr>
          <w:b/>
          <w:lang w:val="es-AR"/>
        </w:rPr>
        <w:t>consumo</w:t>
      </w:r>
    </w:p>
    <w:p w14:paraId="6D4097AC" w14:textId="77777777" w:rsidR="00DB1F86" w:rsidRPr="001160D6" w:rsidRDefault="00DB1F86" w:rsidP="00DB1F86">
      <w:pPr>
        <w:keepNext/>
        <w:rPr>
          <w:lang w:val="es-AR"/>
        </w:rPr>
      </w:pPr>
    </w:p>
    <w:p w14:paraId="620790FA" w14:textId="70BEFC6D" w:rsidR="00DB1F86" w:rsidRPr="001160D6" w:rsidRDefault="00D23F22" w:rsidP="00D23F22">
      <w:pPr>
        <w:pStyle w:val="Heading1"/>
        <w:keepNext/>
        <w:numPr>
          <w:ilvl w:val="0"/>
          <w:numId w:val="0"/>
        </w:numPr>
        <w:rPr>
          <w:lang w:val="es-AR"/>
        </w:rPr>
      </w:pPr>
      <w:r w:rsidRPr="001160D6">
        <w:rPr>
          <w:lang w:val="es-AR"/>
        </w:rPr>
        <w:t>17.</w:t>
      </w:r>
      <w:r w:rsidRPr="001160D6">
        <w:rPr>
          <w:lang w:val="es-AR"/>
        </w:rPr>
        <w:tab/>
      </w:r>
      <w:r w:rsidR="00DB1F86" w:rsidRPr="001160D6">
        <w:rPr>
          <w:lang w:val="es-AR"/>
        </w:rPr>
        <w:t xml:space="preserve">Los </w:t>
      </w:r>
      <w:r w:rsidRPr="001160D6">
        <w:rPr>
          <w:lang w:val="es-AR"/>
        </w:rPr>
        <w:t>planes de reducción</w:t>
      </w:r>
      <w:r w:rsidR="002300DB" w:rsidRPr="001160D6">
        <w:rPr>
          <w:lang w:val="es-AR"/>
        </w:rPr>
        <w:t xml:space="preserve"> de HFC</w:t>
      </w:r>
      <w:r w:rsidR="00DB1F86" w:rsidRPr="001160D6">
        <w:rPr>
          <w:lang w:val="es-AR"/>
        </w:rPr>
        <w:t xml:space="preserve"> que </w:t>
      </w:r>
      <w:r w:rsidRPr="001160D6">
        <w:rPr>
          <w:lang w:val="es-AR"/>
        </w:rPr>
        <w:t xml:space="preserve">se prepararán </w:t>
      </w:r>
      <w:r w:rsidR="00DB1F86" w:rsidRPr="001160D6">
        <w:rPr>
          <w:lang w:val="es-AR"/>
        </w:rPr>
        <w:t xml:space="preserve">incluirán una estrategia general, un </w:t>
      </w:r>
      <w:r w:rsidR="00205B2C" w:rsidRPr="001160D6">
        <w:rPr>
          <w:lang w:val="es-AR"/>
        </w:rPr>
        <w:t>plan de acción</w:t>
      </w:r>
      <w:r w:rsidR="00DB1F86" w:rsidRPr="001160D6">
        <w:rPr>
          <w:lang w:val="es-AR"/>
        </w:rPr>
        <w:t xml:space="preserve"> y un</w:t>
      </w:r>
      <w:r w:rsidR="00205B2C" w:rsidRPr="001160D6">
        <w:rPr>
          <w:lang w:val="es-AR"/>
        </w:rPr>
        <w:t xml:space="preserve"> grupo de actividades</w:t>
      </w:r>
      <w:r w:rsidR="00DB1F86" w:rsidRPr="001160D6">
        <w:rPr>
          <w:lang w:val="es-AR"/>
        </w:rPr>
        <w:t xml:space="preserve"> </w:t>
      </w:r>
      <w:r w:rsidR="00205B2C" w:rsidRPr="001160D6">
        <w:rPr>
          <w:lang w:val="es-AR"/>
        </w:rPr>
        <w:t xml:space="preserve">para </w:t>
      </w:r>
      <w:r w:rsidR="00DB1F86" w:rsidRPr="001160D6">
        <w:rPr>
          <w:lang w:val="es-AR"/>
        </w:rPr>
        <w:t xml:space="preserve">cumplir </w:t>
      </w:r>
      <w:r w:rsidR="00205B2C" w:rsidRPr="001160D6">
        <w:rPr>
          <w:lang w:val="es-AR"/>
        </w:rPr>
        <w:t xml:space="preserve">con </w:t>
      </w:r>
      <w:r w:rsidR="00DB1F86" w:rsidRPr="001160D6">
        <w:rPr>
          <w:lang w:val="es-AR"/>
        </w:rPr>
        <w:t>l</w:t>
      </w:r>
      <w:r w:rsidR="00825FAD" w:rsidRPr="001160D6">
        <w:rPr>
          <w:lang w:val="es-AR"/>
        </w:rPr>
        <w:t xml:space="preserve">as obligaciones </w:t>
      </w:r>
      <w:r w:rsidR="00DB1F86" w:rsidRPr="001160D6">
        <w:rPr>
          <w:lang w:val="es-AR"/>
        </w:rPr>
        <w:t xml:space="preserve">iniciales de reducción de HFC </w:t>
      </w:r>
      <w:r w:rsidR="002300DB" w:rsidRPr="001160D6">
        <w:rPr>
          <w:lang w:val="es-AR"/>
        </w:rPr>
        <w:t>bajo el Protocolo</w:t>
      </w:r>
      <w:r w:rsidR="00DB1F86" w:rsidRPr="001160D6">
        <w:rPr>
          <w:lang w:val="es-AR"/>
        </w:rPr>
        <w:t xml:space="preserve"> de Montreal. De acuerdo con la experiencia de preparación y aprobación</w:t>
      </w:r>
      <w:r w:rsidR="00825FAD" w:rsidRPr="001160D6">
        <w:rPr>
          <w:lang w:val="es-AR"/>
        </w:rPr>
        <w:t xml:space="preserve"> de</w:t>
      </w:r>
      <w:r w:rsidR="00DB1F86" w:rsidRPr="001160D6">
        <w:rPr>
          <w:lang w:val="es-AR"/>
        </w:rPr>
        <w:t xml:space="preserve"> </w:t>
      </w:r>
      <w:r w:rsidR="00205B2C" w:rsidRPr="001160D6">
        <w:rPr>
          <w:lang w:val="es-AR"/>
        </w:rPr>
        <w:t>planes de eliminación nacionales y sectoriales</w:t>
      </w:r>
      <w:r w:rsidR="00DB1F86" w:rsidRPr="001160D6">
        <w:rPr>
          <w:lang w:val="es-AR"/>
        </w:rPr>
        <w:t>, tomará</w:t>
      </w:r>
      <w:r w:rsidR="00825FAD" w:rsidRPr="001160D6">
        <w:rPr>
          <w:lang w:val="es-AR"/>
        </w:rPr>
        <w:t xml:space="preserve"> un promedio de</w:t>
      </w:r>
      <w:r w:rsidR="00DB1F86" w:rsidRPr="001160D6">
        <w:rPr>
          <w:lang w:val="es-AR"/>
        </w:rPr>
        <w:t xml:space="preserve"> hasta dos años para que </w:t>
      </w:r>
      <w:r w:rsidR="00205B2C" w:rsidRPr="001160D6">
        <w:rPr>
          <w:lang w:val="es-AR"/>
        </w:rPr>
        <w:t xml:space="preserve">los países del Artículo 5 formulen los planes de reducción de HFC </w:t>
      </w:r>
      <w:r w:rsidR="00DB1F86" w:rsidRPr="001160D6">
        <w:rPr>
          <w:lang w:val="es-AR"/>
        </w:rPr>
        <w:t xml:space="preserve">y </w:t>
      </w:r>
      <w:r w:rsidR="00205B2C" w:rsidRPr="001160D6">
        <w:rPr>
          <w:lang w:val="es-AR"/>
        </w:rPr>
        <w:t xml:space="preserve">el Comité Ejecutivo los apruebe </w:t>
      </w:r>
      <w:r w:rsidR="00DB1F86" w:rsidRPr="001160D6">
        <w:rPr>
          <w:lang w:val="es-AR"/>
        </w:rPr>
        <w:t xml:space="preserve">(es decir, 2022-2023), y hasta tres años (es decir, 2023-2025) para que </w:t>
      </w:r>
      <w:r w:rsidR="008820C8" w:rsidRPr="001160D6">
        <w:rPr>
          <w:lang w:val="es-AR"/>
        </w:rPr>
        <w:t xml:space="preserve">se ejecuten </w:t>
      </w:r>
      <w:r w:rsidR="00DB1F86" w:rsidRPr="001160D6">
        <w:rPr>
          <w:lang w:val="es-AR"/>
        </w:rPr>
        <w:t xml:space="preserve">las primeras actividades de </w:t>
      </w:r>
      <w:r w:rsidR="008820C8" w:rsidRPr="001160D6">
        <w:rPr>
          <w:lang w:val="es-AR"/>
        </w:rPr>
        <w:t>reducción</w:t>
      </w:r>
      <w:r w:rsidR="00DB1F86" w:rsidRPr="001160D6">
        <w:rPr>
          <w:lang w:val="es-AR"/>
        </w:rPr>
        <w:t xml:space="preserve">. </w:t>
      </w:r>
    </w:p>
    <w:p w14:paraId="5751AB73" w14:textId="22C88597" w:rsidR="00DB1F86" w:rsidRPr="001160D6" w:rsidRDefault="008820C8" w:rsidP="008820C8">
      <w:pPr>
        <w:pStyle w:val="Heading1"/>
        <w:numPr>
          <w:ilvl w:val="0"/>
          <w:numId w:val="0"/>
        </w:numPr>
        <w:rPr>
          <w:lang w:val="es-AR"/>
        </w:rPr>
      </w:pPr>
      <w:r w:rsidRPr="001160D6">
        <w:rPr>
          <w:lang w:val="es-AR"/>
        </w:rPr>
        <w:t>18.</w:t>
      </w:r>
      <w:r w:rsidRPr="001160D6">
        <w:rPr>
          <w:lang w:val="es-AR"/>
        </w:rPr>
        <w:tab/>
      </w:r>
      <w:r w:rsidR="00DB1F86" w:rsidRPr="001160D6">
        <w:rPr>
          <w:lang w:val="es-AR"/>
        </w:rPr>
        <w:t xml:space="preserve">Durante este período, </w:t>
      </w:r>
      <w:r w:rsidR="007120E8" w:rsidRPr="001160D6">
        <w:rPr>
          <w:lang w:val="es-AR"/>
        </w:rPr>
        <w:t>las Partes al amparo del Artículo</w:t>
      </w:r>
      <w:r w:rsidR="00DB1F86" w:rsidRPr="001160D6">
        <w:rPr>
          <w:lang w:val="es-AR"/>
        </w:rPr>
        <w:t xml:space="preserve"> 5 podría</w:t>
      </w:r>
      <w:r w:rsidRPr="001160D6">
        <w:rPr>
          <w:lang w:val="es-AR"/>
        </w:rPr>
        <w:t>n</w:t>
      </w:r>
      <w:r w:rsidR="00DB1F86" w:rsidRPr="001160D6">
        <w:rPr>
          <w:lang w:val="es-AR"/>
        </w:rPr>
        <w:t xml:space="preserve"> considerar, </w:t>
      </w:r>
      <w:r w:rsidR="0082673C" w:rsidRPr="001160D6">
        <w:rPr>
          <w:lang w:val="es-AR"/>
        </w:rPr>
        <w:t xml:space="preserve">voluntariamente </w:t>
      </w:r>
      <w:r w:rsidR="00DB1F86" w:rsidRPr="001160D6">
        <w:rPr>
          <w:lang w:val="es-AR"/>
        </w:rPr>
        <w:t xml:space="preserve">y conforme a </w:t>
      </w:r>
      <w:r w:rsidRPr="001160D6">
        <w:rPr>
          <w:lang w:val="es-AR"/>
        </w:rPr>
        <w:t xml:space="preserve">las </w:t>
      </w:r>
      <w:r w:rsidR="00DB1F86" w:rsidRPr="001160D6">
        <w:rPr>
          <w:lang w:val="es-AR"/>
        </w:rPr>
        <w:t>prioridades y circunstancias</w:t>
      </w:r>
      <w:r w:rsidRPr="001160D6">
        <w:rPr>
          <w:lang w:val="es-AR"/>
        </w:rPr>
        <w:t xml:space="preserve"> nacionales</w:t>
      </w:r>
      <w:r w:rsidR="00DB1F86" w:rsidRPr="001160D6">
        <w:rPr>
          <w:lang w:val="es-AR"/>
        </w:rPr>
        <w:t>, termina</w:t>
      </w:r>
      <w:r w:rsidR="00825FAD" w:rsidRPr="001160D6">
        <w:rPr>
          <w:lang w:val="es-AR"/>
        </w:rPr>
        <w:t>r las</w:t>
      </w:r>
      <w:r w:rsidR="00DB1F86" w:rsidRPr="001160D6">
        <w:rPr>
          <w:lang w:val="es-AR"/>
        </w:rPr>
        <w:t xml:space="preserve"> encuestas </w:t>
      </w:r>
      <w:r w:rsidRPr="001160D6">
        <w:rPr>
          <w:lang w:val="es-AR"/>
        </w:rPr>
        <w:t xml:space="preserve">exhaustivas sobre </w:t>
      </w:r>
      <w:r w:rsidR="00DB1F86" w:rsidRPr="001160D6">
        <w:rPr>
          <w:lang w:val="es-AR"/>
        </w:rPr>
        <w:t>el consumo de HFC y su distribución sectorial</w:t>
      </w:r>
      <w:r w:rsidR="00825FAD" w:rsidRPr="001160D6">
        <w:rPr>
          <w:lang w:val="es-AR"/>
        </w:rPr>
        <w:t>,</w:t>
      </w:r>
      <w:r w:rsidR="00DB1F86" w:rsidRPr="001160D6">
        <w:rPr>
          <w:lang w:val="es-AR"/>
        </w:rPr>
        <w:t xml:space="preserve"> y desarrolla</w:t>
      </w:r>
      <w:r w:rsidR="00825FAD" w:rsidRPr="001160D6">
        <w:rPr>
          <w:lang w:val="es-AR"/>
        </w:rPr>
        <w:t>r</w:t>
      </w:r>
      <w:r w:rsidR="00DB1F86" w:rsidRPr="001160D6">
        <w:rPr>
          <w:lang w:val="es-AR"/>
        </w:rPr>
        <w:t xml:space="preserve"> y aplica</w:t>
      </w:r>
      <w:r w:rsidR="00825FAD" w:rsidRPr="001160D6">
        <w:rPr>
          <w:lang w:val="es-AR"/>
        </w:rPr>
        <w:t>r</w:t>
      </w:r>
      <w:r w:rsidR="00DB1F86" w:rsidRPr="001160D6">
        <w:rPr>
          <w:lang w:val="es-AR"/>
        </w:rPr>
        <w:t xml:space="preserve"> medidas de política</w:t>
      </w:r>
      <w:r w:rsidR="00825FAD" w:rsidRPr="001160D6">
        <w:rPr>
          <w:lang w:val="es-AR"/>
        </w:rPr>
        <w:t>,</w:t>
      </w:r>
      <w:r w:rsidR="00DB1F86" w:rsidRPr="001160D6">
        <w:rPr>
          <w:lang w:val="es-AR"/>
        </w:rPr>
        <w:t xml:space="preserve"> </w:t>
      </w:r>
      <w:r w:rsidR="00FF4D54" w:rsidRPr="001160D6">
        <w:rPr>
          <w:lang w:val="es-AR"/>
        </w:rPr>
        <w:t>inclusive</w:t>
      </w:r>
      <w:r w:rsidR="00DB1F86" w:rsidRPr="001160D6">
        <w:rPr>
          <w:lang w:val="es-AR"/>
        </w:rPr>
        <w:t xml:space="preserve"> </w:t>
      </w:r>
      <w:r w:rsidRPr="001160D6">
        <w:rPr>
          <w:lang w:val="es-AR"/>
        </w:rPr>
        <w:t xml:space="preserve">ampliando </w:t>
      </w:r>
      <w:r w:rsidR="00825FAD" w:rsidRPr="001160D6">
        <w:rPr>
          <w:lang w:val="es-AR"/>
        </w:rPr>
        <w:t xml:space="preserve">las </w:t>
      </w:r>
      <w:r w:rsidR="00DB1F86" w:rsidRPr="001160D6">
        <w:rPr>
          <w:lang w:val="es-AR"/>
        </w:rPr>
        <w:t xml:space="preserve">políticas </w:t>
      </w:r>
      <w:r w:rsidRPr="001160D6">
        <w:rPr>
          <w:lang w:val="es-AR"/>
        </w:rPr>
        <w:t>y reglamentaciones relacionadas con las SAO</w:t>
      </w:r>
      <w:r w:rsidR="00DB1F86" w:rsidRPr="001160D6">
        <w:rPr>
          <w:lang w:val="es-AR"/>
        </w:rPr>
        <w:t xml:space="preserve"> </w:t>
      </w:r>
      <w:r w:rsidR="0082673C" w:rsidRPr="001160D6">
        <w:rPr>
          <w:lang w:val="es-AR"/>
        </w:rPr>
        <w:t>para incluir</w:t>
      </w:r>
      <w:r w:rsidRPr="001160D6">
        <w:rPr>
          <w:lang w:val="es-AR"/>
        </w:rPr>
        <w:t xml:space="preserve"> </w:t>
      </w:r>
      <w:r w:rsidR="00944DE1" w:rsidRPr="001160D6">
        <w:rPr>
          <w:lang w:val="es-AR"/>
        </w:rPr>
        <w:t>los HFC</w:t>
      </w:r>
      <w:r w:rsidR="00DB1F86" w:rsidRPr="001160D6">
        <w:rPr>
          <w:lang w:val="es-AR"/>
        </w:rPr>
        <w:t xml:space="preserve">. </w:t>
      </w:r>
    </w:p>
    <w:p w14:paraId="732B3271" w14:textId="3FD8A006" w:rsidR="00DB1F86" w:rsidRPr="001160D6" w:rsidRDefault="008820C8" w:rsidP="008820C8">
      <w:pPr>
        <w:pStyle w:val="Heading1"/>
        <w:numPr>
          <w:ilvl w:val="0"/>
          <w:numId w:val="0"/>
        </w:numPr>
        <w:rPr>
          <w:lang w:val="es-AR"/>
        </w:rPr>
      </w:pPr>
      <w:r w:rsidRPr="001160D6">
        <w:rPr>
          <w:lang w:val="es-AR"/>
        </w:rPr>
        <w:lastRenderedPageBreak/>
        <w:t>19.</w:t>
      </w:r>
      <w:r w:rsidRPr="001160D6">
        <w:rPr>
          <w:lang w:val="es-AR"/>
        </w:rPr>
        <w:tab/>
      </w:r>
      <w:r w:rsidR="00DB1F86" w:rsidRPr="001160D6">
        <w:rPr>
          <w:lang w:val="es-AR"/>
        </w:rPr>
        <w:t xml:space="preserve">Las encuestas anteriores </w:t>
      </w:r>
      <w:r w:rsidRPr="001160D6">
        <w:rPr>
          <w:lang w:val="es-AR"/>
        </w:rPr>
        <w:t xml:space="preserve">sobre </w:t>
      </w:r>
      <w:r w:rsidR="00DB1F86" w:rsidRPr="001160D6">
        <w:rPr>
          <w:lang w:val="es-AR"/>
        </w:rPr>
        <w:t xml:space="preserve">alternativas </w:t>
      </w:r>
      <w:r w:rsidR="00825FAD" w:rsidRPr="001160D6">
        <w:rPr>
          <w:lang w:val="es-AR"/>
        </w:rPr>
        <w:t>de</w:t>
      </w:r>
      <w:r w:rsidR="00DB1F86" w:rsidRPr="001160D6">
        <w:rPr>
          <w:lang w:val="es-AR"/>
        </w:rPr>
        <w:t xml:space="preserve"> </w:t>
      </w:r>
      <w:r w:rsidR="007120E8" w:rsidRPr="001160D6">
        <w:rPr>
          <w:lang w:val="es-AR"/>
        </w:rPr>
        <w:t>las SAO</w:t>
      </w:r>
      <w:r w:rsidR="00825FAD" w:rsidRPr="001160D6">
        <w:rPr>
          <w:lang w:val="es-AR"/>
        </w:rPr>
        <w:t>,</w:t>
      </w:r>
      <w:r w:rsidR="00DB1F86" w:rsidRPr="001160D6">
        <w:rPr>
          <w:lang w:val="es-AR"/>
        </w:rPr>
        <w:t xml:space="preserve"> </w:t>
      </w:r>
      <w:r w:rsidRPr="001160D6">
        <w:rPr>
          <w:lang w:val="es-AR"/>
        </w:rPr>
        <w:t xml:space="preserve">presentadas </w:t>
      </w:r>
      <w:r w:rsidR="00DB1F86" w:rsidRPr="001160D6">
        <w:rPr>
          <w:lang w:val="es-AR"/>
        </w:rPr>
        <w:t xml:space="preserve">por 119 países del </w:t>
      </w:r>
      <w:r w:rsidR="007120E8" w:rsidRPr="001160D6">
        <w:rPr>
          <w:lang w:val="es-AR"/>
        </w:rPr>
        <w:t>Artículo</w:t>
      </w:r>
      <w:r w:rsidR="00DB1F86" w:rsidRPr="001160D6">
        <w:rPr>
          <w:lang w:val="es-AR"/>
        </w:rPr>
        <w:t xml:space="preserve"> 5 conforme a la decisión 74/53, </w:t>
      </w:r>
      <w:r w:rsidRPr="001160D6">
        <w:rPr>
          <w:lang w:val="es-AR"/>
        </w:rPr>
        <w:t xml:space="preserve">suministraron </w:t>
      </w:r>
      <w:r w:rsidR="00DB1F86" w:rsidRPr="001160D6">
        <w:rPr>
          <w:lang w:val="es-AR"/>
        </w:rPr>
        <w:t xml:space="preserve">el primer </w:t>
      </w:r>
      <w:r w:rsidRPr="001160D6">
        <w:rPr>
          <w:lang w:val="es-AR"/>
        </w:rPr>
        <w:t>conjunto de datos</w:t>
      </w:r>
      <w:r w:rsidR="00DB1F86" w:rsidRPr="001160D6">
        <w:rPr>
          <w:lang w:val="es-AR"/>
        </w:rPr>
        <w:t xml:space="preserve"> de consumo de</w:t>
      </w:r>
      <w:r w:rsidRPr="001160D6">
        <w:rPr>
          <w:lang w:val="es-AR"/>
        </w:rPr>
        <w:t xml:space="preserve"> </w:t>
      </w:r>
      <w:r w:rsidR="00944DE1" w:rsidRPr="001160D6">
        <w:rPr>
          <w:lang w:val="es-AR"/>
        </w:rPr>
        <w:t>los HFC</w:t>
      </w:r>
      <w:r w:rsidR="00DB1F86" w:rsidRPr="001160D6">
        <w:rPr>
          <w:lang w:val="es-AR"/>
        </w:rPr>
        <w:t xml:space="preserve"> reco</w:t>
      </w:r>
      <w:r w:rsidRPr="001160D6">
        <w:rPr>
          <w:lang w:val="es-AR"/>
        </w:rPr>
        <w:t xml:space="preserve">pilados </w:t>
      </w:r>
      <w:r w:rsidR="00DB1F86" w:rsidRPr="001160D6">
        <w:rPr>
          <w:lang w:val="es-AR"/>
        </w:rPr>
        <w:t xml:space="preserve">por las </w:t>
      </w:r>
      <w:r w:rsidRPr="001160D6">
        <w:rPr>
          <w:lang w:val="es-AR"/>
        </w:rPr>
        <w:t>dependencias nacionales del ozono</w:t>
      </w:r>
      <w:r w:rsidR="00DB1F86" w:rsidRPr="001160D6">
        <w:rPr>
          <w:lang w:val="es-AR"/>
        </w:rPr>
        <w:t xml:space="preserve">. Sin embargo, para preparar sus </w:t>
      </w:r>
      <w:r w:rsidR="00D23F22" w:rsidRPr="001160D6">
        <w:rPr>
          <w:lang w:val="es-AR"/>
        </w:rPr>
        <w:t>planes de reducción</w:t>
      </w:r>
      <w:r w:rsidR="002300DB" w:rsidRPr="001160D6">
        <w:rPr>
          <w:lang w:val="es-AR"/>
        </w:rPr>
        <w:t xml:space="preserve"> de HFC</w:t>
      </w:r>
      <w:r w:rsidR="00DB1F86" w:rsidRPr="001160D6">
        <w:rPr>
          <w:lang w:val="es-AR"/>
        </w:rPr>
        <w:t xml:space="preserve">, los países del </w:t>
      </w:r>
      <w:r w:rsidR="007120E8" w:rsidRPr="001160D6">
        <w:rPr>
          <w:lang w:val="es-AR"/>
        </w:rPr>
        <w:t>Artículo</w:t>
      </w:r>
      <w:r w:rsidR="00DB1F86" w:rsidRPr="001160D6">
        <w:rPr>
          <w:lang w:val="es-AR"/>
        </w:rPr>
        <w:t xml:space="preserve"> 5 requerirán </w:t>
      </w:r>
      <w:r w:rsidRPr="001160D6">
        <w:rPr>
          <w:lang w:val="es-AR"/>
        </w:rPr>
        <w:t xml:space="preserve">información </w:t>
      </w:r>
      <w:r w:rsidR="00DB1F86" w:rsidRPr="001160D6">
        <w:rPr>
          <w:lang w:val="es-AR"/>
        </w:rPr>
        <w:t>más detallad</w:t>
      </w:r>
      <w:r w:rsidRPr="001160D6">
        <w:rPr>
          <w:lang w:val="es-AR"/>
        </w:rPr>
        <w:t>a</w:t>
      </w:r>
      <w:r w:rsidR="00DB1F86" w:rsidRPr="001160D6">
        <w:rPr>
          <w:lang w:val="es-AR"/>
        </w:rPr>
        <w:t>, actualizad</w:t>
      </w:r>
      <w:r w:rsidRPr="001160D6">
        <w:rPr>
          <w:lang w:val="es-AR"/>
        </w:rPr>
        <w:t>a</w:t>
      </w:r>
      <w:r w:rsidR="00DB1F86" w:rsidRPr="001160D6">
        <w:rPr>
          <w:lang w:val="es-AR"/>
        </w:rPr>
        <w:t xml:space="preserve"> y completa sobre el consumo de HFC</w:t>
      </w:r>
      <w:r w:rsidRPr="001160D6">
        <w:rPr>
          <w:lang w:val="es-AR"/>
        </w:rPr>
        <w:t>,</w:t>
      </w:r>
      <w:r w:rsidR="00DB1F86" w:rsidRPr="001160D6">
        <w:rPr>
          <w:lang w:val="es-AR"/>
        </w:rPr>
        <w:t xml:space="preserve"> por sustancia/mezcla y por sector/subsector, la identificación de los usuarios </w:t>
      </w:r>
      <w:r w:rsidR="00825FAD" w:rsidRPr="001160D6">
        <w:rPr>
          <w:lang w:val="es-AR"/>
        </w:rPr>
        <w:t xml:space="preserve">de </w:t>
      </w:r>
      <w:r w:rsidRPr="001160D6">
        <w:rPr>
          <w:lang w:val="es-AR"/>
        </w:rPr>
        <w:t>equipos que utilizan HFC</w:t>
      </w:r>
      <w:r w:rsidR="00DB1F86" w:rsidRPr="001160D6">
        <w:rPr>
          <w:lang w:val="es-AR"/>
        </w:rPr>
        <w:t xml:space="preserve">, y el análisis de las tendencias del mercado y el impacto de </w:t>
      </w:r>
      <w:r w:rsidR="007120E8" w:rsidRPr="001160D6">
        <w:rPr>
          <w:lang w:val="es-AR"/>
        </w:rPr>
        <w:t>l</w:t>
      </w:r>
      <w:r w:rsidRPr="001160D6">
        <w:rPr>
          <w:lang w:val="es-AR"/>
        </w:rPr>
        <w:t>a</w:t>
      </w:r>
      <w:r w:rsidR="007120E8" w:rsidRPr="001160D6">
        <w:rPr>
          <w:lang w:val="es-AR"/>
        </w:rPr>
        <w:t xml:space="preserve">s </w:t>
      </w:r>
      <w:r w:rsidRPr="001160D6">
        <w:rPr>
          <w:lang w:val="es-AR"/>
        </w:rPr>
        <w:t>medidas de eliminación de los HCFC</w:t>
      </w:r>
      <w:r w:rsidR="00DB1F86" w:rsidRPr="001160D6">
        <w:rPr>
          <w:lang w:val="es-AR"/>
        </w:rPr>
        <w:t xml:space="preserve"> </w:t>
      </w:r>
      <w:r w:rsidRPr="001160D6">
        <w:rPr>
          <w:lang w:val="es-AR"/>
        </w:rPr>
        <w:t>sobre</w:t>
      </w:r>
      <w:r w:rsidR="00825FAD" w:rsidRPr="001160D6">
        <w:rPr>
          <w:lang w:val="es-AR"/>
        </w:rPr>
        <w:t xml:space="preserve"> las</w:t>
      </w:r>
      <w:r w:rsidRPr="001160D6">
        <w:rPr>
          <w:lang w:val="es-AR"/>
        </w:rPr>
        <w:t xml:space="preserve"> </w:t>
      </w:r>
      <w:r w:rsidR="00DB1F86" w:rsidRPr="001160D6">
        <w:rPr>
          <w:lang w:val="es-AR"/>
        </w:rPr>
        <w:t xml:space="preserve">tendencias del consumo de HFC. </w:t>
      </w:r>
      <w:r w:rsidR="00825FAD" w:rsidRPr="001160D6">
        <w:rPr>
          <w:lang w:val="es-AR"/>
        </w:rPr>
        <w:t>Asimismo, l</w:t>
      </w:r>
      <w:r w:rsidR="00DB1F86" w:rsidRPr="001160D6">
        <w:rPr>
          <w:lang w:val="es-AR"/>
        </w:rPr>
        <w:t xml:space="preserve">as encuestas permitirán </w:t>
      </w:r>
      <w:r w:rsidR="00CE031A" w:rsidRPr="001160D6">
        <w:rPr>
          <w:lang w:val="es-AR"/>
        </w:rPr>
        <w:t xml:space="preserve">contar con </w:t>
      </w:r>
      <w:r w:rsidR="00DB1F86" w:rsidRPr="001160D6">
        <w:rPr>
          <w:lang w:val="es-AR"/>
        </w:rPr>
        <w:t xml:space="preserve">una mejor </w:t>
      </w:r>
      <w:r w:rsidR="0082673C" w:rsidRPr="001160D6">
        <w:rPr>
          <w:lang w:val="es-AR"/>
        </w:rPr>
        <w:t xml:space="preserve">estimación </w:t>
      </w:r>
      <w:r w:rsidR="00DB1F86" w:rsidRPr="001160D6">
        <w:rPr>
          <w:lang w:val="es-AR"/>
        </w:rPr>
        <w:t xml:space="preserve">de la magnitud de la </w:t>
      </w:r>
      <w:r w:rsidR="002300DB" w:rsidRPr="001160D6">
        <w:rPr>
          <w:lang w:val="es-AR"/>
        </w:rPr>
        <w:t>reducción de HFC</w:t>
      </w:r>
      <w:r w:rsidR="00DB1F86" w:rsidRPr="001160D6">
        <w:rPr>
          <w:lang w:val="es-AR"/>
        </w:rPr>
        <w:t xml:space="preserve"> </w:t>
      </w:r>
      <w:r w:rsidR="00CE031A" w:rsidRPr="001160D6">
        <w:rPr>
          <w:lang w:val="es-AR"/>
        </w:rPr>
        <w:t>por abordar</w:t>
      </w:r>
      <w:r w:rsidR="00DB1F86" w:rsidRPr="001160D6">
        <w:rPr>
          <w:lang w:val="es-AR"/>
        </w:rPr>
        <w:t xml:space="preserve">. Además, si el análisis detallado emprendido por las encuestas sobre el consumo cubre uno o más de los años </w:t>
      </w:r>
      <w:r w:rsidR="00825FAD" w:rsidRPr="001160D6">
        <w:rPr>
          <w:lang w:val="es-AR"/>
        </w:rPr>
        <w:t xml:space="preserve">referenciales </w:t>
      </w:r>
      <w:r w:rsidR="00CE031A" w:rsidRPr="001160D6">
        <w:rPr>
          <w:lang w:val="es-AR"/>
        </w:rPr>
        <w:t xml:space="preserve">usados </w:t>
      </w:r>
      <w:r w:rsidR="00DB1F86" w:rsidRPr="001160D6">
        <w:rPr>
          <w:lang w:val="es-AR"/>
        </w:rPr>
        <w:t xml:space="preserve">para estimar la </w:t>
      </w:r>
      <w:r w:rsidR="00FF4D54" w:rsidRPr="001160D6">
        <w:rPr>
          <w:lang w:val="es-AR"/>
        </w:rPr>
        <w:t>base</w:t>
      </w:r>
      <w:r w:rsidR="00825FAD" w:rsidRPr="001160D6">
        <w:rPr>
          <w:lang w:val="es-AR"/>
        </w:rPr>
        <w:t xml:space="preserve"> de referencia</w:t>
      </w:r>
      <w:r w:rsidR="00DB1F86" w:rsidRPr="001160D6">
        <w:rPr>
          <w:lang w:val="es-AR"/>
        </w:rPr>
        <w:t>, las encuestas contribuirá</w:t>
      </w:r>
      <w:r w:rsidR="00CE031A" w:rsidRPr="001160D6">
        <w:rPr>
          <w:lang w:val="es-AR"/>
        </w:rPr>
        <w:t>n</w:t>
      </w:r>
      <w:r w:rsidR="00DB1F86" w:rsidRPr="001160D6">
        <w:rPr>
          <w:lang w:val="es-AR"/>
        </w:rPr>
        <w:t xml:space="preserve"> a un cálculo más </w:t>
      </w:r>
      <w:r w:rsidR="00825FAD" w:rsidRPr="001160D6">
        <w:rPr>
          <w:lang w:val="es-AR"/>
        </w:rPr>
        <w:t xml:space="preserve">preciso </w:t>
      </w:r>
      <w:r w:rsidR="00DB1F86" w:rsidRPr="001160D6">
        <w:rPr>
          <w:lang w:val="es-AR"/>
        </w:rPr>
        <w:t xml:space="preserve">de </w:t>
      </w:r>
      <w:r w:rsidR="00825FAD" w:rsidRPr="001160D6">
        <w:rPr>
          <w:lang w:val="es-AR"/>
        </w:rPr>
        <w:t xml:space="preserve">dicha </w:t>
      </w:r>
      <w:r w:rsidR="001D29D0" w:rsidRPr="001160D6">
        <w:rPr>
          <w:lang w:val="es-AR"/>
        </w:rPr>
        <w:t>base del consumo</w:t>
      </w:r>
      <w:r w:rsidR="00DB1F86" w:rsidRPr="001160D6">
        <w:rPr>
          <w:lang w:val="es-AR"/>
        </w:rPr>
        <w:t xml:space="preserve"> </w:t>
      </w:r>
      <w:r w:rsidR="00CE031A" w:rsidRPr="001160D6">
        <w:rPr>
          <w:lang w:val="es-AR"/>
        </w:rPr>
        <w:t xml:space="preserve">de </w:t>
      </w:r>
      <w:r w:rsidR="00944DE1" w:rsidRPr="001160D6">
        <w:rPr>
          <w:lang w:val="es-AR"/>
        </w:rPr>
        <w:t>los HFC</w:t>
      </w:r>
      <w:r w:rsidR="00DB1F86" w:rsidRPr="001160D6">
        <w:rPr>
          <w:lang w:val="es-AR"/>
        </w:rPr>
        <w:t xml:space="preserve"> de los países.</w:t>
      </w:r>
    </w:p>
    <w:p w14:paraId="5B3B06D2" w14:textId="6DFB4735" w:rsidR="00DB1F86" w:rsidRPr="001160D6" w:rsidRDefault="00CE031A" w:rsidP="00CE031A">
      <w:pPr>
        <w:pStyle w:val="Heading1"/>
        <w:widowControl w:val="0"/>
        <w:numPr>
          <w:ilvl w:val="0"/>
          <w:numId w:val="0"/>
        </w:numPr>
        <w:rPr>
          <w:lang w:val="es-AR"/>
        </w:rPr>
      </w:pPr>
      <w:r w:rsidRPr="001160D6">
        <w:rPr>
          <w:lang w:val="es-AR"/>
        </w:rPr>
        <w:t>20.</w:t>
      </w:r>
      <w:r w:rsidRPr="001160D6">
        <w:rPr>
          <w:lang w:val="es-AR"/>
        </w:rPr>
        <w:tab/>
      </w:r>
      <w:r w:rsidR="00DB1F86" w:rsidRPr="001160D6">
        <w:rPr>
          <w:lang w:val="es-AR"/>
        </w:rPr>
        <w:t xml:space="preserve">En relación con </w:t>
      </w:r>
      <w:r w:rsidRPr="001160D6">
        <w:rPr>
          <w:lang w:val="es-AR"/>
        </w:rPr>
        <w:t xml:space="preserve">las </w:t>
      </w:r>
      <w:r w:rsidR="00DB1F86" w:rsidRPr="001160D6">
        <w:rPr>
          <w:lang w:val="es-AR"/>
        </w:rPr>
        <w:t xml:space="preserve">políticas y </w:t>
      </w:r>
      <w:r w:rsidR="00FF4D54" w:rsidRPr="001160D6">
        <w:rPr>
          <w:lang w:val="es-AR"/>
        </w:rPr>
        <w:t>reglamentaciones</w:t>
      </w:r>
      <w:r w:rsidR="00DB1F86" w:rsidRPr="001160D6">
        <w:rPr>
          <w:lang w:val="es-AR"/>
        </w:rPr>
        <w:t xml:space="preserve">, los países del </w:t>
      </w:r>
      <w:r w:rsidR="007120E8" w:rsidRPr="001160D6">
        <w:rPr>
          <w:lang w:val="es-AR"/>
        </w:rPr>
        <w:t>Artículo</w:t>
      </w:r>
      <w:r w:rsidR="00DB1F86" w:rsidRPr="001160D6">
        <w:rPr>
          <w:lang w:val="es-AR"/>
        </w:rPr>
        <w:t xml:space="preserve"> 5 </w:t>
      </w:r>
      <w:r w:rsidRPr="001160D6">
        <w:rPr>
          <w:lang w:val="es-AR"/>
        </w:rPr>
        <w:t xml:space="preserve">deberán poner en práctica </w:t>
      </w:r>
      <w:r w:rsidR="009E0F9F" w:rsidRPr="001160D6">
        <w:rPr>
          <w:lang w:val="es-AR"/>
        </w:rPr>
        <w:t xml:space="preserve">con urgencia </w:t>
      </w:r>
      <w:r w:rsidR="00DB1F86" w:rsidRPr="001160D6">
        <w:rPr>
          <w:lang w:val="es-AR"/>
        </w:rPr>
        <w:t xml:space="preserve">un sistema </w:t>
      </w:r>
      <w:r w:rsidRPr="001160D6">
        <w:rPr>
          <w:lang w:val="es-AR"/>
        </w:rPr>
        <w:t xml:space="preserve">de otorgamiento de licencias de </w:t>
      </w:r>
      <w:r w:rsidR="00DB1F86" w:rsidRPr="001160D6">
        <w:rPr>
          <w:lang w:val="es-AR"/>
        </w:rPr>
        <w:t>importación y exportación de</w:t>
      </w:r>
      <w:r w:rsidR="009E0F9F" w:rsidRPr="001160D6">
        <w:rPr>
          <w:lang w:val="es-AR"/>
        </w:rPr>
        <w:t xml:space="preserve"> los</w:t>
      </w:r>
      <w:r w:rsidR="00DB1F86" w:rsidRPr="001160D6">
        <w:rPr>
          <w:lang w:val="es-AR"/>
        </w:rPr>
        <w:t xml:space="preserve"> </w:t>
      </w:r>
      <w:r w:rsidR="00FF4D54" w:rsidRPr="001160D6">
        <w:rPr>
          <w:lang w:val="es-AR"/>
        </w:rPr>
        <w:t>HFC</w:t>
      </w:r>
      <w:r w:rsidR="00DB1F86" w:rsidRPr="001160D6">
        <w:rPr>
          <w:lang w:val="es-AR"/>
        </w:rPr>
        <w:t xml:space="preserve"> nuevo</w:t>
      </w:r>
      <w:r w:rsidRPr="001160D6">
        <w:rPr>
          <w:lang w:val="es-AR"/>
        </w:rPr>
        <w:t>s</w:t>
      </w:r>
      <w:r w:rsidR="00DB1F86" w:rsidRPr="001160D6">
        <w:rPr>
          <w:lang w:val="es-AR"/>
        </w:rPr>
        <w:t>, usado</w:t>
      </w:r>
      <w:r w:rsidRPr="001160D6">
        <w:rPr>
          <w:lang w:val="es-AR"/>
        </w:rPr>
        <w:t>s</w:t>
      </w:r>
      <w:r w:rsidR="00DB1F86" w:rsidRPr="001160D6">
        <w:rPr>
          <w:lang w:val="es-AR"/>
        </w:rPr>
        <w:t>, reciclado</w:t>
      </w:r>
      <w:r w:rsidRPr="001160D6">
        <w:rPr>
          <w:lang w:val="es-AR"/>
        </w:rPr>
        <w:t>s</w:t>
      </w:r>
      <w:r w:rsidR="00DB1F86" w:rsidRPr="001160D6">
        <w:rPr>
          <w:lang w:val="es-AR"/>
        </w:rPr>
        <w:t xml:space="preserve"> y regenerado</w:t>
      </w:r>
      <w:r w:rsidRPr="001160D6">
        <w:rPr>
          <w:lang w:val="es-AR"/>
        </w:rPr>
        <w:t>s,</w:t>
      </w:r>
      <w:r w:rsidR="00DB1F86" w:rsidRPr="001160D6">
        <w:rPr>
          <w:lang w:val="es-AR"/>
        </w:rPr>
        <w:t xml:space="preserve"> de acuerdo con el </w:t>
      </w:r>
      <w:r w:rsidR="007120E8" w:rsidRPr="001160D6">
        <w:rPr>
          <w:lang w:val="es-AR"/>
        </w:rPr>
        <w:t>Artículo</w:t>
      </w:r>
      <w:r w:rsidR="00DB1F86" w:rsidRPr="001160D6">
        <w:rPr>
          <w:lang w:val="es-AR"/>
        </w:rPr>
        <w:t xml:space="preserve"> 4B del </w:t>
      </w:r>
      <w:r w:rsidR="007120E8" w:rsidRPr="001160D6">
        <w:rPr>
          <w:lang w:val="es-AR"/>
        </w:rPr>
        <w:t>Protocolo</w:t>
      </w:r>
      <w:r w:rsidR="00DB1F86" w:rsidRPr="001160D6">
        <w:rPr>
          <w:lang w:val="es-AR"/>
        </w:rPr>
        <w:t xml:space="preserve"> de Montreal.</w:t>
      </w:r>
      <w:r w:rsidR="00DB1F86" w:rsidRPr="001160D6">
        <w:rPr>
          <w:vertAlign w:val="superscript"/>
          <w:lang w:val="es-AR"/>
        </w:rPr>
        <w:footnoteReference w:id="24"/>
      </w:r>
      <w:r w:rsidR="00DB1F86" w:rsidRPr="001160D6">
        <w:rPr>
          <w:lang w:val="es-AR"/>
        </w:rPr>
        <w:t xml:space="preserve"> Además de satisfacer una obligación de </w:t>
      </w:r>
      <w:r w:rsidRPr="001160D6">
        <w:rPr>
          <w:lang w:val="es-AR"/>
        </w:rPr>
        <w:t>cumplimiento</w:t>
      </w:r>
      <w:r w:rsidR="00DB1F86" w:rsidRPr="001160D6">
        <w:rPr>
          <w:lang w:val="es-AR"/>
        </w:rPr>
        <w:t xml:space="preserve">, el establecimiento temprano de estos </w:t>
      </w:r>
      <w:r w:rsidR="008431BD" w:rsidRPr="001160D6">
        <w:rPr>
          <w:lang w:val="es-AR"/>
        </w:rPr>
        <w:t>sistemas</w:t>
      </w:r>
      <w:r w:rsidR="00DB1F86" w:rsidRPr="001160D6">
        <w:rPr>
          <w:lang w:val="es-AR"/>
        </w:rPr>
        <w:t xml:space="preserve"> de otorgamiento de licencias también ayudará a países del </w:t>
      </w:r>
      <w:r w:rsidR="007120E8" w:rsidRPr="001160D6">
        <w:rPr>
          <w:lang w:val="es-AR"/>
        </w:rPr>
        <w:t>Artículo</w:t>
      </w:r>
      <w:r w:rsidR="00DB1F86" w:rsidRPr="001160D6">
        <w:rPr>
          <w:lang w:val="es-AR"/>
        </w:rPr>
        <w:t xml:space="preserve"> 5 </w:t>
      </w:r>
      <w:r w:rsidR="008431BD" w:rsidRPr="001160D6">
        <w:rPr>
          <w:lang w:val="es-AR"/>
        </w:rPr>
        <w:t xml:space="preserve">a fortalecer </w:t>
      </w:r>
      <w:r w:rsidR="00DB1F86" w:rsidRPr="001160D6">
        <w:rPr>
          <w:lang w:val="es-AR"/>
        </w:rPr>
        <w:t xml:space="preserve">sus sistemas de recopilación de datos de HFC y </w:t>
      </w:r>
      <w:r w:rsidR="008431BD" w:rsidRPr="001160D6">
        <w:rPr>
          <w:lang w:val="es-AR"/>
        </w:rPr>
        <w:t xml:space="preserve">permitirá obtener </w:t>
      </w:r>
      <w:r w:rsidR="00DB1F86" w:rsidRPr="001160D6">
        <w:rPr>
          <w:lang w:val="es-AR"/>
        </w:rPr>
        <w:t xml:space="preserve">un cálculo más </w:t>
      </w:r>
      <w:r w:rsidR="009E0F9F" w:rsidRPr="001160D6">
        <w:rPr>
          <w:lang w:val="es-AR"/>
        </w:rPr>
        <w:t xml:space="preserve">preciso </w:t>
      </w:r>
      <w:r w:rsidR="00DB1F86" w:rsidRPr="001160D6">
        <w:rPr>
          <w:lang w:val="es-AR"/>
        </w:rPr>
        <w:t xml:space="preserve">de sus </w:t>
      </w:r>
      <w:r w:rsidR="008431BD" w:rsidRPr="001160D6">
        <w:rPr>
          <w:lang w:val="es-AR"/>
        </w:rPr>
        <w:t>bases</w:t>
      </w:r>
      <w:r w:rsidR="009E0F9F" w:rsidRPr="001160D6">
        <w:rPr>
          <w:lang w:val="es-AR"/>
        </w:rPr>
        <w:t xml:space="preserve"> de referencia</w:t>
      </w:r>
      <w:r w:rsidR="00DB1F86" w:rsidRPr="001160D6">
        <w:rPr>
          <w:lang w:val="es-AR"/>
        </w:rPr>
        <w:t xml:space="preserve"> de</w:t>
      </w:r>
      <w:r w:rsidR="009E0F9F" w:rsidRPr="001160D6">
        <w:rPr>
          <w:lang w:val="es-AR"/>
        </w:rPr>
        <w:t>l</w:t>
      </w:r>
      <w:r w:rsidR="00DB1F86" w:rsidRPr="001160D6">
        <w:rPr>
          <w:lang w:val="es-AR"/>
        </w:rPr>
        <w:t xml:space="preserve"> consumo de HFC.</w:t>
      </w:r>
      <w:r w:rsidR="00DB1F86" w:rsidRPr="001160D6">
        <w:rPr>
          <w:rStyle w:val="FootnoteReference"/>
          <w:lang w:val="es-AR"/>
        </w:rPr>
        <w:footnoteReference w:id="25"/>
      </w:r>
      <w:r w:rsidR="00DB1F86" w:rsidRPr="001160D6">
        <w:rPr>
          <w:lang w:val="es-AR"/>
        </w:rPr>
        <w:t xml:space="preserve"> </w:t>
      </w:r>
    </w:p>
    <w:p w14:paraId="0281842E" w14:textId="119BFF26" w:rsidR="00DB1F86" w:rsidRPr="001160D6" w:rsidRDefault="008431BD" w:rsidP="008431BD">
      <w:pPr>
        <w:pStyle w:val="Heading1"/>
        <w:widowControl w:val="0"/>
        <w:numPr>
          <w:ilvl w:val="0"/>
          <w:numId w:val="0"/>
        </w:numPr>
        <w:rPr>
          <w:lang w:val="es-AR"/>
        </w:rPr>
      </w:pPr>
      <w:r w:rsidRPr="001160D6">
        <w:rPr>
          <w:lang w:val="es-AR"/>
        </w:rPr>
        <w:t>21.</w:t>
      </w:r>
      <w:r w:rsidRPr="001160D6">
        <w:rPr>
          <w:lang w:val="es-AR"/>
        </w:rPr>
        <w:tab/>
      </w:r>
      <w:r w:rsidR="00557CB5" w:rsidRPr="001160D6">
        <w:rPr>
          <w:lang w:val="es-AR"/>
        </w:rPr>
        <w:t>Asimismo, l</w:t>
      </w:r>
      <w:r w:rsidR="00DB1F86" w:rsidRPr="001160D6">
        <w:rPr>
          <w:lang w:val="es-AR"/>
        </w:rPr>
        <w:t xml:space="preserve">os países del </w:t>
      </w:r>
      <w:r w:rsidR="007120E8" w:rsidRPr="001160D6">
        <w:rPr>
          <w:lang w:val="es-AR"/>
        </w:rPr>
        <w:t>Artículo</w:t>
      </w:r>
      <w:r w:rsidR="00DB1F86" w:rsidRPr="001160D6">
        <w:rPr>
          <w:lang w:val="es-AR"/>
        </w:rPr>
        <w:t xml:space="preserve"> 5 podrían considerar establecer otras medidas reguladoras para ayudar a prevenir el </w:t>
      </w:r>
      <w:r w:rsidR="009E0F9F" w:rsidRPr="001160D6">
        <w:rPr>
          <w:lang w:val="es-AR"/>
        </w:rPr>
        <w:t xml:space="preserve">crecimiento </w:t>
      </w:r>
      <w:r w:rsidR="00DB1F86" w:rsidRPr="001160D6">
        <w:rPr>
          <w:lang w:val="es-AR"/>
        </w:rPr>
        <w:t xml:space="preserve">incontrolado del consumo de HFC, </w:t>
      </w:r>
      <w:r w:rsidR="009E0F9F" w:rsidRPr="001160D6">
        <w:rPr>
          <w:lang w:val="es-AR"/>
        </w:rPr>
        <w:t xml:space="preserve">con </w:t>
      </w:r>
      <w:r w:rsidR="00557CB5" w:rsidRPr="001160D6">
        <w:rPr>
          <w:lang w:val="es-AR"/>
        </w:rPr>
        <w:t xml:space="preserve">sistemas de cuotas de </w:t>
      </w:r>
      <w:r w:rsidR="00DB1F86" w:rsidRPr="001160D6">
        <w:rPr>
          <w:lang w:val="es-AR"/>
        </w:rPr>
        <w:t>producción</w:t>
      </w:r>
      <w:r w:rsidR="00557CB5" w:rsidRPr="001160D6">
        <w:rPr>
          <w:lang w:val="es-AR"/>
        </w:rPr>
        <w:t xml:space="preserve"> </w:t>
      </w:r>
      <w:r w:rsidR="009E0F9F" w:rsidRPr="001160D6">
        <w:rPr>
          <w:lang w:val="es-AR"/>
        </w:rPr>
        <w:t xml:space="preserve"> </w:t>
      </w:r>
      <w:r w:rsidR="00DB1F86" w:rsidRPr="001160D6">
        <w:rPr>
          <w:lang w:val="es-AR"/>
        </w:rPr>
        <w:t>/importación/</w:t>
      </w:r>
      <w:r w:rsidR="00557CB5" w:rsidRPr="001160D6">
        <w:rPr>
          <w:lang w:val="es-AR"/>
        </w:rPr>
        <w:t>expo</w:t>
      </w:r>
      <w:r w:rsidR="00DB1F86" w:rsidRPr="001160D6">
        <w:rPr>
          <w:lang w:val="es-AR"/>
        </w:rPr>
        <w:t xml:space="preserve">rtación </w:t>
      </w:r>
      <w:r w:rsidR="00557CB5" w:rsidRPr="001160D6">
        <w:rPr>
          <w:lang w:val="es-AR"/>
        </w:rPr>
        <w:t>de HFC</w:t>
      </w:r>
      <w:r w:rsidR="00DB1F86" w:rsidRPr="001160D6">
        <w:rPr>
          <w:lang w:val="es-AR"/>
        </w:rPr>
        <w:t xml:space="preserve">, presentación </w:t>
      </w:r>
      <w:r w:rsidR="009E0F9F" w:rsidRPr="001160D6">
        <w:rPr>
          <w:lang w:val="es-AR"/>
        </w:rPr>
        <w:t xml:space="preserve">obligatoria </w:t>
      </w:r>
      <w:r w:rsidR="00DB1F86" w:rsidRPr="001160D6">
        <w:rPr>
          <w:lang w:val="es-AR"/>
        </w:rPr>
        <w:t xml:space="preserve">de informes de importadores y exportadores de HFC, medidas </w:t>
      </w:r>
      <w:r w:rsidR="00527BBF" w:rsidRPr="001160D6">
        <w:rPr>
          <w:lang w:val="es-AR"/>
        </w:rPr>
        <w:t xml:space="preserve">de control de </w:t>
      </w:r>
      <w:r w:rsidR="009E0F9F" w:rsidRPr="001160D6">
        <w:rPr>
          <w:lang w:val="es-AR"/>
        </w:rPr>
        <w:t>fugas d</w:t>
      </w:r>
      <w:r w:rsidR="00DB1F86" w:rsidRPr="001160D6">
        <w:rPr>
          <w:lang w:val="es-AR"/>
        </w:rPr>
        <w:t xml:space="preserve">e HFC durante </w:t>
      </w:r>
      <w:r w:rsidR="009E0F9F" w:rsidRPr="001160D6">
        <w:rPr>
          <w:lang w:val="es-AR"/>
        </w:rPr>
        <w:t xml:space="preserve">servicio y </w:t>
      </w:r>
      <w:r w:rsidR="00DB1F86" w:rsidRPr="001160D6">
        <w:rPr>
          <w:lang w:val="es-AR"/>
        </w:rPr>
        <w:t xml:space="preserve">mantenimiento, o medidas para registrar las importaciones de </w:t>
      </w:r>
      <w:r w:rsidR="007120E8" w:rsidRPr="001160D6">
        <w:rPr>
          <w:lang w:val="es-AR"/>
        </w:rPr>
        <w:t>equipos</w:t>
      </w:r>
      <w:r w:rsidR="00DB1F86" w:rsidRPr="001160D6">
        <w:rPr>
          <w:lang w:val="es-AR"/>
        </w:rPr>
        <w:t xml:space="preserve"> que </w:t>
      </w:r>
      <w:r w:rsidR="00527BBF" w:rsidRPr="001160D6">
        <w:rPr>
          <w:lang w:val="es-AR"/>
        </w:rPr>
        <w:t xml:space="preserve">contienen </w:t>
      </w:r>
      <w:r w:rsidR="00FF4D54" w:rsidRPr="001160D6">
        <w:rPr>
          <w:lang w:val="es-AR"/>
        </w:rPr>
        <w:t>HFC</w:t>
      </w:r>
      <w:r w:rsidR="00DB1F86" w:rsidRPr="001160D6">
        <w:rPr>
          <w:lang w:val="es-AR"/>
        </w:rPr>
        <w:t xml:space="preserve">, </w:t>
      </w:r>
      <w:r w:rsidR="00527BBF" w:rsidRPr="001160D6">
        <w:rPr>
          <w:lang w:val="es-AR"/>
        </w:rPr>
        <w:t xml:space="preserve">lo cual </w:t>
      </w:r>
      <w:r w:rsidR="00DB1F86" w:rsidRPr="001160D6">
        <w:rPr>
          <w:lang w:val="es-AR"/>
        </w:rPr>
        <w:t xml:space="preserve">podría ayudarles a determinar las futuras </w:t>
      </w:r>
      <w:r w:rsidR="00527BBF" w:rsidRPr="001160D6">
        <w:rPr>
          <w:lang w:val="es-AR"/>
        </w:rPr>
        <w:t xml:space="preserve">necesidades </w:t>
      </w:r>
      <w:r w:rsidR="00DB1F86" w:rsidRPr="001160D6">
        <w:rPr>
          <w:lang w:val="es-AR"/>
        </w:rPr>
        <w:t>de</w:t>
      </w:r>
      <w:r w:rsidR="009E0F9F" w:rsidRPr="001160D6">
        <w:rPr>
          <w:lang w:val="es-AR"/>
        </w:rPr>
        <w:t xml:space="preserve"> servicio y</w:t>
      </w:r>
      <w:r w:rsidR="00DB1F86" w:rsidRPr="001160D6">
        <w:rPr>
          <w:lang w:val="es-AR"/>
        </w:rPr>
        <w:t xml:space="preserve"> manten</w:t>
      </w:r>
      <w:r w:rsidR="00527BBF" w:rsidRPr="001160D6">
        <w:rPr>
          <w:lang w:val="es-AR"/>
        </w:rPr>
        <w:t>imiento</w:t>
      </w:r>
      <w:r w:rsidR="00DB1F86" w:rsidRPr="001160D6">
        <w:rPr>
          <w:lang w:val="es-AR"/>
        </w:rPr>
        <w:t xml:space="preserve">. </w:t>
      </w:r>
    </w:p>
    <w:p w14:paraId="3DB87CAD" w14:textId="24DC7CBF" w:rsidR="00DB1F86" w:rsidRPr="001160D6" w:rsidRDefault="00F64346" w:rsidP="00F64346">
      <w:pPr>
        <w:pStyle w:val="Heading1"/>
        <w:numPr>
          <w:ilvl w:val="0"/>
          <w:numId w:val="0"/>
        </w:numPr>
        <w:rPr>
          <w:lang w:val="es-AR"/>
        </w:rPr>
      </w:pPr>
      <w:r w:rsidRPr="001160D6">
        <w:rPr>
          <w:lang w:val="es-AR"/>
        </w:rPr>
        <w:t>22.</w:t>
      </w:r>
      <w:r w:rsidRPr="001160D6">
        <w:rPr>
          <w:lang w:val="es-AR"/>
        </w:rPr>
        <w:tab/>
      </w:r>
      <w:r w:rsidR="00DB1F86" w:rsidRPr="001160D6">
        <w:rPr>
          <w:lang w:val="es-AR"/>
        </w:rPr>
        <w:t xml:space="preserve">Las actividades reguladoras y las encuestas </w:t>
      </w:r>
      <w:r w:rsidR="009E0F9F" w:rsidRPr="001160D6">
        <w:rPr>
          <w:lang w:val="es-AR"/>
        </w:rPr>
        <w:t xml:space="preserve">exhaustivas </w:t>
      </w:r>
      <w:r w:rsidR="00DB1F86" w:rsidRPr="001160D6">
        <w:rPr>
          <w:lang w:val="es-AR"/>
        </w:rPr>
        <w:t xml:space="preserve">sobre </w:t>
      </w:r>
      <w:r w:rsidR="009E0F9F" w:rsidRPr="001160D6">
        <w:rPr>
          <w:lang w:val="es-AR"/>
        </w:rPr>
        <w:t xml:space="preserve">el </w:t>
      </w:r>
      <w:r w:rsidR="00DB1F86" w:rsidRPr="001160D6">
        <w:rPr>
          <w:lang w:val="es-AR"/>
        </w:rPr>
        <w:t xml:space="preserve">consumo </w:t>
      </w:r>
      <w:r w:rsidR="009E0F9F" w:rsidRPr="001160D6">
        <w:rPr>
          <w:lang w:val="es-AR"/>
        </w:rPr>
        <w:t xml:space="preserve">fueron </w:t>
      </w:r>
      <w:r w:rsidR="00DB1F86" w:rsidRPr="001160D6">
        <w:rPr>
          <w:lang w:val="es-AR"/>
        </w:rPr>
        <w:t xml:space="preserve">componentes </w:t>
      </w:r>
      <w:r w:rsidR="007120E8" w:rsidRPr="001160D6">
        <w:rPr>
          <w:lang w:val="es-AR"/>
        </w:rPr>
        <w:t>clave</w:t>
      </w:r>
      <w:r w:rsidR="00DB1F86" w:rsidRPr="001160D6">
        <w:rPr>
          <w:lang w:val="es-AR"/>
        </w:rPr>
        <w:t xml:space="preserve"> de la financiación preparatoria para los planes de gestión de eliminación de </w:t>
      </w:r>
      <w:r w:rsidR="007120E8" w:rsidRPr="001160D6">
        <w:rPr>
          <w:lang w:val="es-AR"/>
        </w:rPr>
        <w:t>los HCFC</w:t>
      </w:r>
      <w:r w:rsidR="00DB1F86" w:rsidRPr="001160D6">
        <w:rPr>
          <w:lang w:val="es-AR"/>
        </w:rPr>
        <w:t xml:space="preserve"> y ahora también se incluyen como parte de la financiación para la preparación de los </w:t>
      </w:r>
      <w:r w:rsidR="00D23F22" w:rsidRPr="001160D6">
        <w:rPr>
          <w:lang w:val="es-AR"/>
        </w:rPr>
        <w:t>planes de reducción</w:t>
      </w:r>
      <w:r w:rsidR="002300DB" w:rsidRPr="001160D6">
        <w:rPr>
          <w:lang w:val="es-AR"/>
        </w:rPr>
        <w:t xml:space="preserve"> de HFC</w:t>
      </w:r>
      <w:r w:rsidR="00DB1F86" w:rsidRPr="001160D6">
        <w:rPr>
          <w:lang w:val="es-AR"/>
        </w:rPr>
        <w:t>, como se explica en el documento UNEP/OzL.Pro</w:t>
      </w:r>
      <w:r w:rsidR="007120E8" w:rsidRPr="001160D6">
        <w:rPr>
          <w:lang w:val="es-AR"/>
        </w:rPr>
        <w:t>/ExCom/</w:t>
      </w:r>
      <w:r w:rsidR="00DB1F86" w:rsidRPr="001160D6">
        <w:rPr>
          <w:lang w:val="es-AR"/>
        </w:rPr>
        <w:t>86/88.</w:t>
      </w:r>
      <w:r w:rsidR="00CA2748" w:rsidRPr="001160D6">
        <w:rPr>
          <w:lang w:val="es-AR"/>
        </w:rPr>
        <w:t xml:space="preserve"> Por lo tanto, l</w:t>
      </w:r>
      <w:r w:rsidR="00DB1F86" w:rsidRPr="001160D6">
        <w:rPr>
          <w:lang w:val="es-AR"/>
        </w:rPr>
        <w:t xml:space="preserve">a consideración y aprobación tempranas de la financiación preparatoria para los </w:t>
      </w:r>
      <w:r w:rsidR="00D23F22" w:rsidRPr="001160D6">
        <w:rPr>
          <w:lang w:val="es-AR"/>
        </w:rPr>
        <w:t>planes de reducción</w:t>
      </w:r>
      <w:r w:rsidR="002300DB" w:rsidRPr="001160D6">
        <w:rPr>
          <w:lang w:val="es-AR"/>
        </w:rPr>
        <w:t xml:space="preserve"> de HFC</w:t>
      </w:r>
      <w:r w:rsidR="00DB1F86" w:rsidRPr="001160D6">
        <w:rPr>
          <w:lang w:val="es-AR"/>
        </w:rPr>
        <w:t xml:space="preserve"> ayudarán a países del </w:t>
      </w:r>
      <w:r w:rsidR="007120E8" w:rsidRPr="001160D6">
        <w:rPr>
          <w:lang w:val="es-AR"/>
        </w:rPr>
        <w:t>Artículo</w:t>
      </w:r>
      <w:r w:rsidR="00DB1F86" w:rsidRPr="001160D6">
        <w:rPr>
          <w:lang w:val="es-AR"/>
        </w:rPr>
        <w:t xml:space="preserve"> 5 </w:t>
      </w:r>
      <w:r w:rsidR="00CA2748" w:rsidRPr="001160D6">
        <w:rPr>
          <w:lang w:val="es-AR"/>
        </w:rPr>
        <w:t xml:space="preserve">a </w:t>
      </w:r>
      <w:r w:rsidR="009E0F9F" w:rsidRPr="001160D6">
        <w:rPr>
          <w:lang w:val="es-AR"/>
        </w:rPr>
        <w:t xml:space="preserve">iniciar </w:t>
      </w:r>
      <w:r w:rsidR="00DB1F86" w:rsidRPr="001160D6">
        <w:rPr>
          <w:lang w:val="es-AR"/>
        </w:rPr>
        <w:t xml:space="preserve">inmediatamente estas actividades </w:t>
      </w:r>
      <w:r w:rsidR="007120E8" w:rsidRPr="001160D6">
        <w:rPr>
          <w:lang w:val="es-AR"/>
        </w:rPr>
        <w:t>clave</w:t>
      </w:r>
      <w:r w:rsidR="00DB1F86" w:rsidRPr="001160D6">
        <w:rPr>
          <w:lang w:val="es-AR"/>
        </w:rPr>
        <w:t xml:space="preserve"> que contribu</w:t>
      </w:r>
      <w:r w:rsidR="00CA2748" w:rsidRPr="001160D6">
        <w:rPr>
          <w:lang w:val="es-AR"/>
        </w:rPr>
        <w:t xml:space="preserve">irán </w:t>
      </w:r>
      <w:r w:rsidR="00DB1F86" w:rsidRPr="001160D6">
        <w:rPr>
          <w:lang w:val="es-AR"/>
        </w:rPr>
        <w:t xml:space="preserve">a limitar </w:t>
      </w:r>
      <w:r w:rsidR="00CA2748" w:rsidRPr="001160D6">
        <w:rPr>
          <w:lang w:val="es-AR"/>
        </w:rPr>
        <w:t xml:space="preserve">el </w:t>
      </w:r>
      <w:r w:rsidR="009E0F9F" w:rsidRPr="001160D6">
        <w:rPr>
          <w:lang w:val="es-AR"/>
        </w:rPr>
        <w:t xml:space="preserve">crecimiento </w:t>
      </w:r>
      <w:r w:rsidR="00DB1F86" w:rsidRPr="001160D6">
        <w:rPr>
          <w:lang w:val="es-AR"/>
        </w:rPr>
        <w:t>del consumo de HFC y mejor</w:t>
      </w:r>
      <w:r w:rsidR="00CA2748" w:rsidRPr="001160D6">
        <w:rPr>
          <w:lang w:val="es-AR"/>
        </w:rPr>
        <w:t xml:space="preserve">arán </w:t>
      </w:r>
      <w:r w:rsidR="009E0F9F" w:rsidRPr="001160D6">
        <w:rPr>
          <w:lang w:val="es-AR"/>
        </w:rPr>
        <w:t xml:space="preserve">el registro y presentación de información </w:t>
      </w:r>
      <w:r w:rsidR="00CA2748" w:rsidRPr="001160D6">
        <w:rPr>
          <w:lang w:val="es-AR"/>
        </w:rPr>
        <w:t xml:space="preserve">sobre </w:t>
      </w:r>
      <w:r w:rsidR="00DB1F86" w:rsidRPr="001160D6">
        <w:rPr>
          <w:lang w:val="es-AR"/>
        </w:rPr>
        <w:t>HFC.</w:t>
      </w:r>
    </w:p>
    <w:p w14:paraId="6993D9E1" w14:textId="7327BEB4" w:rsidR="00DB1F86" w:rsidRPr="001160D6" w:rsidRDefault="007120E8" w:rsidP="00DB1F86">
      <w:pPr>
        <w:pStyle w:val="Heading1"/>
        <w:widowControl w:val="0"/>
        <w:numPr>
          <w:ilvl w:val="0"/>
          <w:numId w:val="0"/>
        </w:numPr>
        <w:rPr>
          <w:b/>
          <w:lang w:val="es-AR"/>
        </w:rPr>
      </w:pPr>
      <w:r w:rsidRPr="001160D6">
        <w:rPr>
          <w:b/>
          <w:lang w:val="es-AR"/>
        </w:rPr>
        <w:t>Enfoque</w:t>
      </w:r>
      <w:r w:rsidR="00DB1F86" w:rsidRPr="001160D6">
        <w:rPr>
          <w:b/>
          <w:lang w:val="es-AR"/>
        </w:rPr>
        <w:t xml:space="preserve"> por etapas para la </w:t>
      </w:r>
      <w:r w:rsidR="002300DB" w:rsidRPr="001160D6">
        <w:rPr>
          <w:b/>
          <w:lang w:val="es-AR"/>
        </w:rPr>
        <w:t>reducción de HFC</w:t>
      </w:r>
    </w:p>
    <w:p w14:paraId="681A8632" w14:textId="681D3BBC" w:rsidR="00DB1F86" w:rsidRPr="001160D6" w:rsidRDefault="00DB1F86" w:rsidP="008335F5">
      <w:pPr>
        <w:pStyle w:val="Heading1"/>
        <w:numPr>
          <w:ilvl w:val="0"/>
          <w:numId w:val="36"/>
        </w:numPr>
        <w:rPr>
          <w:lang w:val="es-AR"/>
        </w:rPr>
      </w:pPr>
      <w:r w:rsidRPr="001160D6">
        <w:rPr>
          <w:lang w:val="es-AR"/>
        </w:rPr>
        <w:t xml:space="preserve">Cuando </w:t>
      </w:r>
      <w:r w:rsidR="00FF4D54" w:rsidRPr="001160D6">
        <w:rPr>
          <w:lang w:val="es-AR"/>
        </w:rPr>
        <w:t>las Partes</w:t>
      </w:r>
      <w:r w:rsidRPr="001160D6">
        <w:rPr>
          <w:lang w:val="es-AR"/>
        </w:rPr>
        <w:t xml:space="preserve"> adoptaron la decisión XIX/6 sobre </w:t>
      </w:r>
      <w:r w:rsidR="00DF61F2" w:rsidRPr="001160D6">
        <w:rPr>
          <w:lang w:val="es-AR"/>
        </w:rPr>
        <w:t xml:space="preserve">la </w:t>
      </w:r>
      <w:r w:rsidR="008335F5" w:rsidRPr="001160D6">
        <w:rPr>
          <w:lang w:val="es-AR"/>
        </w:rPr>
        <w:t>eliminación acelerada</w:t>
      </w:r>
      <w:r w:rsidRPr="001160D6">
        <w:rPr>
          <w:lang w:val="es-AR"/>
        </w:rPr>
        <w:t xml:space="preserve"> de </w:t>
      </w:r>
      <w:r w:rsidR="007120E8" w:rsidRPr="001160D6">
        <w:rPr>
          <w:lang w:val="es-AR"/>
        </w:rPr>
        <w:t>los HCFC</w:t>
      </w:r>
      <w:r w:rsidRPr="001160D6">
        <w:rPr>
          <w:lang w:val="es-AR"/>
        </w:rPr>
        <w:t xml:space="preserve">, el </w:t>
      </w:r>
      <w:r w:rsidR="007120E8" w:rsidRPr="001160D6">
        <w:rPr>
          <w:lang w:val="es-AR"/>
        </w:rPr>
        <w:t>Comité Ejecutivo decidió</w:t>
      </w:r>
      <w:r w:rsidRPr="001160D6">
        <w:rPr>
          <w:lang w:val="es-AR"/>
        </w:rPr>
        <w:t xml:space="preserve"> que un </w:t>
      </w:r>
      <w:r w:rsidR="007120E8" w:rsidRPr="001160D6">
        <w:rPr>
          <w:lang w:val="es-AR"/>
        </w:rPr>
        <w:t>enfoque</w:t>
      </w:r>
      <w:r w:rsidRPr="001160D6">
        <w:rPr>
          <w:lang w:val="es-AR"/>
        </w:rPr>
        <w:t xml:space="preserve"> </w:t>
      </w:r>
      <w:r w:rsidR="008335F5" w:rsidRPr="001160D6">
        <w:rPr>
          <w:lang w:val="es-AR"/>
        </w:rPr>
        <w:t xml:space="preserve">de eliminación </w:t>
      </w:r>
      <w:r w:rsidRPr="001160D6">
        <w:rPr>
          <w:lang w:val="es-AR"/>
        </w:rPr>
        <w:t xml:space="preserve">por etapas permitiría a </w:t>
      </w:r>
      <w:r w:rsidR="008335F5" w:rsidRPr="001160D6">
        <w:rPr>
          <w:lang w:val="es-AR"/>
        </w:rPr>
        <w:t>países del Artículo 5</w:t>
      </w:r>
      <w:r w:rsidRPr="001160D6">
        <w:rPr>
          <w:lang w:val="es-AR"/>
        </w:rPr>
        <w:t xml:space="preserve"> asignar prioridad a algun</w:t>
      </w:r>
      <w:r w:rsidR="00F760CF" w:rsidRPr="001160D6">
        <w:rPr>
          <w:lang w:val="es-AR"/>
        </w:rPr>
        <w:t>os</w:t>
      </w:r>
      <w:r w:rsidRPr="001160D6">
        <w:rPr>
          <w:lang w:val="es-AR"/>
        </w:rPr>
        <w:t xml:space="preserve"> </w:t>
      </w:r>
      <w:r w:rsidR="00F760CF" w:rsidRPr="001160D6">
        <w:rPr>
          <w:lang w:val="es-AR"/>
        </w:rPr>
        <w:t xml:space="preserve">usos </w:t>
      </w:r>
      <w:r w:rsidRPr="001160D6">
        <w:rPr>
          <w:lang w:val="es-AR"/>
        </w:rPr>
        <w:t xml:space="preserve">donde </w:t>
      </w:r>
      <w:r w:rsidR="00DF61F2" w:rsidRPr="001160D6">
        <w:rPr>
          <w:lang w:val="es-AR"/>
        </w:rPr>
        <w:t xml:space="preserve">se disponía </w:t>
      </w:r>
      <w:r w:rsidRPr="001160D6">
        <w:rPr>
          <w:lang w:val="es-AR"/>
        </w:rPr>
        <w:t>fácilmente</w:t>
      </w:r>
      <w:r w:rsidR="00DF61F2" w:rsidRPr="001160D6">
        <w:rPr>
          <w:lang w:val="es-AR"/>
        </w:rPr>
        <w:t xml:space="preserve"> de tecnologías sustitutas</w:t>
      </w:r>
      <w:r w:rsidRPr="001160D6">
        <w:rPr>
          <w:lang w:val="es-AR"/>
        </w:rPr>
        <w:t xml:space="preserve"> </w:t>
      </w:r>
      <w:r w:rsidR="00DF61F2" w:rsidRPr="001160D6">
        <w:rPr>
          <w:lang w:val="es-AR"/>
        </w:rPr>
        <w:t>que eran</w:t>
      </w:r>
      <w:r w:rsidRPr="001160D6">
        <w:rPr>
          <w:lang w:val="es-AR"/>
        </w:rPr>
        <w:t xml:space="preserve"> económicamente viables, </w:t>
      </w:r>
      <w:r w:rsidR="00DF61F2" w:rsidRPr="001160D6">
        <w:rPr>
          <w:lang w:val="es-AR"/>
        </w:rPr>
        <w:t xml:space="preserve">mientras se contaba con </w:t>
      </w:r>
      <w:r w:rsidRPr="001160D6">
        <w:rPr>
          <w:lang w:val="es-AR"/>
        </w:rPr>
        <w:t xml:space="preserve">más </w:t>
      </w:r>
      <w:r w:rsidR="00DF61F2" w:rsidRPr="001160D6">
        <w:rPr>
          <w:lang w:val="es-AR"/>
        </w:rPr>
        <w:t xml:space="preserve">tiempo para abordar </w:t>
      </w:r>
      <w:r w:rsidRPr="001160D6">
        <w:rPr>
          <w:lang w:val="es-AR"/>
        </w:rPr>
        <w:t xml:space="preserve">incertidumbres relacionadas con las alternativas </w:t>
      </w:r>
      <w:r w:rsidR="00DF61F2" w:rsidRPr="001160D6">
        <w:rPr>
          <w:lang w:val="es-AR"/>
        </w:rPr>
        <w:t>de</w:t>
      </w:r>
      <w:r w:rsidRPr="001160D6">
        <w:rPr>
          <w:lang w:val="es-AR"/>
        </w:rPr>
        <w:t xml:space="preserve"> </w:t>
      </w:r>
      <w:r w:rsidR="007120E8" w:rsidRPr="001160D6">
        <w:rPr>
          <w:lang w:val="es-AR"/>
        </w:rPr>
        <w:t>los HCFC</w:t>
      </w:r>
      <w:r w:rsidRPr="001160D6">
        <w:rPr>
          <w:lang w:val="es-AR"/>
        </w:rPr>
        <w:t xml:space="preserve"> en otros usos (es decir, disponibilidad, madurez, relación </w:t>
      </w:r>
      <w:r w:rsidR="00AE714B" w:rsidRPr="001160D6">
        <w:rPr>
          <w:lang w:val="es-AR"/>
        </w:rPr>
        <w:t xml:space="preserve">de </w:t>
      </w:r>
      <w:r w:rsidRPr="001160D6">
        <w:rPr>
          <w:lang w:val="es-AR"/>
        </w:rPr>
        <w:t>costo</w:t>
      </w:r>
      <w:r w:rsidR="00B71A7D" w:rsidRPr="001160D6">
        <w:rPr>
          <w:lang w:val="es-AR"/>
        </w:rPr>
        <w:t xml:space="preserve"> a </w:t>
      </w:r>
      <w:r w:rsidRPr="001160D6">
        <w:rPr>
          <w:lang w:val="es-AR"/>
        </w:rPr>
        <w:t>eficacia y otras consideraciones ambientales).</w:t>
      </w:r>
    </w:p>
    <w:p w14:paraId="5C9B16DC" w14:textId="591DE8F0" w:rsidR="00DB1F86" w:rsidRPr="001160D6" w:rsidRDefault="00DB1F86" w:rsidP="00DB1F86">
      <w:pPr>
        <w:pStyle w:val="Heading1"/>
        <w:widowControl w:val="0"/>
        <w:rPr>
          <w:lang w:val="es-AR"/>
        </w:rPr>
      </w:pPr>
      <w:r w:rsidRPr="001160D6">
        <w:rPr>
          <w:lang w:val="es-AR"/>
        </w:rPr>
        <w:lastRenderedPageBreak/>
        <w:t xml:space="preserve">Un </w:t>
      </w:r>
      <w:r w:rsidR="007120E8" w:rsidRPr="001160D6">
        <w:rPr>
          <w:lang w:val="es-AR"/>
        </w:rPr>
        <w:t>enfoque</w:t>
      </w:r>
      <w:r w:rsidRPr="001160D6">
        <w:rPr>
          <w:lang w:val="es-AR"/>
        </w:rPr>
        <w:t xml:space="preserve"> por etapas </w:t>
      </w:r>
      <w:r w:rsidR="00944DE1" w:rsidRPr="001160D6">
        <w:rPr>
          <w:lang w:val="es-AR"/>
        </w:rPr>
        <w:t>sigue</w:t>
      </w:r>
      <w:r w:rsidRPr="001160D6">
        <w:rPr>
          <w:lang w:val="es-AR"/>
        </w:rPr>
        <w:t xml:space="preserve"> siendo el mejor </w:t>
      </w:r>
      <w:r w:rsidR="00944DE1" w:rsidRPr="001160D6">
        <w:rPr>
          <w:lang w:val="es-AR"/>
        </w:rPr>
        <w:t xml:space="preserve">criterio </w:t>
      </w:r>
      <w:r w:rsidRPr="001160D6">
        <w:rPr>
          <w:lang w:val="es-AR"/>
        </w:rPr>
        <w:t xml:space="preserve">para ejecutar los </w:t>
      </w:r>
      <w:r w:rsidR="00D23F22" w:rsidRPr="001160D6">
        <w:rPr>
          <w:lang w:val="es-AR"/>
        </w:rPr>
        <w:t>planes de reducción</w:t>
      </w:r>
      <w:r w:rsidR="002300DB" w:rsidRPr="001160D6">
        <w:rPr>
          <w:lang w:val="es-AR"/>
        </w:rPr>
        <w:t xml:space="preserve"> de HFC</w:t>
      </w:r>
      <w:r w:rsidRPr="001160D6">
        <w:rPr>
          <w:lang w:val="es-AR"/>
        </w:rPr>
        <w:t xml:space="preserve"> dado la larga </w:t>
      </w:r>
      <w:r w:rsidR="00944DE1" w:rsidRPr="001160D6">
        <w:rPr>
          <w:lang w:val="es-AR"/>
        </w:rPr>
        <w:t xml:space="preserve">cronología </w:t>
      </w:r>
      <w:r w:rsidRPr="001160D6">
        <w:rPr>
          <w:lang w:val="es-AR"/>
        </w:rPr>
        <w:t>(reducción del 80 por ciento de la base</w:t>
      </w:r>
      <w:r w:rsidR="00944DE1" w:rsidRPr="001160D6">
        <w:rPr>
          <w:lang w:val="es-AR"/>
        </w:rPr>
        <w:t xml:space="preserve"> de referencia</w:t>
      </w:r>
      <w:r w:rsidRPr="001160D6">
        <w:rPr>
          <w:lang w:val="es-AR"/>
        </w:rPr>
        <w:t xml:space="preserve"> </w:t>
      </w:r>
      <w:r w:rsidR="00B71A7D" w:rsidRPr="001160D6">
        <w:rPr>
          <w:lang w:val="es-AR"/>
        </w:rPr>
        <w:t xml:space="preserve">de los HFC </w:t>
      </w:r>
      <w:r w:rsidRPr="001160D6">
        <w:rPr>
          <w:lang w:val="es-AR"/>
        </w:rPr>
        <w:t xml:space="preserve">para el cumplimiento </w:t>
      </w:r>
      <w:r w:rsidR="00944DE1" w:rsidRPr="001160D6">
        <w:rPr>
          <w:lang w:val="es-AR"/>
        </w:rPr>
        <w:t>para</w:t>
      </w:r>
      <w:r w:rsidRPr="001160D6">
        <w:rPr>
          <w:lang w:val="es-AR"/>
        </w:rPr>
        <w:t xml:space="preserve"> 2045 para </w:t>
      </w:r>
      <w:r w:rsidR="00944DE1" w:rsidRPr="001160D6">
        <w:rPr>
          <w:lang w:val="es-AR"/>
        </w:rPr>
        <w:t>los países del Artículo 5,</w:t>
      </w:r>
      <w:r w:rsidRPr="001160D6">
        <w:rPr>
          <w:lang w:val="es-AR"/>
        </w:rPr>
        <w:t xml:space="preserve"> grupo 1, y el 85 por ciento de la </w:t>
      </w:r>
      <w:r w:rsidR="00FF4D54" w:rsidRPr="001160D6">
        <w:rPr>
          <w:lang w:val="es-AR"/>
        </w:rPr>
        <w:t>base</w:t>
      </w:r>
      <w:r w:rsidR="00944DE1" w:rsidRPr="001160D6">
        <w:rPr>
          <w:lang w:val="es-AR"/>
        </w:rPr>
        <w:t xml:space="preserve"> de referencia</w:t>
      </w:r>
      <w:r w:rsidRPr="001160D6">
        <w:rPr>
          <w:lang w:val="es-AR"/>
        </w:rPr>
        <w:t xml:space="preserve"> de</w:t>
      </w:r>
      <w:r w:rsidR="00944DE1" w:rsidRPr="001160D6">
        <w:rPr>
          <w:lang w:val="es-AR"/>
        </w:rPr>
        <w:t xml:space="preserve"> los HFC</w:t>
      </w:r>
      <w:r w:rsidRPr="001160D6">
        <w:rPr>
          <w:lang w:val="es-AR"/>
        </w:rPr>
        <w:t xml:space="preserve"> </w:t>
      </w:r>
      <w:r w:rsidR="00B71A7D" w:rsidRPr="001160D6">
        <w:rPr>
          <w:lang w:val="es-AR"/>
        </w:rPr>
        <w:t xml:space="preserve">para </w:t>
      </w:r>
      <w:r w:rsidRPr="001160D6">
        <w:rPr>
          <w:lang w:val="es-AR"/>
        </w:rPr>
        <w:t xml:space="preserve">2047 para </w:t>
      </w:r>
      <w:r w:rsidR="00944DE1" w:rsidRPr="001160D6">
        <w:rPr>
          <w:lang w:val="es-AR"/>
        </w:rPr>
        <w:t xml:space="preserve">los países del Artículo 5, </w:t>
      </w:r>
      <w:r w:rsidRPr="001160D6">
        <w:rPr>
          <w:lang w:val="es-AR"/>
        </w:rPr>
        <w:t xml:space="preserve">grupo 2), y </w:t>
      </w:r>
      <w:r w:rsidR="00B71A7D" w:rsidRPr="001160D6">
        <w:rPr>
          <w:lang w:val="es-AR"/>
        </w:rPr>
        <w:t xml:space="preserve">el desarrollo de </w:t>
      </w:r>
      <w:r w:rsidRPr="001160D6">
        <w:rPr>
          <w:lang w:val="es-AR"/>
        </w:rPr>
        <w:t xml:space="preserve">la disponibilidad </w:t>
      </w:r>
      <w:r w:rsidR="00B71A7D" w:rsidRPr="001160D6">
        <w:rPr>
          <w:lang w:val="es-AR"/>
        </w:rPr>
        <w:t xml:space="preserve">de </w:t>
      </w:r>
      <w:r w:rsidRPr="001160D6">
        <w:rPr>
          <w:lang w:val="es-AR"/>
        </w:rPr>
        <w:t xml:space="preserve">alternativas </w:t>
      </w:r>
      <w:r w:rsidR="00944DE1" w:rsidRPr="001160D6">
        <w:rPr>
          <w:lang w:val="es-AR"/>
        </w:rPr>
        <w:t xml:space="preserve">sostenibles y </w:t>
      </w:r>
      <w:r w:rsidRPr="001160D6">
        <w:rPr>
          <w:lang w:val="es-AR"/>
        </w:rPr>
        <w:t xml:space="preserve">eficaces en función de los costos </w:t>
      </w:r>
      <w:r w:rsidR="00944DE1" w:rsidRPr="001160D6">
        <w:rPr>
          <w:lang w:val="es-AR"/>
        </w:rPr>
        <w:t>en algunos usos de</w:t>
      </w:r>
      <w:r w:rsidR="00B71A7D" w:rsidRPr="001160D6">
        <w:rPr>
          <w:lang w:val="es-AR"/>
        </w:rPr>
        <w:t xml:space="preserve"> los</w:t>
      </w:r>
      <w:r w:rsidRPr="001160D6">
        <w:rPr>
          <w:lang w:val="es-AR"/>
        </w:rPr>
        <w:t xml:space="preserve"> </w:t>
      </w:r>
      <w:r w:rsidR="00944DE1" w:rsidRPr="001160D6">
        <w:rPr>
          <w:lang w:val="es-AR"/>
        </w:rPr>
        <w:t>HFC</w:t>
      </w:r>
      <w:r w:rsidRPr="001160D6">
        <w:rPr>
          <w:lang w:val="es-AR"/>
        </w:rPr>
        <w:t xml:space="preserve">. Además, permitirá </w:t>
      </w:r>
      <w:r w:rsidR="00AE714B" w:rsidRPr="001160D6">
        <w:rPr>
          <w:lang w:val="es-AR"/>
        </w:rPr>
        <w:t xml:space="preserve">a los </w:t>
      </w:r>
      <w:r w:rsidR="008335F5" w:rsidRPr="001160D6">
        <w:rPr>
          <w:lang w:val="es-AR"/>
        </w:rPr>
        <w:t>países del Artículo 5</w:t>
      </w:r>
      <w:r w:rsidRPr="001160D6">
        <w:rPr>
          <w:lang w:val="es-AR"/>
        </w:rPr>
        <w:t xml:space="preserve"> estable</w:t>
      </w:r>
      <w:r w:rsidR="00AE714B" w:rsidRPr="001160D6">
        <w:rPr>
          <w:lang w:val="es-AR"/>
        </w:rPr>
        <w:t>cer</w:t>
      </w:r>
      <w:r w:rsidRPr="001160D6">
        <w:rPr>
          <w:lang w:val="es-AR"/>
        </w:rPr>
        <w:t xml:space="preserve"> sus prioridades según sus circunstancias nacionales específicas. En consecuencia, en su 86</w:t>
      </w:r>
      <w:r w:rsidR="00944DE1" w:rsidRPr="001160D6">
        <w:rPr>
          <w:lang w:val="es-AR"/>
        </w:rPr>
        <w:t>ª reu</w:t>
      </w:r>
      <w:r w:rsidRPr="001160D6">
        <w:rPr>
          <w:lang w:val="es-AR"/>
        </w:rPr>
        <w:t xml:space="preserve">nión, el Comité Ejecutivo </w:t>
      </w:r>
      <w:r w:rsidR="005B3D94">
        <w:rPr>
          <w:lang w:val="es-AR"/>
        </w:rPr>
        <w:t xml:space="preserve">comenzó a examinar </w:t>
      </w:r>
      <w:r w:rsidR="00944DE1" w:rsidRPr="001160D6">
        <w:rPr>
          <w:lang w:val="es-AR"/>
        </w:rPr>
        <w:t>el proyecto de directrices</w:t>
      </w:r>
      <w:r w:rsidRPr="001160D6">
        <w:rPr>
          <w:lang w:val="es-AR"/>
        </w:rPr>
        <w:t xml:space="preserve"> para financiar la preparación de los </w:t>
      </w:r>
      <w:r w:rsidR="00D23F22" w:rsidRPr="001160D6">
        <w:rPr>
          <w:lang w:val="es-AR"/>
        </w:rPr>
        <w:t>planes de reducción</w:t>
      </w:r>
      <w:r w:rsidR="002300DB" w:rsidRPr="001160D6">
        <w:rPr>
          <w:lang w:val="es-AR"/>
        </w:rPr>
        <w:t xml:space="preserve"> de HFC</w:t>
      </w:r>
      <w:r w:rsidRPr="001160D6">
        <w:rPr>
          <w:lang w:val="es-AR"/>
        </w:rPr>
        <w:t xml:space="preserve"> para los países del </w:t>
      </w:r>
      <w:r w:rsidR="007120E8" w:rsidRPr="001160D6">
        <w:rPr>
          <w:lang w:val="es-AR"/>
        </w:rPr>
        <w:t>Artículo</w:t>
      </w:r>
      <w:r w:rsidRPr="001160D6">
        <w:rPr>
          <w:lang w:val="es-AR"/>
        </w:rPr>
        <w:t xml:space="preserve"> 5 que incluirían una estrategia general y una etapa I para </w:t>
      </w:r>
      <w:r w:rsidR="00944DE1" w:rsidRPr="001160D6">
        <w:rPr>
          <w:lang w:val="es-AR"/>
        </w:rPr>
        <w:t xml:space="preserve">alcanzar la congelación del </w:t>
      </w:r>
      <w:r w:rsidRPr="001160D6">
        <w:rPr>
          <w:lang w:val="es-AR"/>
        </w:rPr>
        <w:t>consumo y la reducción del 10 por ciento.</w:t>
      </w:r>
      <w:r w:rsidR="005B3D94">
        <w:rPr>
          <w:lang w:val="es-AR"/>
        </w:rPr>
        <w:t xml:space="preserve"> Las deliberaciones continuarán en la 87ª reunión.</w:t>
      </w:r>
    </w:p>
    <w:p w14:paraId="44C8E8F0" w14:textId="062897A6" w:rsidR="00DB1F86" w:rsidRPr="001160D6" w:rsidRDefault="00DB1F86" w:rsidP="00DB1F86">
      <w:pPr>
        <w:pStyle w:val="Heading1"/>
        <w:widowControl w:val="0"/>
        <w:numPr>
          <w:ilvl w:val="0"/>
          <w:numId w:val="0"/>
        </w:numPr>
        <w:rPr>
          <w:u w:val="single"/>
          <w:lang w:val="es-AR"/>
        </w:rPr>
      </w:pPr>
      <w:r w:rsidRPr="001160D6">
        <w:rPr>
          <w:u w:val="single"/>
          <w:lang w:val="es-AR"/>
        </w:rPr>
        <w:t>Pre</w:t>
      </w:r>
      <w:r w:rsidR="00944DE1" w:rsidRPr="001160D6">
        <w:rPr>
          <w:u w:val="single"/>
          <w:lang w:val="es-AR"/>
        </w:rPr>
        <w:t xml:space="preserve">sentación </w:t>
      </w:r>
      <w:r w:rsidRPr="001160D6">
        <w:rPr>
          <w:u w:val="single"/>
          <w:lang w:val="es-AR"/>
        </w:rPr>
        <w:t xml:space="preserve">de los </w:t>
      </w:r>
      <w:r w:rsidR="00D23F22" w:rsidRPr="001160D6">
        <w:rPr>
          <w:u w:val="single"/>
          <w:lang w:val="es-AR"/>
        </w:rPr>
        <w:t>planes de reducción</w:t>
      </w:r>
      <w:r w:rsidR="002300DB" w:rsidRPr="001160D6">
        <w:rPr>
          <w:u w:val="single"/>
          <w:lang w:val="es-AR"/>
        </w:rPr>
        <w:t xml:space="preserve"> de HFC</w:t>
      </w:r>
    </w:p>
    <w:p w14:paraId="6A9D120E" w14:textId="7E080B53" w:rsidR="00DB1F86" w:rsidRPr="001160D6" w:rsidRDefault="00DB1F86" w:rsidP="00DB1F86">
      <w:pPr>
        <w:pStyle w:val="Heading1"/>
        <w:widowControl w:val="0"/>
        <w:rPr>
          <w:lang w:val="es-AR"/>
        </w:rPr>
      </w:pPr>
      <w:r w:rsidRPr="001160D6">
        <w:rPr>
          <w:lang w:val="es-AR"/>
        </w:rPr>
        <w:t>Para decidir cu</w:t>
      </w:r>
      <w:r w:rsidR="00944DE1" w:rsidRPr="001160D6">
        <w:rPr>
          <w:lang w:val="es-AR"/>
        </w:rPr>
        <w:t>á</w:t>
      </w:r>
      <w:r w:rsidRPr="001160D6">
        <w:rPr>
          <w:lang w:val="es-AR"/>
        </w:rPr>
        <w:t>ndo comenzar a ejecutar</w:t>
      </w:r>
      <w:r w:rsidR="00944DE1" w:rsidRPr="001160D6">
        <w:rPr>
          <w:lang w:val="es-AR"/>
        </w:rPr>
        <w:t xml:space="preserve"> los</w:t>
      </w:r>
      <w:r w:rsidRPr="001160D6">
        <w:rPr>
          <w:lang w:val="es-AR"/>
        </w:rPr>
        <w:t xml:space="preserve"> </w:t>
      </w:r>
      <w:r w:rsidR="00D23F22" w:rsidRPr="001160D6">
        <w:rPr>
          <w:lang w:val="es-AR"/>
        </w:rPr>
        <w:t>planes de reducción</w:t>
      </w:r>
      <w:r w:rsidR="002300DB" w:rsidRPr="001160D6">
        <w:rPr>
          <w:lang w:val="es-AR"/>
        </w:rPr>
        <w:t xml:space="preserve"> de HFC</w:t>
      </w:r>
      <w:r w:rsidRPr="001160D6">
        <w:rPr>
          <w:lang w:val="es-AR"/>
        </w:rPr>
        <w:t xml:space="preserve">, los países del </w:t>
      </w:r>
      <w:r w:rsidR="007120E8" w:rsidRPr="001160D6">
        <w:rPr>
          <w:lang w:val="es-AR"/>
        </w:rPr>
        <w:t>Artículo</w:t>
      </w:r>
      <w:r w:rsidRPr="001160D6">
        <w:rPr>
          <w:lang w:val="es-AR"/>
        </w:rPr>
        <w:t xml:space="preserve"> 5 </w:t>
      </w:r>
      <w:r w:rsidR="00944DE1" w:rsidRPr="001160D6">
        <w:rPr>
          <w:lang w:val="es-AR"/>
        </w:rPr>
        <w:t xml:space="preserve">deberán </w:t>
      </w:r>
      <w:r w:rsidRPr="001160D6">
        <w:rPr>
          <w:lang w:val="es-AR"/>
        </w:rPr>
        <w:t xml:space="preserve">determinar el nivel de acción </w:t>
      </w:r>
      <w:r w:rsidR="00944DE1" w:rsidRPr="001160D6">
        <w:rPr>
          <w:lang w:val="es-AR"/>
        </w:rPr>
        <w:t xml:space="preserve">necesario </w:t>
      </w:r>
      <w:r w:rsidRPr="001160D6">
        <w:rPr>
          <w:lang w:val="es-AR"/>
        </w:rPr>
        <w:t>para alcanzar</w:t>
      </w:r>
      <w:r w:rsidR="00944DE1" w:rsidRPr="001160D6">
        <w:rPr>
          <w:lang w:val="es-AR"/>
        </w:rPr>
        <w:t xml:space="preserve"> el</w:t>
      </w:r>
      <w:r w:rsidRPr="001160D6">
        <w:rPr>
          <w:lang w:val="es-AR"/>
        </w:rPr>
        <w:t xml:space="preserve"> </w:t>
      </w:r>
      <w:r w:rsidR="00CE031A" w:rsidRPr="001160D6">
        <w:rPr>
          <w:lang w:val="es-AR"/>
        </w:rPr>
        <w:t>cumplimiento</w:t>
      </w:r>
      <w:r w:rsidRPr="001160D6">
        <w:rPr>
          <w:lang w:val="es-AR"/>
        </w:rPr>
        <w:t xml:space="preserve"> con las primeras </w:t>
      </w:r>
      <w:r w:rsidR="00FF4D54" w:rsidRPr="001160D6">
        <w:rPr>
          <w:lang w:val="es-AR"/>
        </w:rPr>
        <w:t>medidas de control</w:t>
      </w:r>
      <w:r w:rsidRPr="001160D6">
        <w:rPr>
          <w:lang w:val="es-AR"/>
        </w:rPr>
        <w:t xml:space="preserve"> (</w:t>
      </w:r>
      <w:r w:rsidR="00944DE1" w:rsidRPr="001160D6">
        <w:rPr>
          <w:lang w:val="es-AR"/>
        </w:rPr>
        <w:t>congelación</w:t>
      </w:r>
      <w:r w:rsidRPr="001160D6">
        <w:rPr>
          <w:lang w:val="es-AR"/>
        </w:rPr>
        <w:t xml:space="preserve"> y reducción del 10 por ciento </w:t>
      </w:r>
      <w:r w:rsidR="00944DE1" w:rsidRPr="001160D6">
        <w:rPr>
          <w:lang w:val="es-AR"/>
        </w:rPr>
        <w:t>d</w:t>
      </w:r>
      <w:r w:rsidRPr="001160D6">
        <w:rPr>
          <w:lang w:val="es-AR"/>
        </w:rPr>
        <w:t xml:space="preserve">el consumo de HFC) </w:t>
      </w:r>
      <w:r w:rsidR="002300DB" w:rsidRPr="001160D6">
        <w:rPr>
          <w:lang w:val="es-AR"/>
        </w:rPr>
        <w:t>bajo el Protocolo</w:t>
      </w:r>
      <w:r w:rsidRPr="001160D6">
        <w:rPr>
          <w:lang w:val="es-AR"/>
        </w:rPr>
        <w:t xml:space="preserve"> de Montreal. </w:t>
      </w:r>
    </w:p>
    <w:p w14:paraId="26CA9F3E" w14:textId="1939137A" w:rsidR="00DB1F86" w:rsidRPr="001160D6" w:rsidRDefault="00DB1F86" w:rsidP="00DB1F86">
      <w:pPr>
        <w:pStyle w:val="Heading1"/>
        <w:widowControl w:val="0"/>
        <w:rPr>
          <w:lang w:val="es-AR"/>
        </w:rPr>
      </w:pPr>
      <w:r w:rsidRPr="001160D6">
        <w:rPr>
          <w:lang w:val="es-AR"/>
        </w:rPr>
        <w:t xml:space="preserve">Cuando </w:t>
      </w:r>
      <w:r w:rsidR="001D29D0" w:rsidRPr="001160D6">
        <w:rPr>
          <w:lang w:val="es-AR"/>
        </w:rPr>
        <w:t xml:space="preserve">se consideró </w:t>
      </w:r>
      <w:r w:rsidRPr="001160D6">
        <w:rPr>
          <w:lang w:val="es-AR"/>
        </w:rPr>
        <w:t xml:space="preserve">la aceleración de </w:t>
      </w:r>
      <w:r w:rsidR="001D29D0" w:rsidRPr="001160D6">
        <w:rPr>
          <w:lang w:val="es-AR"/>
        </w:rPr>
        <w:t>la eliminación de los HCFC</w:t>
      </w:r>
      <w:r w:rsidRPr="001160D6">
        <w:rPr>
          <w:lang w:val="es-AR"/>
        </w:rPr>
        <w:t>, h</w:t>
      </w:r>
      <w:r w:rsidR="001D29D0" w:rsidRPr="001160D6">
        <w:rPr>
          <w:lang w:val="es-AR"/>
        </w:rPr>
        <w:t xml:space="preserve">ubo </w:t>
      </w:r>
      <w:r w:rsidRPr="001160D6">
        <w:rPr>
          <w:lang w:val="es-AR"/>
        </w:rPr>
        <w:t>dos años entre los años u</w:t>
      </w:r>
      <w:r w:rsidR="001D29D0" w:rsidRPr="001160D6">
        <w:rPr>
          <w:lang w:val="es-AR"/>
        </w:rPr>
        <w:t xml:space="preserve">tilizados </w:t>
      </w:r>
      <w:r w:rsidRPr="001160D6">
        <w:rPr>
          <w:lang w:val="es-AR"/>
        </w:rPr>
        <w:t xml:space="preserve">como base para la </w:t>
      </w:r>
      <w:r w:rsidR="001D29D0" w:rsidRPr="001160D6">
        <w:rPr>
          <w:lang w:val="es-AR"/>
        </w:rPr>
        <w:t>base de referencia del consumo</w:t>
      </w:r>
      <w:r w:rsidR="00B71A7D" w:rsidRPr="001160D6">
        <w:rPr>
          <w:lang w:val="es-AR"/>
        </w:rPr>
        <w:t xml:space="preserve"> de</w:t>
      </w:r>
      <w:r w:rsidRPr="001160D6">
        <w:rPr>
          <w:lang w:val="es-AR"/>
        </w:rPr>
        <w:t xml:space="preserve"> </w:t>
      </w:r>
      <w:r w:rsidR="00B71A7D" w:rsidRPr="001160D6">
        <w:rPr>
          <w:lang w:val="es-AR"/>
        </w:rPr>
        <w:t xml:space="preserve">los HCFC </w:t>
      </w:r>
      <w:r w:rsidRPr="001160D6">
        <w:rPr>
          <w:lang w:val="es-AR"/>
        </w:rPr>
        <w:t xml:space="preserve">(2009 y 2010) y la primera medida de </w:t>
      </w:r>
      <w:r w:rsidR="001D29D0" w:rsidRPr="001160D6">
        <w:rPr>
          <w:lang w:val="es-AR"/>
        </w:rPr>
        <w:t xml:space="preserve">control </w:t>
      </w:r>
      <w:r w:rsidRPr="001160D6">
        <w:rPr>
          <w:lang w:val="es-AR"/>
        </w:rPr>
        <w:t>(</w:t>
      </w:r>
      <w:r w:rsidR="001D29D0" w:rsidRPr="001160D6">
        <w:rPr>
          <w:lang w:val="es-AR"/>
        </w:rPr>
        <w:t>congelación</w:t>
      </w:r>
      <w:r w:rsidRPr="001160D6">
        <w:rPr>
          <w:lang w:val="es-AR"/>
        </w:rPr>
        <w:t xml:space="preserve"> en 2013). Los datos existentes indicaron que</w:t>
      </w:r>
      <w:r w:rsidR="001D29D0" w:rsidRPr="001160D6">
        <w:rPr>
          <w:lang w:val="es-AR"/>
        </w:rPr>
        <w:t xml:space="preserve"> se preveía </w:t>
      </w:r>
      <w:r w:rsidR="00AE714B" w:rsidRPr="001160D6">
        <w:rPr>
          <w:lang w:val="es-AR"/>
        </w:rPr>
        <w:t xml:space="preserve">un crecimiento del </w:t>
      </w:r>
      <w:r w:rsidR="001D29D0" w:rsidRPr="001160D6">
        <w:rPr>
          <w:lang w:val="es-AR"/>
        </w:rPr>
        <w:t>consumo de</w:t>
      </w:r>
      <w:r w:rsidRPr="001160D6">
        <w:rPr>
          <w:lang w:val="es-AR"/>
        </w:rPr>
        <w:t xml:space="preserve"> </w:t>
      </w:r>
      <w:r w:rsidR="007120E8" w:rsidRPr="001160D6">
        <w:rPr>
          <w:lang w:val="es-AR"/>
        </w:rPr>
        <w:t>los HCFC</w:t>
      </w:r>
      <w:r w:rsidRPr="001160D6">
        <w:rPr>
          <w:lang w:val="es-AR"/>
        </w:rPr>
        <w:t xml:space="preserve"> en 2011 y 2012, </w:t>
      </w:r>
      <w:r w:rsidR="001D29D0" w:rsidRPr="001160D6">
        <w:rPr>
          <w:lang w:val="es-AR"/>
        </w:rPr>
        <w:t xml:space="preserve">dificultando el logro de una reducción súbita </w:t>
      </w:r>
      <w:r w:rsidRPr="001160D6">
        <w:rPr>
          <w:lang w:val="es-AR"/>
        </w:rPr>
        <w:t>y</w:t>
      </w:r>
      <w:r w:rsidR="001D29D0" w:rsidRPr="001160D6">
        <w:rPr>
          <w:lang w:val="es-AR"/>
        </w:rPr>
        <w:t xml:space="preserve"> el congelamiento del </w:t>
      </w:r>
      <w:r w:rsidRPr="001160D6">
        <w:rPr>
          <w:lang w:val="es-AR"/>
        </w:rPr>
        <w:t xml:space="preserve">consumo </w:t>
      </w:r>
      <w:r w:rsidR="001D29D0" w:rsidRPr="001160D6">
        <w:rPr>
          <w:lang w:val="es-AR"/>
        </w:rPr>
        <w:t xml:space="preserve">de </w:t>
      </w:r>
      <w:r w:rsidRPr="001160D6">
        <w:rPr>
          <w:lang w:val="es-AR"/>
        </w:rPr>
        <w:t xml:space="preserve">2013 en el </w:t>
      </w:r>
      <w:r w:rsidR="001D29D0" w:rsidRPr="001160D6">
        <w:rPr>
          <w:lang w:val="es-AR"/>
        </w:rPr>
        <w:t xml:space="preserve">promedio de </w:t>
      </w:r>
      <w:r w:rsidRPr="001160D6">
        <w:rPr>
          <w:lang w:val="es-AR"/>
        </w:rPr>
        <w:t>2009-2010</w:t>
      </w:r>
      <w:r w:rsidR="006E2A69" w:rsidRPr="001160D6">
        <w:rPr>
          <w:lang w:val="es-AR"/>
        </w:rPr>
        <w:t xml:space="preserve"> para los países del Artículo 5</w:t>
      </w:r>
      <w:r w:rsidRPr="001160D6">
        <w:rPr>
          <w:lang w:val="es-AR"/>
        </w:rPr>
        <w:t xml:space="preserve">. </w:t>
      </w:r>
      <w:r w:rsidR="00240A87" w:rsidRPr="001160D6">
        <w:rPr>
          <w:lang w:val="es-AR"/>
        </w:rPr>
        <w:t>Abundantes datos en virtud</w:t>
      </w:r>
      <w:r w:rsidR="006E2A69" w:rsidRPr="001160D6">
        <w:rPr>
          <w:lang w:val="es-AR"/>
        </w:rPr>
        <w:t xml:space="preserve"> </w:t>
      </w:r>
      <w:r w:rsidR="00240A87" w:rsidRPr="001160D6">
        <w:rPr>
          <w:lang w:val="es-AR"/>
        </w:rPr>
        <w:t xml:space="preserve">del </w:t>
      </w:r>
      <w:r w:rsidR="007120E8" w:rsidRPr="001160D6">
        <w:rPr>
          <w:lang w:val="es-AR"/>
        </w:rPr>
        <w:t>Artículo</w:t>
      </w:r>
      <w:r w:rsidRPr="001160D6">
        <w:rPr>
          <w:lang w:val="es-AR"/>
        </w:rPr>
        <w:t xml:space="preserve"> 7 y</w:t>
      </w:r>
      <w:r w:rsidR="006E2A69" w:rsidRPr="001160D6">
        <w:rPr>
          <w:lang w:val="es-AR"/>
        </w:rPr>
        <w:t xml:space="preserve"> provenientes</w:t>
      </w:r>
      <w:r w:rsidRPr="001160D6">
        <w:rPr>
          <w:lang w:val="es-AR"/>
        </w:rPr>
        <w:t xml:space="preserve"> </w:t>
      </w:r>
      <w:r w:rsidR="00240A87" w:rsidRPr="001160D6">
        <w:rPr>
          <w:lang w:val="es-AR"/>
        </w:rPr>
        <w:t xml:space="preserve">de los </w:t>
      </w:r>
      <w:r w:rsidRPr="001160D6">
        <w:rPr>
          <w:lang w:val="es-AR"/>
        </w:rPr>
        <w:t>informe</w:t>
      </w:r>
      <w:r w:rsidR="00240A87" w:rsidRPr="001160D6">
        <w:rPr>
          <w:lang w:val="es-AR"/>
        </w:rPr>
        <w:t>s</w:t>
      </w:r>
      <w:r w:rsidRPr="001160D6">
        <w:rPr>
          <w:lang w:val="es-AR"/>
        </w:rPr>
        <w:t xml:space="preserve"> de </w:t>
      </w:r>
      <w:r w:rsidR="00FF4D54" w:rsidRPr="001160D6">
        <w:rPr>
          <w:lang w:val="es-AR"/>
        </w:rPr>
        <w:t>ejecución del programa</w:t>
      </w:r>
      <w:r w:rsidRPr="001160D6">
        <w:rPr>
          <w:lang w:val="es-AR"/>
        </w:rPr>
        <w:t xml:space="preserve"> de país</w:t>
      </w:r>
      <w:r w:rsidR="00240A87" w:rsidRPr="001160D6">
        <w:rPr>
          <w:lang w:val="es-AR"/>
        </w:rPr>
        <w:t>,</w:t>
      </w:r>
      <w:r w:rsidRPr="001160D6">
        <w:rPr>
          <w:lang w:val="es-AR"/>
        </w:rPr>
        <w:t xml:space="preserve"> disponibles en ese </w:t>
      </w:r>
      <w:r w:rsidR="00240A87" w:rsidRPr="001160D6">
        <w:rPr>
          <w:lang w:val="es-AR"/>
        </w:rPr>
        <w:t xml:space="preserve">momento mostraron índices </w:t>
      </w:r>
      <w:r w:rsidRPr="001160D6">
        <w:rPr>
          <w:lang w:val="es-AR"/>
        </w:rPr>
        <w:t xml:space="preserve">de crecimiento entre el 4 y </w:t>
      </w:r>
      <w:r w:rsidR="00240A87" w:rsidRPr="001160D6">
        <w:rPr>
          <w:lang w:val="es-AR"/>
        </w:rPr>
        <w:t xml:space="preserve">el </w:t>
      </w:r>
      <w:r w:rsidRPr="001160D6">
        <w:rPr>
          <w:lang w:val="es-AR"/>
        </w:rPr>
        <w:t xml:space="preserve">34 por ciento durante los cinco años anteriores, con </w:t>
      </w:r>
      <w:r w:rsidR="00240A87" w:rsidRPr="001160D6">
        <w:rPr>
          <w:lang w:val="es-AR"/>
        </w:rPr>
        <w:t>un índice</w:t>
      </w:r>
      <w:r w:rsidR="009A618F" w:rsidRPr="001160D6">
        <w:rPr>
          <w:lang w:val="es-AR"/>
        </w:rPr>
        <w:t xml:space="preserve"> de crecimiento</w:t>
      </w:r>
      <w:r w:rsidRPr="001160D6">
        <w:rPr>
          <w:lang w:val="es-AR"/>
        </w:rPr>
        <w:t xml:space="preserve"> anual medi</w:t>
      </w:r>
      <w:r w:rsidR="00240A87" w:rsidRPr="001160D6">
        <w:rPr>
          <w:lang w:val="es-AR"/>
        </w:rPr>
        <w:t>o</w:t>
      </w:r>
      <w:r w:rsidRPr="001160D6">
        <w:rPr>
          <w:lang w:val="es-AR"/>
        </w:rPr>
        <w:t xml:space="preserve"> del 18 por ciento durante el período. La </w:t>
      </w:r>
      <w:r w:rsidR="00FF4D54" w:rsidRPr="001160D6">
        <w:rPr>
          <w:lang w:val="es-AR"/>
        </w:rPr>
        <w:t>Secretaría</w:t>
      </w:r>
      <w:r w:rsidRPr="001160D6">
        <w:rPr>
          <w:lang w:val="es-AR"/>
        </w:rPr>
        <w:t xml:space="preserve"> observa que, sobre la base de </w:t>
      </w:r>
      <w:r w:rsidR="00240A87" w:rsidRPr="001160D6">
        <w:rPr>
          <w:lang w:val="es-AR"/>
        </w:rPr>
        <w:t xml:space="preserve">los datos del </w:t>
      </w:r>
      <w:r w:rsidR="007120E8" w:rsidRPr="001160D6">
        <w:rPr>
          <w:lang w:val="es-AR"/>
        </w:rPr>
        <w:t>Artículo</w:t>
      </w:r>
      <w:r w:rsidRPr="001160D6">
        <w:rPr>
          <w:lang w:val="es-AR"/>
        </w:rPr>
        <w:t xml:space="preserve"> 7 </w:t>
      </w:r>
      <w:r w:rsidR="00FF4D54" w:rsidRPr="001160D6">
        <w:rPr>
          <w:lang w:val="es-AR"/>
        </w:rPr>
        <w:t>inform</w:t>
      </w:r>
      <w:r w:rsidRPr="001160D6">
        <w:rPr>
          <w:lang w:val="es-AR"/>
        </w:rPr>
        <w:t>a</w:t>
      </w:r>
      <w:r w:rsidR="00240A87" w:rsidRPr="001160D6">
        <w:rPr>
          <w:lang w:val="es-AR"/>
        </w:rPr>
        <w:t xml:space="preserve">dos </w:t>
      </w:r>
      <w:r w:rsidRPr="001160D6">
        <w:rPr>
          <w:lang w:val="es-AR"/>
        </w:rPr>
        <w:t>posteriormente,</w:t>
      </w:r>
      <w:r w:rsidR="00240A87" w:rsidRPr="001160D6">
        <w:rPr>
          <w:lang w:val="es-AR"/>
        </w:rPr>
        <w:t xml:space="preserve"> el índice </w:t>
      </w:r>
      <w:r w:rsidR="006E2A69" w:rsidRPr="001160D6">
        <w:rPr>
          <w:lang w:val="es-AR"/>
        </w:rPr>
        <w:t xml:space="preserve">real </w:t>
      </w:r>
      <w:r w:rsidR="009A618F" w:rsidRPr="001160D6">
        <w:rPr>
          <w:lang w:val="es-AR"/>
        </w:rPr>
        <w:t>de crecimiento</w:t>
      </w:r>
      <w:r w:rsidRPr="001160D6">
        <w:rPr>
          <w:lang w:val="es-AR"/>
        </w:rPr>
        <w:t xml:space="preserve"> anual medi</w:t>
      </w:r>
      <w:r w:rsidR="00240A87" w:rsidRPr="001160D6">
        <w:rPr>
          <w:lang w:val="es-AR"/>
        </w:rPr>
        <w:t>o</w:t>
      </w:r>
      <w:r w:rsidRPr="001160D6">
        <w:rPr>
          <w:lang w:val="es-AR"/>
        </w:rPr>
        <w:t xml:space="preserve"> </w:t>
      </w:r>
      <w:r w:rsidR="00240A87" w:rsidRPr="001160D6">
        <w:rPr>
          <w:lang w:val="es-AR"/>
        </w:rPr>
        <w:t>d</w:t>
      </w:r>
      <w:r w:rsidR="00832BBD" w:rsidRPr="001160D6">
        <w:rPr>
          <w:lang w:val="es-AR"/>
        </w:rPr>
        <w:t>el consumo de HCFC</w:t>
      </w:r>
      <w:r w:rsidRPr="001160D6">
        <w:rPr>
          <w:lang w:val="es-AR"/>
        </w:rPr>
        <w:t xml:space="preserve"> entre 2010 y 2012 </w:t>
      </w:r>
      <w:r w:rsidR="00240A87" w:rsidRPr="001160D6">
        <w:rPr>
          <w:lang w:val="es-AR"/>
        </w:rPr>
        <w:t xml:space="preserve">fue </w:t>
      </w:r>
      <w:r w:rsidR="007120E8" w:rsidRPr="001160D6">
        <w:rPr>
          <w:lang w:val="es-AR"/>
        </w:rPr>
        <w:t>sólo</w:t>
      </w:r>
      <w:r w:rsidR="00240A87" w:rsidRPr="001160D6">
        <w:rPr>
          <w:lang w:val="es-AR"/>
        </w:rPr>
        <w:t xml:space="preserve"> </w:t>
      </w:r>
      <w:r w:rsidR="007120E8" w:rsidRPr="001160D6">
        <w:rPr>
          <w:lang w:val="es-AR"/>
        </w:rPr>
        <w:t>2,8</w:t>
      </w:r>
      <w:r w:rsidRPr="001160D6">
        <w:rPr>
          <w:lang w:val="es-AR"/>
        </w:rPr>
        <w:t xml:space="preserve">2 por ciento. </w:t>
      </w:r>
    </w:p>
    <w:p w14:paraId="464BE68A" w14:textId="6C66005C" w:rsidR="00DB1F86" w:rsidRPr="001160D6" w:rsidRDefault="00DB1F86" w:rsidP="00DB1F86">
      <w:pPr>
        <w:pStyle w:val="Heading1"/>
        <w:rPr>
          <w:lang w:val="es-AR"/>
        </w:rPr>
      </w:pPr>
      <w:r w:rsidRPr="001160D6">
        <w:rPr>
          <w:lang w:val="es-AR"/>
        </w:rPr>
        <w:t xml:space="preserve">La situación actual con respecto a </w:t>
      </w:r>
      <w:r w:rsidR="00944DE1" w:rsidRPr="001160D6">
        <w:rPr>
          <w:lang w:val="es-AR"/>
        </w:rPr>
        <w:t>los HFC</w:t>
      </w:r>
      <w:r w:rsidRPr="001160D6">
        <w:rPr>
          <w:lang w:val="es-AR"/>
        </w:rPr>
        <w:t xml:space="preserve"> es diferente de la de </w:t>
      </w:r>
      <w:r w:rsidR="007120E8" w:rsidRPr="001160D6">
        <w:rPr>
          <w:lang w:val="es-AR"/>
        </w:rPr>
        <w:t>los HCFC</w:t>
      </w:r>
      <w:r w:rsidRPr="001160D6">
        <w:rPr>
          <w:lang w:val="es-AR"/>
        </w:rPr>
        <w:t xml:space="preserve">. </w:t>
      </w:r>
      <w:r w:rsidR="00240A87" w:rsidRPr="001160D6">
        <w:rPr>
          <w:lang w:val="es-AR"/>
        </w:rPr>
        <w:t xml:space="preserve">Dado que </w:t>
      </w:r>
      <w:r w:rsidRPr="001160D6">
        <w:rPr>
          <w:lang w:val="es-AR"/>
        </w:rPr>
        <w:t xml:space="preserve">algunos países han comenzado a </w:t>
      </w:r>
      <w:r w:rsidR="00FF4D54" w:rsidRPr="001160D6">
        <w:rPr>
          <w:lang w:val="es-AR"/>
        </w:rPr>
        <w:t>inform</w:t>
      </w:r>
      <w:r w:rsidRPr="001160D6">
        <w:rPr>
          <w:lang w:val="es-AR"/>
        </w:rPr>
        <w:t xml:space="preserve">ar datos de consumo de HFC para 2019, no hay información </w:t>
      </w:r>
      <w:r w:rsidR="00240A87" w:rsidRPr="001160D6">
        <w:rPr>
          <w:lang w:val="es-AR"/>
        </w:rPr>
        <w:t xml:space="preserve">histórica </w:t>
      </w:r>
      <w:r w:rsidRPr="001160D6">
        <w:rPr>
          <w:lang w:val="es-AR"/>
        </w:rPr>
        <w:t>que apoy</w:t>
      </w:r>
      <w:r w:rsidR="00240A87" w:rsidRPr="001160D6">
        <w:rPr>
          <w:lang w:val="es-AR"/>
        </w:rPr>
        <w:t>e</w:t>
      </w:r>
      <w:r w:rsidRPr="001160D6">
        <w:rPr>
          <w:lang w:val="es-AR"/>
        </w:rPr>
        <w:t xml:space="preserve"> un aumento rápido o lento </w:t>
      </w:r>
      <w:r w:rsidR="00240A87" w:rsidRPr="001160D6">
        <w:rPr>
          <w:lang w:val="es-AR"/>
        </w:rPr>
        <w:t>del consumo</w:t>
      </w:r>
      <w:r w:rsidRPr="001160D6">
        <w:rPr>
          <w:lang w:val="es-AR"/>
        </w:rPr>
        <w:t xml:space="preserve"> de HFC. Parece haber una indicación </w:t>
      </w:r>
      <w:r w:rsidR="00240A87" w:rsidRPr="001160D6">
        <w:rPr>
          <w:lang w:val="es-AR"/>
        </w:rPr>
        <w:t xml:space="preserve">proveniente de </w:t>
      </w:r>
      <w:r w:rsidRPr="001160D6">
        <w:rPr>
          <w:lang w:val="es-AR"/>
        </w:rPr>
        <w:t>informa</w:t>
      </w:r>
      <w:r w:rsidR="00240A87" w:rsidRPr="001160D6">
        <w:rPr>
          <w:lang w:val="es-AR"/>
        </w:rPr>
        <w:t xml:space="preserve">ción </w:t>
      </w:r>
      <w:r w:rsidRPr="001160D6">
        <w:rPr>
          <w:lang w:val="es-AR"/>
        </w:rPr>
        <w:t>limitad</w:t>
      </w:r>
      <w:r w:rsidR="00240A87" w:rsidRPr="001160D6">
        <w:rPr>
          <w:lang w:val="es-AR"/>
        </w:rPr>
        <w:t>a</w:t>
      </w:r>
      <w:r w:rsidRPr="001160D6">
        <w:rPr>
          <w:lang w:val="es-AR"/>
        </w:rPr>
        <w:t xml:space="preserve"> </w:t>
      </w:r>
      <w:r w:rsidR="00240A87" w:rsidRPr="001160D6">
        <w:rPr>
          <w:lang w:val="es-AR"/>
        </w:rPr>
        <w:t>sobre el consumo</w:t>
      </w:r>
      <w:r w:rsidRPr="001160D6">
        <w:rPr>
          <w:lang w:val="es-AR"/>
        </w:rPr>
        <w:t xml:space="preserve"> de </w:t>
      </w:r>
      <w:r w:rsidR="00944DE1" w:rsidRPr="001160D6">
        <w:rPr>
          <w:lang w:val="es-AR"/>
        </w:rPr>
        <w:t>los HFC</w:t>
      </w:r>
      <w:r w:rsidR="00AE714B" w:rsidRPr="001160D6">
        <w:rPr>
          <w:lang w:val="es-AR"/>
        </w:rPr>
        <w:t>,</w:t>
      </w:r>
      <w:r w:rsidRPr="001160D6">
        <w:rPr>
          <w:lang w:val="es-AR"/>
        </w:rPr>
        <w:t xml:space="preserve"> </w:t>
      </w:r>
      <w:r w:rsidR="00240A87" w:rsidRPr="001160D6">
        <w:rPr>
          <w:lang w:val="es-AR"/>
        </w:rPr>
        <w:t xml:space="preserve">suministrada </w:t>
      </w:r>
      <w:r w:rsidRPr="001160D6">
        <w:rPr>
          <w:lang w:val="es-AR"/>
        </w:rPr>
        <w:t xml:space="preserve">en algunos planes de gestión de eliminación de </w:t>
      </w:r>
      <w:r w:rsidR="007120E8" w:rsidRPr="001160D6">
        <w:rPr>
          <w:lang w:val="es-AR"/>
        </w:rPr>
        <w:t>los HCFC</w:t>
      </w:r>
      <w:r w:rsidRPr="001160D6">
        <w:rPr>
          <w:lang w:val="es-AR"/>
        </w:rPr>
        <w:t xml:space="preserve"> </w:t>
      </w:r>
      <w:r w:rsidR="00240A87" w:rsidRPr="001160D6">
        <w:rPr>
          <w:lang w:val="es-AR"/>
        </w:rPr>
        <w:t xml:space="preserve">que están </w:t>
      </w:r>
      <w:r w:rsidRPr="001160D6">
        <w:rPr>
          <w:lang w:val="es-AR"/>
        </w:rPr>
        <w:t xml:space="preserve">en ejecución, </w:t>
      </w:r>
      <w:proofErr w:type="gramStart"/>
      <w:r w:rsidRPr="001160D6">
        <w:rPr>
          <w:lang w:val="es-AR"/>
        </w:rPr>
        <w:t>que</w:t>
      </w:r>
      <w:proofErr w:type="gramEnd"/>
      <w:r w:rsidRPr="001160D6">
        <w:rPr>
          <w:lang w:val="es-AR"/>
        </w:rPr>
        <w:t xml:space="preserve"> </w:t>
      </w:r>
      <w:r w:rsidR="00240A87" w:rsidRPr="001160D6">
        <w:rPr>
          <w:lang w:val="es-AR"/>
        </w:rPr>
        <w:t xml:space="preserve">en </w:t>
      </w:r>
      <w:r w:rsidRPr="001160D6">
        <w:rPr>
          <w:lang w:val="es-AR"/>
        </w:rPr>
        <w:t xml:space="preserve">ciertos usos </w:t>
      </w:r>
      <w:r w:rsidR="007120E8" w:rsidRPr="001160D6">
        <w:rPr>
          <w:lang w:val="es-AR"/>
        </w:rPr>
        <w:t xml:space="preserve">de </w:t>
      </w:r>
      <w:r w:rsidR="00240A87" w:rsidRPr="001160D6">
        <w:rPr>
          <w:lang w:val="es-AR"/>
        </w:rPr>
        <w:t>acondicionamiento de aire</w:t>
      </w:r>
      <w:r w:rsidRPr="001160D6">
        <w:rPr>
          <w:lang w:val="es-AR"/>
        </w:rPr>
        <w:t xml:space="preserve">, </w:t>
      </w:r>
      <w:r w:rsidR="00240A87" w:rsidRPr="001160D6">
        <w:rPr>
          <w:lang w:val="es-AR"/>
        </w:rPr>
        <w:t xml:space="preserve">está aumentando </w:t>
      </w:r>
      <w:r w:rsidRPr="001160D6">
        <w:rPr>
          <w:lang w:val="es-AR"/>
        </w:rPr>
        <w:t xml:space="preserve">la demanda </w:t>
      </w:r>
      <w:r w:rsidR="00AE714B" w:rsidRPr="001160D6">
        <w:rPr>
          <w:lang w:val="es-AR"/>
        </w:rPr>
        <w:t xml:space="preserve">de </w:t>
      </w:r>
      <w:r w:rsidRPr="001160D6">
        <w:rPr>
          <w:lang w:val="es-AR"/>
        </w:rPr>
        <w:t>HFC (</w:t>
      </w:r>
      <w:r w:rsidR="009A618F" w:rsidRPr="001160D6">
        <w:rPr>
          <w:lang w:val="es-AR"/>
        </w:rPr>
        <w:t xml:space="preserve">por ej., </w:t>
      </w:r>
      <w:r w:rsidRPr="001160D6">
        <w:rPr>
          <w:lang w:val="es-AR"/>
        </w:rPr>
        <w:t>R-410A y</w:t>
      </w:r>
      <w:r w:rsidR="00240A87" w:rsidRPr="001160D6">
        <w:rPr>
          <w:lang w:val="es-AR"/>
        </w:rPr>
        <w:t>,</w:t>
      </w:r>
      <w:r w:rsidRPr="001160D6">
        <w:rPr>
          <w:lang w:val="es-AR"/>
        </w:rPr>
        <w:t xml:space="preserve"> más recientemente</w:t>
      </w:r>
      <w:r w:rsidR="00240A87" w:rsidRPr="001160D6">
        <w:rPr>
          <w:lang w:val="es-AR"/>
        </w:rPr>
        <w:t>,</w:t>
      </w:r>
      <w:r w:rsidRPr="001160D6">
        <w:rPr>
          <w:lang w:val="es-AR"/>
        </w:rPr>
        <w:t xml:space="preserve"> HFC-32 en la fabricación </w:t>
      </w:r>
      <w:r w:rsidR="00240A87" w:rsidRPr="001160D6">
        <w:rPr>
          <w:lang w:val="es-AR"/>
        </w:rPr>
        <w:t xml:space="preserve">de equipos de climatización </w:t>
      </w:r>
      <w:r w:rsidRPr="001160D6">
        <w:rPr>
          <w:lang w:val="es-AR"/>
        </w:rPr>
        <w:t xml:space="preserve">residencial), </w:t>
      </w:r>
      <w:r w:rsidR="007120E8" w:rsidRPr="001160D6">
        <w:rPr>
          <w:lang w:val="es-AR"/>
        </w:rPr>
        <w:t>si bien</w:t>
      </w:r>
      <w:r w:rsidRPr="001160D6">
        <w:rPr>
          <w:lang w:val="es-AR"/>
        </w:rPr>
        <w:t xml:space="preserve"> el uso de otro</w:t>
      </w:r>
      <w:r w:rsidR="00240A87" w:rsidRPr="001160D6">
        <w:rPr>
          <w:lang w:val="es-AR"/>
        </w:rPr>
        <w:t>s</w:t>
      </w:r>
      <w:r w:rsidRPr="001160D6">
        <w:rPr>
          <w:lang w:val="es-AR"/>
        </w:rPr>
        <w:t xml:space="preserve"> </w:t>
      </w:r>
      <w:r w:rsidR="00944DE1" w:rsidRPr="001160D6">
        <w:rPr>
          <w:lang w:val="es-AR"/>
        </w:rPr>
        <w:t>HFC</w:t>
      </w:r>
      <w:r w:rsidRPr="001160D6">
        <w:rPr>
          <w:lang w:val="es-AR"/>
        </w:rPr>
        <w:t xml:space="preserve"> </w:t>
      </w:r>
      <w:r w:rsidR="00240A87" w:rsidRPr="001160D6">
        <w:rPr>
          <w:lang w:val="es-AR"/>
        </w:rPr>
        <w:t xml:space="preserve">disminuye </w:t>
      </w:r>
      <w:r w:rsidRPr="001160D6">
        <w:rPr>
          <w:lang w:val="es-AR"/>
        </w:rPr>
        <w:t xml:space="preserve">en otros usos </w:t>
      </w:r>
      <w:r w:rsidR="00240A87" w:rsidRPr="001160D6">
        <w:rPr>
          <w:lang w:val="es-AR"/>
        </w:rPr>
        <w:t>de refrigeración y climatización</w:t>
      </w:r>
      <w:r w:rsidRPr="001160D6">
        <w:rPr>
          <w:lang w:val="es-AR"/>
        </w:rPr>
        <w:t xml:space="preserve">. </w:t>
      </w:r>
      <w:r w:rsidR="00240A87" w:rsidRPr="001160D6">
        <w:rPr>
          <w:lang w:val="es-AR"/>
        </w:rPr>
        <w:t>Además</w:t>
      </w:r>
      <w:r w:rsidRPr="001160D6">
        <w:rPr>
          <w:lang w:val="es-AR"/>
        </w:rPr>
        <w:t xml:space="preserve">, porque </w:t>
      </w:r>
      <w:r w:rsidR="007120E8" w:rsidRPr="001160D6">
        <w:rPr>
          <w:lang w:val="es-AR"/>
        </w:rPr>
        <w:t>sólo</w:t>
      </w:r>
      <w:r w:rsidRPr="001160D6">
        <w:rPr>
          <w:lang w:val="es-AR"/>
        </w:rPr>
        <w:t xml:space="preserve"> </w:t>
      </w:r>
      <w:r w:rsidR="00240A87" w:rsidRPr="001160D6">
        <w:rPr>
          <w:lang w:val="es-AR"/>
        </w:rPr>
        <w:t xml:space="preserve">hay </w:t>
      </w:r>
      <w:r w:rsidRPr="001160D6">
        <w:rPr>
          <w:lang w:val="es-AR"/>
        </w:rPr>
        <w:t xml:space="preserve">un año entre los años </w:t>
      </w:r>
      <w:r w:rsidR="000111F6" w:rsidRPr="001160D6">
        <w:rPr>
          <w:lang w:val="es-AR"/>
        </w:rPr>
        <w:t xml:space="preserve">utilizados </w:t>
      </w:r>
      <w:r w:rsidRPr="001160D6">
        <w:rPr>
          <w:lang w:val="es-AR"/>
        </w:rPr>
        <w:t xml:space="preserve">para establecer la </w:t>
      </w:r>
      <w:r w:rsidR="00FF4D54" w:rsidRPr="001160D6">
        <w:rPr>
          <w:lang w:val="es-AR"/>
        </w:rPr>
        <w:t>base</w:t>
      </w:r>
      <w:r w:rsidR="000111F6" w:rsidRPr="001160D6">
        <w:rPr>
          <w:lang w:val="es-AR"/>
        </w:rPr>
        <w:t xml:space="preserve"> de referencia</w:t>
      </w:r>
      <w:r w:rsidRPr="001160D6">
        <w:rPr>
          <w:lang w:val="es-AR"/>
        </w:rPr>
        <w:t xml:space="preserve"> y la primera </w:t>
      </w:r>
      <w:r w:rsidR="000111F6" w:rsidRPr="001160D6">
        <w:rPr>
          <w:lang w:val="es-AR"/>
        </w:rPr>
        <w:t>medida de control</w:t>
      </w:r>
      <w:r w:rsidRPr="001160D6">
        <w:rPr>
          <w:lang w:val="es-AR"/>
        </w:rPr>
        <w:t xml:space="preserve">, el crecimiento del consumo de HFC sin </w:t>
      </w:r>
      <w:r w:rsidR="00FF4D54" w:rsidRPr="001160D6">
        <w:rPr>
          <w:lang w:val="es-AR"/>
        </w:rPr>
        <w:t>medidas de control</w:t>
      </w:r>
      <w:r w:rsidRPr="001160D6">
        <w:rPr>
          <w:lang w:val="es-AR"/>
        </w:rPr>
        <w:t xml:space="preserve"> podría ocurrir </w:t>
      </w:r>
      <w:r w:rsidR="006E2A69" w:rsidRPr="001160D6">
        <w:rPr>
          <w:lang w:val="es-AR"/>
        </w:rPr>
        <w:t xml:space="preserve">durante </w:t>
      </w:r>
      <w:r w:rsidRPr="001160D6">
        <w:rPr>
          <w:lang w:val="es-AR"/>
        </w:rPr>
        <w:t>un año</w:t>
      </w:r>
      <w:r w:rsidR="000111F6" w:rsidRPr="001160D6">
        <w:rPr>
          <w:lang w:val="es-AR"/>
        </w:rPr>
        <w:t xml:space="preserve"> únicamente</w:t>
      </w:r>
      <w:r w:rsidRPr="001160D6">
        <w:rPr>
          <w:lang w:val="es-AR"/>
        </w:rPr>
        <w:t xml:space="preserve">, </w:t>
      </w:r>
      <w:r w:rsidR="000111F6" w:rsidRPr="001160D6">
        <w:rPr>
          <w:lang w:val="es-AR"/>
        </w:rPr>
        <w:t xml:space="preserve">comparado con </w:t>
      </w:r>
      <w:r w:rsidRPr="001160D6">
        <w:rPr>
          <w:lang w:val="es-AR"/>
        </w:rPr>
        <w:t>los dos años</w:t>
      </w:r>
      <w:r w:rsidR="00AE714B" w:rsidRPr="001160D6">
        <w:rPr>
          <w:lang w:val="es-AR"/>
        </w:rPr>
        <w:t xml:space="preserve"> que hubo</w:t>
      </w:r>
      <w:r w:rsidRPr="001160D6">
        <w:rPr>
          <w:lang w:val="es-AR"/>
        </w:rPr>
        <w:t xml:space="preserve"> para </w:t>
      </w:r>
      <w:r w:rsidR="007120E8" w:rsidRPr="001160D6">
        <w:rPr>
          <w:lang w:val="es-AR"/>
        </w:rPr>
        <w:t>los HCFC</w:t>
      </w:r>
      <w:r w:rsidRPr="001160D6">
        <w:rPr>
          <w:lang w:val="es-AR"/>
        </w:rPr>
        <w:t xml:space="preserve">. Además, la </w:t>
      </w:r>
      <w:r w:rsidR="001D29D0" w:rsidRPr="001160D6">
        <w:rPr>
          <w:lang w:val="es-AR"/>
        </w:rPr>
        <w:t>base de referencia del consumo</w:t>
      </w:r>
      <w:r w:rsidRPr="001160D6">
        <w:rPr>
          <w:lang w:val="es-AR"/>
        </w:rPr>
        <w:t xml:space="preserve"> de HFC para los países del </w:t>
      </w:r>
      <w:r w:rsidR="007120E8" w:rsidRPr="001160D6">
        <w:rPr>
          <w:lang w:val="es-AR"/>
        </w:rPr>
        <w:t>Artículo</w:t>
      </w:r>
      <w:r w:rsidRPr="001160D6">
        <w:rPr>
          <w:lang w:val="es-AR"/>
        </w:rPr>
        <w:t xml:space="preserve"> 5 incluirá </w:t>
      </w:r>
      <w:r w:rsidR="000111F6" w:rsidRPr="001160D6">
        <w:rPr>
          <w:lang w:val="es-AR"/>
        </w:rPr>
        <w:t xml:space="preserve">también </w:t>
      </w:r>
      <w:r w:rsidRPr="001160D6">
        <w:rPr>
          <w:lang w:val="es-AR"/>
        </w:rPr>
        <w:t>el 65 por ciento </w:t>
      </w:r>
      <w:r w:rsidR="000111F6" w:rsidRPr="001160D6">
        <w:rPr>
          <w:lang w:val="es-AR"/>
        </w:rPr>
        <w:t>de la base de referencia de los HCFC para el consumo</w:t>
      </w:r>
      <w:r w:rsidRPr="001160D6">
        <w:rPr>
          <w:lang w:val="es-AR"/>
        </w:rPr>
        <w:t xml:space="preserve"> (en toneladas </w:t>
      </w:r>
      <w:r w:rsidR="000111F6" w:rsidRPr="001160D6">
        <w:rPr>
          <w:lang w:val="es-AR"/>
        </w:rPr>
        <w:t xml:space="preserve">de </w:t>
      </w:r>
      <w:r w:rsidR="000111F6" w:rsidRPr="001160D6">
        <w:rPr>
          <w:lang w:val="es-MX"/>
        </w:rPr>
        <w:t>CO</w:t>
      </w:r>
      <w:r w:rsidR="000111F6" w:rsidRPr="001160D6">
        <w:rPr>
          <w:vertAlign w:val="subscript"/>
          <w:lang w:val="es-MX"/>
        </w:rPr>
        <w:t xml:space="preserve">2 </w:t>
      </w:r>
      <w:r w:rsidRPr="001160D6">
        <w:rPr>
          <w:lang w:val="es-AR"/>
        </w:rPr>
        <w:t xml:space="preserve">equivalentes). Este valor proporciona </w:t>
      </w:r>
      <w:r w:rsidR="006E2A69" w:rsidRPr="001160D6">
        <w:rPr>
          <w:lang w:val="es-AR"/>
        </w:rPr>
        <w:t xml:space="preserve">efectivamente </w:t>
      </w:r>
      <w:r w:rsidRPr="001160D6">
        <w:rPr>
          <w:lang w:val="es-AR"/>
        </w:rPr>
        <w:t xml:space="preserve">un intermedio que permitiría </w:t>
      </w:r>
      <w:r w:rsidR="000D7070" w:rsidRPr="001160D6">
        <w:rPr>
          <w:lang w:val="es-AR"/>
        </w:rPr>
        <w:t xml:space="preserve">a algunos </w:t>
      </w:r>
      <w:r w:rsidR="008335F5" w:rsidRPr="001160D6">
        <w:rPr>
          <w:lang w:val="es-AR"/>
        </w:rPr>
        <w:t>países del Artículo 5</w:t>
      </w:r>
      <w:r w:rsidRPr="001160D6">
        <w:rPr>
          <w:lang w:val="es-AR"/>
        </w:rPr>
        <w:t> </w:t>
      </w:r>
      <w:r w:rsidR="000D7070" w:rsidRPr="001160D6">
        <w:rPr>
          <w:lang w:val="es-AR"/>
        </w:rPr>
        <w:t xml:space="preserve">seguir estando </w:t>
      </w:r>
      <w:r w:rsidRPr="001160D6">
        <w:rPr>
          <w:lang w:val="es-AR"/>
        </w:rPr>
        <w:t xml:space="preserve">en </w:t>
      </w:r>
      <w:r w:rsidR="00CE031A" w:rsidRPr="001160D6">
        <w:rPr>
          <w:lang w:val="es-AR"/>
        </w:rPr>
        <w:t>cumplimiento</w:t>
      </w:r>
      <w:r w:rsidR="006E2A69" w:rsidRPr="001160D6">
        <w:rPr>
          <w:lang w:val="es-AR"/>
        </w:rPr>
        <w:t xml:space="preserve"> provisionalmente</w:t>
      </w:r>
      <w:r w:rsidR="00AE714B" w:rsidRPr="001160D6">
        <w:rPr>
          <w:lang w:val="es-AR"/>
        </w:rPr>
        <w:t>,</w:t>
      </w:r>
      <w:r w:rsidRPr="001160D6">
        <w:rPr>
          <w:lang w:val="es-AR"/>
        </w:rPr>
        <w:t xml:space="preserve"> a pesar de</w:t>
      </w:r>
      <w:r w:rsidR="000D7070" w:rsidRPr="001160D6">
        <w:rPr>
          <w:lang w:val="es-AR"/>
        </w:rPr>
        <w:t>l</w:t>
      </w:r>
      <w:r w:rsidRPr="001160D6">
        <w:rPr>
          <w:lang w:val="es-AR"/>
        </w:rPr>
        <w:t xml:space="preserve"> continuo </w:t>
      </w:r>
      <w:r w:rsidR="000D7070" w:rsidRPr="001160D6">
        <w:rPr>
          <w:lang w:val="es-AR"/>
        </w:rPr>
        <w:t xml:space="preserve">crecimiento </w:t>
      </w:r>
      <w:r w:rsidRPr="001160D6">
        <w:rPr>
          <w:lang w:val="es-AR"/>
        </w:rPr>
        <w:t>del consumo de HFC.</w:t>
      </w:r>
    </w:p>
    <w:p w14:paraId="68D80DE1" w14:textId="302736CF" w:rsidR="00DB1F86" w:rsidRPr="001160D6" w:rsidRDefault="00DB1F86" w:rsidP="00DB1F86">
      <w:pPr>
        <w:pStyle w:val="Heading1"/>
        <w:rPr>
          <w:lang w:val="es-AR"/>
        </w:rPr>
      </w:pPr>
      <w:r w:rsidRPr="001160D6">
        <w:rPr>
          <w:lang w:val="es-AR"/>
        </w:rPr>
        <w:t xml:space="preserve">Para </w:t>
      </w:r>
      <w:r w:rsidR="000D7070" w:rsidRPr="001160D6">
        <w:rPr>
          <w:lang w:val="es-AR"/>
        </w:rPr>
        <w:t xml:space="preserve">comprender </w:t>
      </w:r>
      <w:r w:rsidRPr="001160D6">
        <w:rPr>
          <w:lang w:val="es-AR"/>
        </w:rPr>
        <w:t xml:space="preserve">mejor </w:t>
      </w:r>
      <w:r w:rsidR="000D7070" w:rsidRPr="001160D6">
        <w:rPr>
          <w:lang w:val="es-AR"/>
        </w:rPr>
        <w:t xml:space="preserve">lo </w:t>
      </w:r>
      <w:r w:rsidRPr="001160D6">
        <w:rPr>
          <w:lang w:val="es-AR"/>
        </w:rPr>
        <w:t xml:space="preserve">antedicho, la </w:t>
      </w:r>
      <w:r w:rsidR="00FF4D54" w:rsidRPr="001160D6">
        <w:rPr>
          <w:lang w:val="es-AR"/>
        </w:rPr>
        <w:t>Secretaría</w:t>
      </w:r>
      <w:r w:rsidRPr="001160D6">
        <w:rPr>
          <w:lang w:val="es-AR"/>
        </w:rPr>
        <w:t xml:space="preserve"> desarrolló </w:t>
      </w:r>
      <w:r w:rsidR="000D7070" w:rsidRPr="001160D6">
        <w:rPr>
          <w:lang w:val="es-AR"/>
        </w:rPr>
        <w:t>un</w:t>
      </w:r>
      <w:r w:rsidRPr="001160D6">
        <w:rPr>
          <w:lang w:val="es-AR"/>
        </w:rPr>
        <w:t xml:space="preserve"> </w:t>
      </w:r>
      <w:r w:rsidR="000D7070" w:rsidRPr="001160D6">
        <w:rPr>
          <w:lang w:val="es-AR"/>
        </w:rPr>
        <w:t xml:space="preserve">(simple) </w:t>
      </w:r>
      <w:r w:rsidRPr="001160D6">
        <w:rPr>
          <w:lang w:val="es-AR"/>
        </w:rPr>
        <w:t xml:space="preserve">modelo usando el </w:t>
      </w:r>
      <w:r w:rsidR="000D7070" w:rsidRPr="001160D6">
        <w:rPr>
          <w:lang w:val="es-AR"/>
        </w:rPr>
        <w:t>consumo de 20</w:t>
      </w:r>
      <w:r w:rsidRPr="001160D6">
        <w:rPr>
          <w:lang w:val="es-AR"/>
        </w:rPr>
        <w:t xml:space="preserve">19 de </w:t>
      </w:r>
      <w:r w:rsidR="00944DE1" w:rsidRPr="001160D6">
        <w:rPr>
          <w:lang w:val="es-AR"/>
        </w:rPr>
        <w:t>los HFC</w:t>
      </w:r>
      <w:r w:rsidRPr="001160D6">
        <w:rPr>
          <w:lang w:val="es-AR"/>
        </w:rPr>
        <w:t xml:space="preserve"> de 91 países del </w:t>
      </w:r>
      <w:r w:rsidR="007120E8" w:rsidRPr="001160D6">
        <w:rPr>
          <w:lang w:val="es-AR"/>
        </w:rPr>
        <w:t>Artículo</w:t>
      </w:r>
      <w:r w:rsidRPr="001160D6">
        <w:rPr>
          <w:lang w:val="es-AR"/>
        </w:rPr>
        <w:t xml:space="preserve"> 5</w:t>
      </w:r>
      <w:r w:rsidR="00F01CB7" w:rsidRPr="001160D6">
        <w:rPr>
          <w:lang w:val="es-AR"/>
        </w:rPr>
        <w:t>,</w:t>
      </w:r>
      <w:r w:rsidRPr="001160D6">
        <w:rPr>
          <w:lang w:val="es-AR"/>
        </w:rPr>
        <w:t xml:space="preserve"> </w:t>
      </w:r>
      <w:r w:rsidR="00FF4D54" w:rsidRPr="001160D6">
        <w:rPr>
          <w:lang w:val="es-AR"/>
        </w:rPr>
        <w:t>inform</w:t>
      </w:r>
      <w:r w:rsidRPr="001160D6">
        <w:rPr>
          <w:lang w:val="es-AR"/>
        </w:rPr>
        <w:t xml:space="preserve">ado </w:t>
      </w:r>
      <w:r w:rsidR="007120E8" w:rsidRPr="001160D6">
        <w:rPr>
          <w:lang w:val="es-AR"/>
        </w:rPr>
        <w:t>en virtud del Artículo</w:t>
      </w:r>
      <w:r w:rsidRPr="001160D6">
        <w:rPr>
          <w:lang w:val="es-AR"/>
        </w:rPr>
        <w:t xml:space="preserve"> 7 del </w:t>
      </w:r>
      <w:r w:rsidR="007120E8" w:rsidRPr="001160D6">
        <w:rPr>
          <w:lang w:val="es-AR"/>
        </w:rPr>
        <w:t>Protocolo</w:t>
      </w:r>
      <w:r w:rsidRPr="001160D6">
        <w:rPr>
          <w:lang w:val="es-AR"/>
        </w:rPr>
        <w:t xml:space="preserve"> o </w:t>
      </w:r>
      <w:r w:rsidR="000D7070" w:rsidRPr="001160D6">
        <w:rPr>
          <w:lang w:val="es-AR"/>
        </w:rPr>
        <w:t xml:space="preserve">en los </w:t>
      </w:r>
      <w:r w:rsidRPr="001160D6">
        <w:rPr>
          <w:lang w:val="es-AR"/>
        </w:rPr>
        <w:t xml:space="preserve">informes de </w:t>
      </w:r>
      <w:r w:rsidR="00FF4D54" w:rsidRPr="001160D6">
        <w:rPr>
          <w:lang w:val="es-AR"/>
        </w:rPr>
        <w:t>ejecución del programa</w:t>
      </w:r>
      <w:r w:rsidRPr="001160D6">
        <w:rPr>
          <w:lang w:val="es-AR"/>
        </w:rPr>
        <w:t xml:space="preserve"> de país, </w:t>
      </w:r>
      <w:r w:rsidR="003B2737" w:rsidRPr="001160D6">
        <w:rPr>
          <w:lang w:val="es-AR"/>
        </w:rPr>
        <w:t xml:space="preserve">que </w:t>
      </w:r>
      <w:r w:rsidRPr="001160D6">
        <w:rPr>
          <w:lang w:val="es-AR"/>
        </w:rPr>
        <w:t>previ</w:t>
      </w:r>
      <w:r w:rsidR="003B2737" w:rsidRPr="001160D6">
        <w:rPr>
          <w:lang w:val="es-AR"/>
        </w:rPr>
        <w:t>ó</w:t>
      </w:r>
      <w:r w:rsidRPr="001160D6">
        <w:rPr>
          <w:lang w:val="es-AR"/>
        </w:rPr>
        <w:t xml:space="preserve"> el consumo </w:t>
      </w:r>
      <w:r w:rsidR="003B2737" w:rsidRPr="001160D6">
        <w:rPr>
          <w:lang w:val="es-AR"/>
        </w:rPr>
        <w:t xml:space="preserve">desde </w:t>
      </w:r>
      <w:r w:rsidRPr="001160D6">
        <w:rPr>
          <w:lang w:val="es-AR"/>
        </w:rPr>
        <w:t xml:space="preserve">2019 </w:t>
      </w:r>
      <w:r w:rsidR="003B2737" w:rsidRPr="001160D6">
        <w:rPr>
          <w:lang w:val="es-AR"/>
        </w:rPr>
        <w:t>hast</w:t>
      </w:r>
      <w:r w:rsidRPr="001160D6">
        <w:rPr>
          <w:lang w:val="es-AR"/>
        </w:rPr>
        <w:t>a 2024 u</w:t>
      </w:r>
      <w:r w:rsidR="003B2737" w:rsidRPr="001160D6">
        <w:rPr>
          <w:lang w:val="es-AR"/>
        </w:rPr>
        <w:t xml:space="preserve">tilizando </w:t>
      </w:r>
      <w:r w:rsidR="00240A87" w:rsidRPr="001160D6">
        <w:rPr>
          <w:lang w:val="es-AR"/>
        </w:rPr>
        <w:t xml:space="preserve">índices </w:t>
      </w:r>
      <w:r w:rsidRPr="001160D6">
        <w:rPr>
          <w:lang w:val="es-AR"/>
        </w:rPr>
        <w:t xml:space="preserve">de crecimiento anual del 3 por ciento (basado en el crecimiento anual real del </w:t>
      </w:r>
      <w:r w:rsidR="007120E8" w:rsidRPr="001160D6">
        <w:rPr>
          <w:lang w:val="es-AR"/>
        </w:rPr>
        <w:t>2,8</w:t>
      </w:r>
      <w:r w:rsidRPr="001160D6">
        <w:rPr>
          <w:lang w:val="es-AR"/>
        </w:rPr>
        <w:t xml:space="preserve">2 por ciento </w:t>
      </w:r>
      <w:r w:rsidR="00240A87" w:rsidRPr="001160D6">
        <w:rPr>
          <w:lang w:val="es-AR"/>
        </w:rPr>
        <w:t>del consumo</w:t>
      </w:r>
      <w:r w:rsidR="00832BBD" w:rsidRPr="001160D6">
        <w:rPr>
          <w:lang w:val="es-AR"/>
        </w:rPr>
        <w:t xml:space="preserve"> de HCFC </w:t>
      </w:r>
      <w:r w:rsidRPr="001160D6">
        <w:rPr>
          <w:lang w:val="es-AR"/>
        </w:rPr>
        <w:t xml:space="preserve">entre los años de la </w:t>
      </w:r>
      <w:r w:rsidR="00FF4D54" w:rsidRPr="001160D6">
        <w:rPr>
          <w:lang w:val="es-AR"/>
        </w:rPr>
        <w:t>base</w:t>
      </w:r>
      <w:r w:rsidR="003B2737" w:rsidRPr="001160D6">
        <w:rPr>
          <w:lang w:val="es-AR"/>
        </w:rPr>
        <w:t xml:space="preserve"> de referencia</w:t>
      </w:r>
      <w:r w:rsidRPr="001160D6">
        <w:rPr>
          <w:lang w:val="es-AR"/>
        </w:rPr>
        <w:t xml:space="preserve"> y la primera </w:t>
      </w:r>
      <w:r w:rsidR="000111F6" w:rsidRPr="001160D6">
        <w:rPr>
          <w:lang w:val="es-AR"/>
        </w:rPr>
        <w:t>medida de control</w:t>
      </w:r>
      <w:r w:rsidRPr="001160D6">
        <w:rPr>
          <w:lang w:val="es-AR"/>
        </w:rPr>
        <w:t xml:space="preserve">) y 10 </w:t>
      </w:r>
      <w:r w:rsidRPr="001160D6">
        <w:rPr>
          <w:lang w:val="es-AR"/>
        </w:rPr>
        <w:lastRenderedPageBreak/>
        <w:t>por ciento, y calcul</w:t>
      </w:r>
      <w:r w:rsidR="003B2737" w:rsidRPr="001160D6">
        <w:rPr>
          <w:lang w:val="es-AR"/>
        </w:rPr>
        <w:t>ó</w:t>
      </w:r>
      <w:r w:rsidRPr="001160D6">
        <w:rPr>
          <w:lang w:val="es-AR"/>
        </w:rPr>
        <w:t xml:space="preserve"> la base </w:t>
      </w:r>
      <w:r w:rsidR="003B2737" w:rsidRPr="001160D6">
        <w:rPr>
          <w:lang w:val="es-AR"/>
        </w:rPr>
        <w:t xml:space="preserve">de referencia </w:t>
      </w:r>
      <w:r w:rsidR="00F01CB7" w:rsidRPr="001160D6">
        <w:rPr>
          <w:lang w:val="es-AR"/>
        </w:rPr>
        <w:t xml:space="preserve">estimada de los HFC </w:t>
      </w:r>
      <w:r w:rsidRPr="001160D6">
        <w:rPr>
          <w:lang w:val="es-AR"/>
        </w:rPr>
        <w:t>para el cumplimiento (</w:t>
      </w:r>
      <w:r w:rsidR="003B2737" w:rsidRPr="001160D6">
        <w:rPr>
          <w:lang w:val="es-AR"/>
        </w:rPr>
        <w:t>inclusive e</w:t>
      </w:r>
      <w:r w:rsidR="00F01CB7" w:rsidRPr="001160D6">
        <w:rPr>
          <w:lang w:val="es-AR"/>
        </w:rPr>
        <w:t>l</w:t>
      </w:r>
      <w:r w:rsidR="003B2737" w:rsidRPr="001160D6">
        <w:rPr>
          <w:lang w:val="es-AR"/>
        </w:rPr>
        <w:t xml:space="preserve"> </w:t>
      </w:r>
      <w:r w:rsidRPr="001160D6">
        <w:rPr>
          <w:lang w:val="es-AR"/>
        </w:rPr>
        <w:t>componente</w:t>
      </w:r>
      <w:r w:rsidR="003B2737" w:rsidRPr="001160D6">
        <w:rPr>
          <w:lang w:val="es-AR"/>
        </w:rPr>
        <w:t xml:space="preserve"> de HCFC</w:t>
      </w:r>
      <w:r w:rsidRPr="001160D6">
        <w:rPr>
          <w:lang w:val="es-AR"/>
        </w:rPr>
        <w:t>).</w:t>
      </w:r>
      <w:r w:rsidRPr="001160D6">
        <w:rPr>
          <w:rStyle w:val="FootnoteReference"/>
          <w:lang w:val="es-AR"/>
        </w:rPr>
        <w:footnoteReference w:id="26"/>
      </w:r>
      <w:r w:rsidRPr="001160D6">
        <w:rPr>
          <w:lang w:val="es-AR"/>
        </w:rPr>
        <w:t xml:space="preserve"> </w:t>
      </w:r>
    </w:p>
    <w:p w14:paraId="43995119" w14:textId="65214231" w:rsidR="00DB1F86" w:rsidRPr="001160D6" w:rsidRDefault="00DB1F86" w:rsidP="00DB1F86">
      <w:pPr>
        <w:pStyle w:val="Heading1"/>
        <w:rPr>
          <w:lang w:val="es-AR"/>
        </w:rPr>
      </w:pPr>
      <w:r w:rsidRPr="001160D6">
        <w:rPr>
          <w:lang w:val="es-AR"/>
        </w:rPr>
        <w:t xml:space="preserve">De acuerdo con este modelo, siete de los 91 países del </w:t>
      </w:r>
      <w:r w:rsidR="007120E8" w:rsidRPr="001160D6">
        <w:rPr>
          <w:lang w:val="es-AR"/>
        </w:rPr>
        <w:t>Artículo</w:t>
      </w:r>
      <w:r w:rsidRPr="001160D6">
        <w:rPr>
          <w:lang w:val="es-AR"/>
        </w:rPr>
        <w:t xml:space="preserve"> 5 </w:t>
      </w:r>
      <w:r w:rsidR="003B2737" w:rsidRPr="001160D6">
        <w:rPr>
          <w:lang w:val="es-AR"/>
        </w:rPr>
        <w:t xml:space="preserve">podrían estar en peligro </w:t>
      </w:r>
      <w:r w:rsidRPr="001160D6">
        <w:rPr>
          <w:lang w:val="es-AR"/>
        </w:rPr>
        <w:t xml:space="preserve">de </w:t>
      </w:r>
      <w:r w:rsidR="00446359" w:rsidRPr="001160D6">
        <w:rPr>
          <w:lang w:val="es-AR"/>
        </w:rPr>
        <w:t>incumplimiento</w:t>
      </w:r>
      <w:r w:rsidRPr="001160D6">
        <w:rPr>
          <w:lang w:val="es-AR"/>
        </w:rPr>
        <w:t xml:space="preserve"> con sus obligaciones iniciales en 2024</w:t>
      </w:r>
      <w:r w:rsidR="00446359" w:rsidRPr="001160D6">
        <w:rPr>
          <w:lang w:val="es-AR"/>
        </w:rPr>
        <w:t>,</w:t>
      </w:r>
      <w:r w:rsidRPr="001160D6">
        <w:rPr>
          <w:lang w:val="es-AR"/>
        </w:rPr>
        <w:t xml:space="preserve"> </w:t>
      </w:r>
      <w:r w:rsidR="00F01CB7" w:rsidRPr="001160D6">
        <w:rPr>
          <w:lang w:val="es-AR"/>
        </w:rPr>
        <w:t xml:space="preserve">de no ejecutarse </w:t>
      </w:r>
      <w:r w:rsidR="00446359" w:rsidRPr="001160D6">
        <w:rPr>
          <w:lang w:val="es-AR"/>
        </w:rPr>
        <w:t>inmediatamente</w:t>
      </w:r>
      <w:r w:rsidRPr="001160D6">
        <w:rPr>
          <w:lang w:val="es-AR"/>
        </w:rPr>
        <w:t xml:space="preserve"> ninguna </w:t>
      </w:r>
      <w:r w:rsidR="00446359" w:rsidRPr="001160D6">
        <w:rPr>
          <w:lang w:val="es-AR"/>
        </w:rPr>
        <w:t xml:space="preserve">medida de </w:t>
      </w:r>
      <w:r w:rsidR="008820C8" w:rsidRPr="001160D6">
        <w:rPr>
          <w:lang w:val="es-AR"/>
        </w:rPr>
        <w:t>reducción</w:t>
      </w:r>
      <w:r w:rsidRPr="001160D6">
        <w:rPr>
          <w:lang w:val="es-AR"/>
        </w:rPr>
        <w:t xml:space="preserve">; </w:t>
      </w:r>
      <w:r w:rsidR="00446359" w:rsidRPr="001160D6">
        <w:rPr>
          <w:lang w:val="es-AR"/>
        </w:rPr>
        <w:t>no obstante</w:t>
      </w:r>
      <w:r w:rsidRPr="001160D6">
        <w:rPr>
          <w:lang w:val="es-AR"/>
        </w:rPr>
        <w:t xml:space="preserve">, a </w:t>
      </w:r>
      <w:r w:rsidR="00240A87" w:rsidRPr="001160D6">
        <w:rPr>
          <w:lang w:val="es-AR"/>
        </w:rPr>
        <w:t>un índice</w:t>
      </w:r>
      <w:r w:rsidR="009A618F" w:rsidRPr="001160D6">
        <w:rPr>
          <w:lang w:val="es-AR"/>
        </w:rPr>
        <w:t xml:space="preserve"> de crecimiento</w:t>
      </w:r>
      <w:r w:rsidRPr="001160D6">
        <w:rPr>
          <w:lang w:val="es-AR"/>
        </w:rPr>
        <w:t xml:space="preserve"> anual del 10 por ciento, el número de países que p</w:t>
      </w:r>
      <w:r w:rsidR="00F01CB7" w:rsidRPr="001160D6">
        <w:rPr>
          <w:lang w:val="es-AR"/>
        </w:rPr>
        <w:t xml:space="preserve">odrían </w:t>
      </w:r>
      <w:r w:rsidRPr="001160D6">
        <w:rPr>
          <w:lang w:val="es-AR"/>
        </w:rPr>
        <w:t xml:space="preserve">estar </w:t>
      </w:r>
      <w:r w:rsidR="00446359" w:rsidRPr="001160D6">
        <w:rPr>
          <w:lang w:val="es-AR"/>
        </w:rPr>
        <w:t xml:space="preserve">en peligro </w:t>
      </w:r>
      <w:r w:rsidRPr="001160D6">
        <w:rPr>
          <w:lang w:val="es-AR"/>
        </w:rPr>
        <w:t xml:space="preserve">de </w:t>
      </w:r>
      <w:r w:rsidR="00446359" w:rsidRPr="001160D6">
        <w:rPr>
          <w:lang w:val="es-AR"/>
        </w:rPr>
        <w:t>incumplimiento</w:t>
      </w:r>
      <w:r w:rsidRPr="001160D6">
        <w:rPr>
          <w:lang w:val="es-AR"/>
        </w:rPr>
        <w:t>, aumentará a 47 países.</w:t>
      </w:r>
    </w:p>
    <w:p w14:paraId="6BC8F62F" w14:textId="3617FB0D" w:rsidR="00DB1F86" w:rsidRPr="001160D6" w:rsidRDefault="00F01CB7" w:rsidP="00DB1F86">
      <w:pPr>
        <w:pStyle w:val="Heading1"/>
        <w:rPr>
          <w:lang w:val="es-AR"/>
        </w:rPr>
      </w:pPr>
      <w:r w:rsidRPr="001160D6">
        <w:rPr>
          <w:lang w:val="es-AR"/>
        </w:rPr>
        <w:t>Asimismo, l</w:t>
      </w:r>
      <w:r w:rsidR="00DB1F86" w:rsidRPr="001160D6">
        <w:rPr>
          <w:lang w:val="es-AR"/>
        </w:rPr>
        <w:t xml:space="preserve">a </w:t>
      </w:r>
      <w:r w:rsidR="00FF4D54" w:rsidRPr="001160D6">
        <w:rPr>
          <w:lang w:val="es-AR"/>
        </w:rPr>
        <w:t>Secretaría</w:t>
      </w:r>
      <w:r w:rsidR="00DB1F86" w:rsidRPr="001160D6">
        <w:rPr>
          <w:lang w:val="es-AR"/>
        </w:rPr>
        <w:t xml:space="preserve"> analiz</w:t>
      </w:r>
      <w:r w:rsidR="00446359" w:rsidRPr="001160D6">
        <w:rPr>
          <w:lang w:val="es-AR"/>
        </w:rPr>
        <w:t xml:space="preserve">ó </w:t>
      </w:r>
      <w:r w:rsidR="00DB1F86" w:rsidRPr="001160D6">
        <w:rPr>
          <w:lang w:val="es-AR"/>
        </w:rPr>
        <w:t>una situación con</w:t>
      </w:r>
      <w:r w:rsidR="00240A87" w:rsidRPr="001160D6">
        <w:rPr>
          <w:lang w:val="es-AR"/>
        </w:rPr>
        <w:t xml:space="preserve"> </w:t>
      </w:r>
      <w:r w:rsidR="00446359" w:rsidRPr="001160D6">
        <w:rPr>
          <w:lang w:val="es-AR"/>
        </w:rPr>
        <w:t xml:space="preserve">un </w:t>
      </w:r>
      <w:r w:rsidR="00240A87" w:rsidRPr="001160D6">
        <w:rPr>
          <w:lang w:val="es-AR"/>
        </w:rPr>
        <w:t xml:space="preserve">índice </w:t>
      </w:r>
      <w:r w:rsidR="009A618F" w:rsidRPr="001160D6">
        <w:rPr>
          <w:lang w:val="es-AR"/>
        </w:rPr>
        <w:t>de crecimiento</w:t>
      </w:r>
      <w:r w:rsidR="00DB1F86" w:rsidRPr="001160D6">
        <w:rPr>
          <w:lang w:val="es-AR"/>
        </w:rPr>
        <w:t xml:space="preserve"> anual variable en la cual el crecimiento es menor durante los años de la </w:t>
      </w:r>
      <w:r w:rsidR="00FF4D54" w:rsidRPr="001160D6">
        <w:rPr>
          <w:lang w:val="es-AR"/>
        </w:rPr>
        <w:t>base</w:t>
      </w:r>
      <w:r w:rsidR="00446359" w:rsidRPr="001160D6">
        <w:rPr>
          <w:lang w:val="es-AR"/>
        </w:rPr>
        <w:t xml:space="preserve"> de referencia</w:t>
      </w:r>
      <w:r w:rsidR="00DB1F86" w:rsidRPr="001160D6">
        <w:rPr>
          <w:lang w:val="es-AR"/>
        </w:rPr>
        <w:t xml:space="preserve"> debido a las dificultades económicas causadas por </w:t>
      </w:r>
      <w:r w:rsidR="00446359" w:rsidRPr="001160D6">
        <w:rPr>
          <w:lang w:val="es-AR"/>
        </w:rPr>
        <w:t>la pandemia del COVID-19</w:t>
      </w:r>
      <w:r w:rsidR="00DB1F86" w:rsidRPr="001160D6">
        <w:rPr>
          <w:lang w:val="es-AR"/>
        </w:rPr>
        <w:t xml:space="preserve"> (estima</w:t>
      </w:r>
      <w:r w:rsidR="00446359" w:rsidRPr="001160D6">
        <w:rPr>
          <w:lang w:val="es-AR"/>
        </w:rPr>
        <w:t xml:space="preserve">do </w:t>
      </w:r>
      <w:r w:rsidR="00DB1F86" w:rsidRPr="001160D6">
        <w:rPr>
          <w:lang w:val="es-AR"/>
        </w:rPr>
        <w:t>e</w:t>
      </w:r>
      <w:r w:rsidR="00446359" w:rsidRPr="001160D6">
        <w:rPr>
          <w:lang w:val="es-AR"/>
        </w:rPr>
        <w:t>n</w:t>
      </w:r>
      <w:r w:rsidR="00DB1F86" w:rsidRPr="001160D6">
        <w:rPr>
          <w:lang w:val="es-AR"/>
        </w:rPr>
        <w:t xml:space="preserve"> 2 por ciento </w:t>
      </w:r>
      <w:r w:rsidR="00446359" w:rsidRPr="001160D6">
        <w:rPr>
          <w:lang w:val="es-AR"/>
        </w:rPr>
        <w:t>anual</w:t>
      </w:r>
      <w:r w:rsidR="00DB1F86" w:rsidRPr="001160D6">
        <w:rPr>
          <w:lang w:val="es-AR"/>
        </w:rPr>
        <w:t>), seguid</w:t>
      </w:r>
      <w:r w:rsidR="00446359" w:rsidRPr="001160D6">
        <w:rPr>
          <w:lang w:val="es-AR"/>
        </w:rPr>
        <w:t>o</w:t>
      </w:r>
      <w:r w:rsidR="00DB1F86" w:rsidRPr="001160D6">
        <w:rPr>
          <w:lang w:val="es-AR"/>
        </w:rPr>
        <w:t xml:space="preserve"> por </w:t>
      </w:r>
      <w:r w:rsidR="00240A87" w:rsidRPr="001160D6">
        <w:rPr>
          <w:lang w:val="es-AR"/>
        </w:rPr>
        <w:t>un índice</w:t>
      </w:r>
      <w:r w:rsidR="009A618F" w:rsidRPr="001160D6">
        <w:rPr>
          <w:lang w:val="es-AR"/>
        </w:rPr>
        <w:t xml:space="preserve"> de crecimiento</w:t>
      </w:r>
      <w:r w:rsidR="00DB1F86" w:rsidRPr="001160D6">
        <w:rPr>
          <w:lang w:val="es-AR"/>
        </w:rPr>
        <w:t xml:space="preserve"> anual más </w:t>
      </w:r>
      <w:r w:rsidR="00E1169D" w:rsidRPr="001160D6">
        <w:rPr>
          <w:lang w:val="es-AR"/>
        </w:rPr>
        <w:t xml:space="preserve">alto </w:t>
      </w:r>
      <w:r w:rsidR="00DB1F86" w:rsidRPr="001160D6">
        <w:rPr>
          <w:lang w:val="es-AR"/>
        </w:rPr>
        <w:t>en años posterior</w:t>
      </w:r>
      <w:r w:rsidR="00446359" w:rsidRPr="001160D6">
        <w:rPr>
          <w:lang w:val="es-AR"/>
        </w:rPr>
        <w:t xml:space="preserve">es </w:t>
      </w:r>
      <w:r w:rsidR="00DB1F86" w:rsidRPr="001160D6">
        <w:rPr>
          <w:lang w:val="es-AR"/>
        </w:rPr>
        <w:t xml:space="preserve">debido a la recuperación económica (10 por ciento). En tal situación, un total de 23 países estarían </w:t>
      </w:r>
      <w:r w:rsidR="00446359" w:rsidRPr="001160D6">
        <w:rPr>
          <w:lang w:val="es-AR"/>
        </w:rPr>
        <w:t>en peligro de incumplimiento</w:t>
      </w:r>
      <w:r w:rsidR="00DB1F86" w:rsidRPr="001160D6">
        <w:rPr>
          <w:lang w:val="es-AR"/>
        </w:rPr>
        <w:t xml:space="preserve"> en 2024. El </w:t>
      </w:r>
      <w:r w:rsidR="00446359" w:rsidRPr="001160D6">
        <w:rPr>
          <w:lang w:val="es-AR"/>
        </w:rPr>
        <w:t>Anexo</w:t>
      </w:r>
      <w:r w:rsidR="00DB1F86" w:rsidRPr="001160D6">
        <w:rPr>
          <w:lang w:val="es-AR"/>
        </w:rPr>
        <w:t xml:space="preserve"> I </w:t>
      </w:r>
      <w:r w:rsidR="007120E8" w:rsidRPr="001160D6">
        <w:rPr>
          <w:lang w:val="es-AR"/>
        </w:rPr>
        <w:t>del presente documento</w:t>
      </w:r>
      <w:r w:rsidR="00DB1F86" w:rsidRPr="001160D6">
        <w:rPr>
          <w:lang w:val="es-AR"/>
        </w:rPr>
        <w:t xml:space="preserve"> </w:t>
      </w:r>
      <w:r w:rsidR="00446359" w:rsidRPr="001160D6">
        <w:rPr>
          <w:lang w:val="es-AR"/>
        </w:rPr>
        <w:t xml:space="preserve">contiene </w:t>
      </w:r>
      <w:r w:rsidR="00DB1F86" w:rsidRPr="001160D6">
        <w:rPr>
          <w:lang w:val="es-AR"/>
        </w:rPr>
        <w:t>los resultados del modelo (con</w:t>
      </w:r>
      <w:r w:rsidR="00240A87" w:rsidRPr="001160D6">
        <w:rPr>
          <w:lang w:val="es-AR"/>
        </w:rPr>
        <w:t xml:space="preserve"> índices </w:t>
      </w:r>
      <w:r w:rsidR="00DB1F86" w:rsidRPr="001160D6">
        <w:rPr>
          <w:lang w:val="es-AR"/>
        </w:rPr>
        <w:t>de crecimiento anual</w:t>
      </w:r>
      <w:r w:rsidR="00446359" w:rsidRPr="001160D6">
        <w:rPr>
          <w:lang w:val="es-AR"/>
        </w:rPr>
        <w:t>es</w:t>
      </w:r>
      <w:r w:rsidR="00DB1F86" w:rsidRPr="001160D6">
        <w:rPr>
          <w:lang w:val="es-AR"/>
        </w:rPr>
        <w:t xml:space="preserve"> del 3 por ciento, 10 por ciento y crecimiento variable).</w:t>
      </w:r>
    </w:p>
    <w:p w14:paraId="17995B91" w14:textId="7BD6026F" w:rsidR="00DB1F86" w:rsidRPr="001160D6" w:rsidRDefault="008D3656" w:rsidP="00DB1F86">
      <w:pPr>
        <w:pStyle w:val="Heading1"/>
        <w:rPr>
          <w:lang w:val="es-AR"/>
        </w:rPr>
      </w:pPr>
      <w:r w:rsidRPr="001160D6">
        <w:rPr>
          <w:lang w:val="es-AR"/>
        </w:rPr>
        <w:t xml:space="preserve">Además del </w:t>
      </w:r>
      <w:r w:rsidR="00DB1F86" w:rsidRPr="001160D6">
        <w:rPr>
          <w:lang w:val="es-AR"/>
        </w:rPr>
        <w:t xml:space="preserve">análisis, la </w:t>
      </w:r>
      <w:r w:rsidR="00FF4D54" w:rsidRPr="001160D6">
        <w:rPr>
          <w:lang w:val="es-AR"/>
        </w:rPr>
        <w:t>Secretaría</w:t>
      </w:r>
      <w:r w:rsidR="00DB1F86" w:rsidRPr="001160D6">
        <w:rPr>
          <w:lang w:val="es-AR"/>
        </w:rPr>
        <w:t xml:space="preserve"> observa que</w:t>
      </w:r>
      <w:r w:rsidRPr="001160D6">
        <w:rPr>
          <w:lang w:val="es-AR"/>
        </w:rPr>
        <w:t>,</w:t>
      </w:r>
      <w:r w:rsidR="00DB1F86" w:rsidRPr="001160D6">
        <w:rPr>
          <w:lang w:val="es-AR"/>
        </w:rPr>
        <w:t xml:space="preserve"> independiente</w:t>
      </w:r>
      <w:r w:rsidR="004169F7" w:rsidRPr="001160D6">
        <w:rPr>
          <w:lang w:val="es-AR"/>
        </w:rPr>
        <w:t>mente</w:t>
      </w:r>
      <w:r w:rsidR="00DB1F86" w:rsidRPr="001160D6">
        <w:rPr>
          <w:lang w:val="es-AR"/>
        </w:rPr>
        <w:t xml:space="preserve"> de los supuesto</w:t>
      </w:r>
      <w:r w:rsidR="004169F7" w:rsidRPr="001160D6">
        <w:rPr>
          <w:lang w:val="es-AR"/>
        </w:rPr>
        <w:t xml:space="preserve">s </w:t>
      </w:r>
      <w:r w:rsidR="00DB1F86" w:rsidRPr="001160D6">
        <w:rPr>
          <w:lang w:val="es-AR"/>
        </w:rPr>
        <w:t xml:space="preserve">y de las variables </w:t>
      </w:r>
      <w:r w:rsidR="004169F7" w:rsidRPr="001160D6">
        <w:rPr>
          <w:lang w:val="es-AR"/>
        </w:rPr>
        <w:t xml:space="preserve">utilizadas </w:t>
      </w:r>
      <w:r w:rsidR="00DB1F86" w:rsidRPr="001160D6">
        <w:rPr>
          <w:lang w:val="es-AR"/>
        </w:rPr>
        <w:t>por un país para prever su consumo de HFC y determinar cu</w:t>
      </w:r>
      <w:r w:rsidR="004169F7" w:rsidRPr="001160D6">
        <w:rPr>
          <w:lang w:val="es-AR"/>
        </w:rPr>
        <w:t>án</w:t>
      </w:r>
      <w:r w:rsidR="00DB1F86" w:rsidRPr="001160D6">
        <w:rPr>
          <w:lang w:val="es-AR"/>
        </w:rPr>
        <w:t xml:space="preserve">do </w:t>
      </w:r>
      <w:r w:rsidR="004169F7" w:rsidRPr="001160D6">
        <w:rPr>
          <w:lang w:val="es-AR"/>
        </w:rPr>
        <w:t xml:space="preserve">necesita </w:t>
      </w:r>
      <w:r w:rsidR="00DB1F86" w:rsidRPr="001160D6">
        <w:rPr>
          <w:lang w:val="es-AR"/>
        </w:rPr>
        <w:t xml:space="preserve">ayuda </w:t>
      </w:r>
      <w:r w:rsidR="004169F7" w:rsidRPr="001160D6">
        <w:rPr>
          <w:lang w:val="es-AR"/>
        </w:rPr>
        <w:t xml:space="preserve">para </w:t>
      </w:r>
      <w:r w:rsidR="00DB1F86" w:rsidRPr="001160D6">
        <w:rPr>
          <w:lang w:val="es-AR"/>
        </w:rPr>
        <w:t xml:space="preserve">asegurar </w:t>
      </w:r>
      <w:r w:rsidR="004169F7" w:rsidRPr="001160D6">
        <w:rPr>
          <w:lang w:val="es-AR"/>
        </w:rPr>
        <w:t xml:space="preserve">el </w:t>
      </w:r>
      <w:r w:rsidR="00CE031A" w:rsidRPr="001160D6">
        <w:rPr>
          <w:lang w:val="es-AR"/>
        </w:rPr>
        <w:t>cumplimiento</w:t>
      </w:r>
      <w:r w:rsidR="00DB1F86" w:rsidRPr="001160D6">
        <w:rPr>
          <w:lang w:val="es-AR"/>
        </w:rPr>
        <w:t xml:space="preserve">, </w:t>
      </w:r>
      <w:r w:rsidR="004169F7" w:rsidRPr="001160D6">
        <w:rPr>
          <w:lang w:val="es-AR"/>
        </w:rPr>
        <w:t xml:space="preserve">según la </w:t>
      </w:r>
      <w:r w:rsidR="00DB1F86" w:rsidRPr="001160D6">
        <w:rPr>
          <w:lang w:val="es-AR"/>
        </w:rPr>
        <w:t xml:space="preserve">experiencia del </w:t>
      </w:r>
      <w:r w:rsidR="00FF4D54" w:rsidRPr="001160D6">
        <w:rPr>
          <w:lang w:val="es-AR"/>
        </w:rPr>
        <w:t>Fondo Multilateral</w:t>
      </w:r>
      <w:r w:rsidR="004169F7" w:rsidRPr="001160D6">
        <w:rPr>
          <w:lang w:val="es-AR"/>
        </w:rPr>
        <w:t>,</w:t>
      </w:r>
      <w:r w:rsidR="00DB1F86" w:rsidRPr="001160D6">
        <w:rPr>
          <w:lang w:val="es-AR"/>
        </w:rPr>
        <w:t xml:space="preserve"> la acción </w:t>
      </w:r>
      <w:r w:rsidR="004169F7" w:rsidRPr="001160D6">
        <w:rPr>
          <w:lang w:val="es-AR"/>
        </w:rPr>
        <w:t xml:space="preserve">temprana </w:t>
      </w:r>
      <w:r w:rsidRPr="001160D6">
        <w:rPr>
          <w:lang w:val="es-AR"/>
        </w:rPr>
        <w:t xml:space="preserve">produjo </w:t>
      </w:r>
      <w:r w:rsidR="004169F7" w:rsidRPr="001160D6">
        <w:rPr>
          <w:lang w:val="es-AR"/>
        </w:rPr>
        <w:t xml:space="preserve">una eliminación </w:t>
      </w:r>
      <w:r w:rsidR="00DB1F86" w:rsidRPr="001160D6">
        <w:rPr>
          <w:lang w:val="es-AR"/>
        </w:rPr>
        <w:t xml:space="preserve">más eficaz en función de los costos. </w:t>
      </w:r>
      <w:r w:rsidR="004169F7" w:rsidRPr="001160D6">
        <w:rPr>
          <w:lang w:val="es-AR"/>
        </w:rPr>
        <w:t xml:space="preserve">En especial, en </w:t>
      </w:r>
      <w:r w:rsidR="00DB1F86" w:rsidRPr="001160D6">
        <w:rPr>
          <w:lang w:val="es-AR"/>
        </w:rPr>
        <w:t xml:space="preserve">el </w:t>
      </w:r>
      <w:r w:rsidR="009A618F" w:rsidRPr="001160D6">
        <w:rPr>
          <w:lang w:val="es-AR"/>
        </w:rPr>
        <w:t>sector de refrigeración y climatización</w:t>
      </w:r>
      <w:r w:rsidR="00DB1F86" w:rsidRPr="001160D6">
        <w:rPr>
          <w:lang w:val="es-AR"/>
        </w:rPr>
        <w:t xml:space="preserve"> (donde </w:t>
      </w:r>
      <w:r w:rsidR="004169F7" w:rsidRPr="001160D6">
        <w:rPr>
          <w:lang w:val="es-AR"/>
        </w:rPr>
        <w:t xml:space="preserve">se encuentra </w:t>
      </w:r>
      <w:r w:rsidR="00DB1F86" w:rsidRPr="001160D6">
        <w:rPr>
          <w:lang w:val="es-AR"/>
        </w:rPr>
        <w:t>la mayor parte</w:t>
      </w:r>
      <w:r w:rsidR="00FF4D54" w:rsidRPr="001160D6">
        <w:rPr>
          <w:lang w:val="es-AR"/>
        </w:rPr>
        <w:t xml:space="preserve"> de</w:t>
      </w:r>
      <w:r w:rsidR="004169F7" w:rsidRPr="001160D6">
        <w:rPr>
          <w:lang w:val="es-AR"/>
        </w:rPr>
        <w:t>l consumo de</w:t>
      </w:r>
      <w:r w:rsidR="00FF4D54" w:rsidRPr="001160D6">
        <w:rPr>
          <w:lang w:val="es-AR"/>
        </w:rPr>
        <w:t xml:space="preserve"> </w:t>
      </w:r>
      <w:r w:rsidR="00944DE1" w:rsidRPr="001160D6">
        <w:rPr>
          <w:lang w:val="es-AR"/>
        </w:rPr>
        <w:t>los HFC</w:t>
      </w:r>
      <w:r w:rsidR="00DB1F86" w:rsidRPr="001160D6">
        <w:rPr>
          <w:lang w:val="es-AR"/>
        </w:rPr>
        <w:t xml:space="preserve">) </w:t>
      </w:r>
      <w:r w:rsidR="004169F7" w:rsidRPr="001160D6">
        <w:rPr>
          <w:lang w:val="es-AR"/>
        </w:rPr>
        <w:t xml:space="preserve">la acción temprana para </w:t>
      </w:r>
      <w:r w:rsidR="00DB1F86" w:rsidRPr="001160D6">
        <w:rPr>
          <w:lang w:val="es-AR"/>
        </w:rPr>
        <w:t>controlar la afluencia de</w:t>
      </w:r>
      <w:r w:rsidR="004169F7" w:rsidRPr="001160D6">
        <w:rPr>
          <w:lang w:val="es-AR"/>
        </w:rPr>
        <w:t xml:space="preserve"> </w:t>
      </w:r>
      <w:r w:rsidR="007120E8" w:rsidRPr="001160D6">
        <w:rPr>
          <w:lang w:val="es-AR"/>
        </w:rPr>
        <w:t>equipos</w:t>
      </w:r>
      <w:r w:rsidR="00DB1F86" w:rsidRPr="001160D6">
        <w:rPr>
          <w:lang w:val="es-AR"/>
        </w:rPr>
        <w:t xml:space="preserve"> que </w:t>
      </w:r>
      <w:r w:rsidR="004169F7" w:rsidRPr="001160D6">
        <w:rPr>
          <w:lang w:val="es-AR"/>
        </w:rPr>
        <w:t xml:space="preserve">funcionan </w:t>
      </w:r>
      <w:r w:rsidR="00DB1F86" w:rsidRPr="001160D6">
        <w:rPr>
          <w:lang w:val="es-AR"/>
        </w:rPr>
        <w:t xml:space="preserve">con </w:t>
      </w:r>
      <w:r w:rsidR="002300DB" w:rsidRPr="001160D6">
        <w:rPr>
          <w:lang w:val="es-AR"/>
        </w:rPr>
        <w:t>sustancias</w:t>
      </w:r>
      <w:r w:rsidR="00DB1F86" w:rsidRPr="001160D6">
        <w:rPr>
          <w:lang w:val="es-AR"/>
        </w:rPr>
        <w:t xml:space="preserve"> controladas y facilitar la introducción de </w:t>
      </w:r>
      <w:r w:rsidR="007120E8" w:rsidRPr="001160D6">
        <w:rPr>
          <w:lang w:val="es-AR"/>
        </w:rPr>
        <w:t>equipos</w:t>
      </w:r>
      <w:r w:rsidR="00DB1F86" w:rsidRPr="001160D6">
        <w:rPr>
          <w:lang w:val="es-AR"/>
        </w:rPr>
        <w:t xml:space="preserve"> basad</w:t>
      </w:r>
      <w:r w:rsidR="004169F7" w:rsidRPr="001160D6">
        <w:rPr>
          <w:lang w:val="es-AR"/>
        </w:rPr>
        <w:t>os</w:t>
      </w:r>
      <w:r w:rsidR="00DB1F86" w:rsidRPr="001160D6">
        <w:rPr>
          <w:lang w:val="es-AR"/>
        </w:rPr>
        <w:t xml:space="preserve"> en alternativas reducirá el crecimiento en los bancos de </w:t>
      </w:r>
      <w:r w:rsidR="002300DB" w:rsidRPr="001160D6">
        <w:rPr>
          <w:lang w:val="es-AR"/>
        </w:rPr>
        <w:t>sustancias</w:t>
      </w:r>
      <w:r w:rsidR="00DB1F86" w:rsidRPr="001160D6">
        <w:rPr>
          <w:lang w:val="es-AR"/>
        </w:rPr>
        <w:t xml:space="preserve"> controladas y el consumo futuro asociado </w:t>
      </w:r>
      <w:r w:rsidR="004169F7" w:rsidRPr="001160D6">
        <w:rPr>
          <w:lang w:val="es-AR"/>
        </w:rPr>
        <w:t xml:space="preserve">con el </w:t>
      </w:r>
      <w:r w:rsidRPr="001160D6">
        <w:rPr>
          <w:lang w:val="es-AR"/>
        </w:rPr>
        <w:t xml:space="preserve">servicio y </w:t>
      </w:r>
      <w:r w:rsidR="004169F7" w:rsidRPr="001160D6">
        <w:rPr>
          <w:lang w:val="es-AR"/>
        </w:rPr>
        <w:t xml:space="preserve">mantenimiento de dichos </w:t>
      </w:r>
      <w:r w:rsidR="007120E8" w:rsidRPr="001160D6">
        <w:rPr>
          <w:lang w:val="es-AR"/>
        </w:rPr>
        <w:t>equipos</w:t>
      </w:r>
      <w:r w:rsidR="00DB1F86" w:rsidRPr="001160D6">
        <w:rPr>
          <w:lang w:val="es-AR"/>
        </w:rPr>
        <w:t xml:space="preserve">. </w:t>
      </w:r>
    </w:p>
    <w:p w14:paraId="715A9221" w14:textId="4310B245" w:rsidR="00DB1F86" w:rsidRPr="001160D6" w:rsidRDefault="004169F7" w:rsidP="00DB1F86">
      <w:pPr>
        <w:pStyle w:val="Heading1"/>
        <w:rPr>
          <w:lang w:val="es-AR"/>
        </w:rPr>
      </w:pPr>
      <w:r w:rsidRPr="001160D6">
        <w:rPr>
          <w:lang w:val="es-AR"/>
        </w:rPr>
        <w:t>Es más</w:t>
      </w:r>
      <w:r w:rsidR="00DB1F86" w:rsidRPr="001160D6">
        <w:rPr>
          <w:lang w:val="es-AR"/>
        </w:rPr>
        <w:t xml:space="preserve">, </w:t>
      </w:r>
      <w:r w:rsidRPr="001160D6">
        <w:rPr>
          <w:lang w:val="es-AR"/>
        </w:rPr>
        <w:t>independientemente</w:t>
      </w:r>
      <w:r w:rsidR="00DB1F86" w:rsidRPr="001160D6">
        <w:rPr>
          <w:lang w:val="es-AR"/>
        </w:rPr>
        <w:t xml:space="preserve"> del </w:t>
      </w:r>
      <w:r w:rsidR="00240A87" w:rsidRPr="001160D6">
        <w:rPr>
          <w:lang w:val="es-AR"/>
        </w:rPr>
        <w:t xml:space="preserve">índice </w:t>
      </w:r>
      <w:r w:rsidR="009A618F" w:rsidRPr="001160D6">
        <w:rPr>
          <w:lang w:val="es-AR"/>
        </w:rPr>
        <w:t>de crecimiento</w:t>
      </w:r>
      <w:r w:rsidR="00E1169D" w:rsidRPr="001160D6">
        <w:rPr>
          <w:lang w:val="es-AR"/>
        </w:rPr>
        <w:t xml:space="preserve"> del consumo que se haya</w:t>
      </w:r>
      <w:r w:rsidR="00DB1F86" w:rsidRPr="001160D6">
        <w:rPr>
          <w:lang w:val="es-AR"/>
        </w:rPr>
        <w:t xml:space="preserve"> asumi</w:t>
      </w:r>
      <w:r w:rsidRPr="001160D6">
        <w:rPr>
          <w:lang w:val="es-AR"/>
        </w:rPr>
        <w:t>do</w:t>
      </w:r>
      <w:r w:rsidR="00DB1F86" w:rsidRPr="001160D6">
        <w:rPr>
          <w:lang w:val="es-AR"/>
        </w:rPr>
        <w:t xml:space="preserve">, los países del </w:t>
      </w:r>
      <w:r w:rsidR="007120E8" w:rsidRPr="001160D6">
        <w:rPr>
          <w:lang w:val="es-AR"/>
        </w:rPr>
        <w:t>Artículo</w:t>
      </w:r>
      <w:r w:rsidR="00DB1F86" w:rsidRPr="001160D6">
        <w:rPr>
          <w:lang w:val="es-AR"/>
        </w:rPr>
        <w:t xml:space="preserve"> 5 </w:t>
      </w:r>
      <w:r w:rsidRPr="001160D6">
        <w:rPr>
          <w:lang w:val="es-AR"/>
        </w:rPr>
        <w:t xml:space="preserve">deberían </w:t>
      </w:r>
      <w:r w:rsidR="00DB1F86" w:rsidRPr="001160D6">
        <w:rPr>
          <w:lang w:val="es-AR"/>
        </w:rPr>
        <w:t xml:space="preserve">comenzar el proceso preparatorio por lo menos </w:t>
      </w:r>
      <w:r w:rsidRPr="001160D6">
        <w:rPr>
          <w:lang w:val="es-AR"/>
        </w:rPr>
        <w:t xml:space="preserve">con </w:t>
      </w:r>
      <w:r w:rsidR="00DB1F86" w:rsidRPr="001160D6">
        <w:rPr>
          <w:lang w:val="es-AR"/>
        </w:rPr>
        <w:t>cinco años de</w:t>
      </w:r>
      <w:r w:rsidRPr="001160D6">
        <w:rPr>
          <w:lang w:val="es-AR"/>
        </w:rPr>
        <w:t xml:space="preserve"> antelación de</w:t>
      </w:r>
      <w:r w:rsidR="00DB1F86" w:rsidRPr="001160D6">
        <w:rPr>
          <w:lang w:val="es-AR"/>
        </w:rPr>
        <w:t xml:space="preserve">l año </w:t>
      </w:r>
      <w:r w:rsidRPr="001160D6">
        <w:rPr>
          <w:lang w:val="es-AR"/>
        </w:rPr>
        <w:t xml:space="preserve">en </w:t>
      </w:r>
      <w:r w:rsidR="00DB1F86" w:rsidRPr="001160D6">
        <w:rPr>
          <w:lang w:val="es-AR"/>
        </w:rPr>
        <w:t xml:space="preserve">que el país </w:t>
      </w:r>
      <w:r w:rsidR="00E1169D" w:rsidRPr="001160D6">
        <w:rPr>
          <w:lang w:val="es-AR"/>
        </w:rPr>
        <w:t xml:space="preserve">tendrá que </w:t>
      </w:r>
      <w:r w:rsidR="00DB1F86" w:rsidRPr="001160D6">
        <w:rPr>
          <w:lang w:val="es-AR"/>
        </w:rPr>
        <w:t>haber ejecutado medidas de mitigación de</w:t>
      </w:r>
      <w:r w:rsidR="008D3656" w:rsidRPr="001160D6">
        <w:rPr>
          <w:lang w:val="es-AR"/>
        </w:rPr>
        <w:t xml:space="preserve"> los</w:t>
      </w:r>
      <w:r w:rsidR="00DB1F86" w:rsidRPr="001160D6">
        <w:rPr>
          <w:lang w:val="es-AR"/>
        </w:rPr>
        <w:t xml:space="preserve"> HFC para permanecer en </w:t>
      </w:r>
      <w:r w:rsidR="00CE031A" w:rsidRPr="001160D6">
        <w:rPr>
          <w:lang w:val="es-AR"/>
        </w:rPr>
        <w:t>cumplimiento</w:t>
      </w:r>
      <w:r w:rsidR="00DB1F86" w:rsidRPr="001160D6">
        <w:rPr>
          <w:lang w:val="es-AR"/>
        </w:rPr>
        <w:t xml:space="preserve">. Esto permitirá un período estimado de dos años para la preparación y aprobación del proyecto, y tres años para </w:t>
      </w:r>
      <w:r w:rsidR="007120E8" w:rsidRPr="001160D6">
        <w:rPr>
          <w:lang w:val="es-AR"/>
        </w:rPr>
        <w:t>la ejecución</w:t>
      </w:r>
      <w:r w:rsidR="00DB1F86" w:rsidRPr="001160D6">
        <w:rPr>
          <w:lang w:val="es-AR"/>
        </w:rPr>
        <w:t xml:space="preserve"> de las primeras actividades aprobadas del </w:t>
      </w:r>
      <w:r w:rsidR="0072784E" w:rsidRPr="001160D6">
        <w:rPr>
          <w:lang w:val="es-AR"/>
        </w:rPr>
        <w:t>plan de reducción</w:t>
      </w:r>
      <w:r w:rsidR="00DB1F86" w:rsidRPr="001160D6">
        <w:rPr>
          <w:lang w:val="es-AR"/>
        </w:rPr>
        <w:t xml:space="preserve">. </w:t>
      </w:r>
    </w:p>
    <w:p w14:paraId="3AA4EEA1" w14:textId="756FAFE7" w:rsidR="00DB1F86" w:rsidRPr="001160D6" w:rsidRDefault="00DB1F86" w:rsidP="00DB1F86">
      <w:pPr>
        <w:spacing w:after="240"/>
        <w:rPr>
          <w:b/>
          <w:lang w:val="es-AR"/>
        </w:rPr>
      </w:pPr>
      <w:r w:rsidRPr="001160D6">
        <w:rPr>
          <w:b/>
          <w:lang w:val="es-AR"/>
        </w:rPr>
        <w:t>Acción</w:t>
      </w:r>
      <w:r w:rsidR="008F35E9" w:rsidRPr="001160D6">
        <w:rPr>
          <w:b/>
          <w:lang w:val="es-AR"/>
        </w:rPr>
        <w:t xml:space="preserve"> temprana </w:t>
      </w:r>
      <w:r w:rsidRPr="001160D6">
        <w:rPr>
          <w:b/>
          <w:lang w:val="es-AR"/>
        </w:rPr>
        <w:t xml:space="preserve">y </w:t>
      </w:r>
      <w:r w:rsidR="008F35E9" w:rsidRPr="001160D6">
        <w:rPr>
          <w:b/>
          <w:lang w:val="es-AR"/>
        </w:rPr>
        <w:t>oportunidades</w:t>
      </w:r>
      <w:r w:rsidRPr="001160D6">
        <w:rPr>
          <w:b/>
          <w:lang w:val="es-AR"/>
        </w:rPr>
        <w:t xml:space="preserve"> para los proyectos y las actividades que podrían integrar</w:t>
      </w:r>
      <w:r w:rsidR="008F35E9" w:rsidRPr="001160D6">
        <w:rPr>
          <w:b/>
          <w:lang w:val="es-AR"/>
        </w:rPr>
        <w:t>se</w:t>
      </w:r>
      <w:r w:rsidRPr="001160D6">
        <w:rPr>
          <w:b/>
          <w:lang w:val="es-AR"/>
        </w:rPr>
        <w:t xml:space="preserve"> dentro de la etapa I de los </w:t>
      </w:r>
      <w:r w:rsidR="00D23F22" w:rsidRPr="001160D6">
        <w:rPr>
          <w:b/>
          <w:lang w:val="es-AR"/>
        </w:rPr>
        <w:t>planes de reducción</w:t>
      </w:r>
      <w:r w:rsidR="002300DB" w:rsidRPr="001160D6">
        <w:rPr>
          <w:b/>
          <w:lang w:val="es-AR"/>
        </w:rPr>
        <w:t xml:space="preserve"> de HFC</w:t>
      </w:r>
      <w:r w:rsidRPr="001160D6">
        <w:rPr>
          <w:lang w:val="es-AR"/>
        </w:rPr>
        <w:t xml:space="preserve"> </w:t>
      </w:r>
    </w:p>
    <w:p w14:paraId="64636D07" w14:textId="7FD38DE0" w:rsidR="00DB1F86" w:rsidRPr="001160D6" w:rsidRDefault="008F35E9" w:rsidP="00DB1F86">
      <w:pPr>
        <w:pStyle w:val="Heading1"/>
        <w:rPr>
          <w:lang w:val="es-AR"/>
        </w:rPr>
      </w:pPr>
      <w:r w:rsidRPr="001160D6">
        <w:rPr>
          <w:lang w:val="es-AR"/>
        </w:rPr>
        <w:t xml:space="preserve">Tal como lo determina </w:t>
      </w:r>
      <w:r w:rsidR="00DB1F86" w:rsidRPr="001160D6">
        <w:rPr>
          <w:lang w:val="es-AR"/>
        </w:rPr>
        <w:t xml:space="preserve">la decisión XXVIII/2, los países del </w:t>
      </w:r>
      <w:r w:rsidR="007120E8" w:rsidRPr="001160D6">
        <w:rPr>
          <w:lang w:val="es-AR"/>
        </w:rPr>
        <w:t>Artículo</w:t>
      </w:r>
      <w:r w:rsidR="00DB1F86" w:rsidRPr="001160D6">
        <w:rPr>
          <w:lang w:val="es-AR"/>
        </w:rPr>
        <w:t xml:space="preserve"> 5 tendrán flexibilidad para asignar prioridad a </w:t>
      </w:r>
      <w:r w:rsidR="00944DE1" w:rsidRPr="001160D6">
        <w:rPr>
          <w:lang w:val="es-AR"/>
        </w:rPr>
        <w:t>los HFC</w:t>
      </w:r>
      <w:r w:rsidR="00DB1F86" w:rsidRPr="001160D6">
        <w:rPr>
          <w:lang w:val="es-AR"/>
        </w:rPr>
        <w:t xml:space="preserve">, definir sectores, seleccionar tecnologías y alternativas, y elaborar y ejecutar sus estrategias </w:t>
      </w:r>
      <w:r w:rsidRPr="001160D6">
        <w:rPr>
          <w:lang w:val="es-AR"/>
        </w:rPr>
        <w:t xml:space="preserve">a fin de </w:t>
      </w:r>
      <w:r w:rsidR="00DB1F86" w:rsidRPr="001160D6">
        <w:rPr>
          <w:lang w:val="es-AR"/>
        </w:rPr>
        <w:t xml:space="preserve">cumplir </w:t>
      </w:r>
      <w:r w:rsidRPr="001160D6">
        <w:rPr>
          <w:lang w:val="es-AR"/>
        </w:rPr>
        <w:t xml:space="preserve">con </w:t>
      </w:r>
      <w:r w:rsidR="008D3656" w:rsidRPr="001160D6">
        <w:rPr>
          <w:lang w:val="es-AR"/>
        </w:rPr>
        <w:t xml:space="preserve">las obligaciones </w:t>
      </w:r>
      <w:r w:rsidRPr="001160D6">
        <w:rPr>
          <w:lang w:val="es-AR"/>
        </w:rPr>
        <w:t>acordad</w:t>
      </w:r>
      <w:r w:rsidR="008D3656" w:rsidRPr="001160D6">
        <w:rPr>
          <w:lang w:val="es-AR"/>
        </w:rPr>
        <w:t>a</w:t>
      </w:r>
      <w:r w:rsidRPr="001160D6">
        <w:rPr>
          <w:lang w:val="es-AR"/>
        </w:rPr>
        <w:t xml:space="preserve">s </w:t>
      </w:r>
      <w:r w:rsidR="008D3656" w:rsidRPr="001160D6">
        <w:rPr>
          <w:lang w:val="es-AR"/>
        </w:rPr>
        <w:t xml:space="preserve">para los </w:t>
      </w:r>
      <w:r w:rsidR="00DB1F86" w:rsidRPr="001160D6">
        <w:rPr>
          <w:lang w:val="es-AR"/>
        </w:rPr>
        <w:t xml:space="preserve">HFC, </w:t>
      </w:r>
      <w:r w:rsidRPr="001160D6">
        <w:rPr>
          <w:lang w:val="es-AR"/>
        </w:rPr>
        <w:t xml:space="preserve">basado en </w:t>
      </w:r>
      <w:r w:rsidR="00DB1F86" w:rsidRPr="001160D6">
        <w:rPr>
          <w:lang w:val="es-AR"/>
        </w:rPr>
        <w:t xml:space="preserve">sus necesidades específicas y circunstancias nacionales, siguiendo un </w:t>
      </w:r>
      <w:r w:rsidR="007120E8" w:rsidRPr="001160D6">
        <w:rPr>
          <w:lang w:val="es-AR"/>
        </w:rPr>
        <w:t>enfoque</w:t>
      </w:r>
      <w:r w:rsidR="00DB1F86" w:rsidRPr="001160D6">
        <w:rPr>
          <w:lang w:val="es-AR"/>
        </w:rPr>
        <w:t xml:space="preserve"> </w:t>
      </w:r>
      <w:r w:rsidRPr="001160D6">
        <w:rPr>
          <w:lang w:val="es-AR"/>
        </w:rPr>
        <w:t xml:space="preserve">dirigido </w:t>
      </w:r>
      <w:r w:rsidR="00DB1F86" w:rsidRPr="001160D6">
        <w:rPr>
          <w:lang w:val="es-AR"/>
        </w:rPr>
        <w:t>por el país.</w:t>
      </w:r>
    </w:p>
    <w:p w14:paraId="555A9DE0" w14:textId="007A7FCA" w:rsidR="00DB1F86" w:rsidRPr="001160D6" w:rsidRDefault="00DB1F86" w:rsidP="00DB1F86">
      <w:pPr>
        <w:pStyle w:val="Heading1"/>
        <w:rPr>
          <w:lang w:val="es-AR"/>
        </w:rPr>
      </w:pPr>
      <w:r w:rsidRPr="001160D6">
        <w:rPr>
          <w:lang w:val="es-AR"/>
        </w:rPr>
        <w:t>Sobre esa base, est</w:t>
      </w:r>
      <w:r w:rsidR="00591FCB" w:rsidRPr="001160D6">
        <w:rPr>
          <w:lang w:val="es-AR"/>
        </w:rPr>
        <w:t>a</w:t>
      </w:r>
      <w:r w:rsidRPr="001160D6">
        <w:rPr>
          <w:lang w:val="es-AR"/>
        </w:rPr>
        <w:t xml:space="preserve"> </w:t>
      </w:r>
      <w:r w:rsidR="00591FCB" w:rsidRPr="001160D6">
        <w:rPr>
          <w:lang w:val="es-AR"/>
        </w:rPr>
        <w:t xml:space="preserve">sección </w:t>
      </w:r>
      <w:r w:rsidRPr="001160D6">
        <w:rPr>
          <w:lang w:val="es-AR"/>
        </w:rPr>
        <w:t>está destinad</w:t>
      </w:r>
      <w:r w:rsidR="00591FCB" w:rsidRPr="001160D6">
        <w:rPr>
          <w:lang w:val="es-AR"/>
        </w:rPr>
        <w:t>a</w:t>
      </w:r>
      <w:r w:rsidRPr="001160D6">
        <w:rPr>
          <w:lang w:val="es-AR"/>
        </w:rPr>
        <w:t xml:space="preserve"> </w:t>
      </w:r>
      <w:r w:rsidR="00591FCB" w:rsidRPr="001160D6">
        <w:rPr>
          <w:lang w:val="es-AR"/>
        </w:rPr>
        <w:t xml:space="preserve">a </w:t>
      </w:r>
      <w:r w:rsidRPr="001160D6">
        <w:rPr>
          <w:lang w:val="es-AR"/>
        </w:rPr>
        <w:t>identificar las</w:t>
      </w:r>
      <w:r w:rsidR="00591FCB" w:rsidRPr="001160D6">
        <w:rPr>
          <w:lang w:val="es-AR"/>
        </w:rPr>
        <w:t xml:space="preserve"> posibles</w:t>
      </w:r>
      <w:r w:rsidRPr="001160D6">
        <w:rPr>
          <w:lang w:val="es-AR"/>
        </w:rPr>
        <w:t xml:space="preserve"> </w:t>
      </w:r>
      <w:r w:rsidR="008F35E9" w:rsidRPr="001160D6">
        <w:rPr>
          <w:lang w:val="es-AR"/>
        </w:rPr>
        <w:t>oportunidades</w:t>
      </w:r>
      <w:r w:rsidRPr="001160D6">
        <w:rPr>
          <w:lang w:val="es-AR"/>
        </w:rPr>
        <w:t xml:space="preserve"> </w:t>
      </w:r>
      <w:r w:rsidR="00591FCB" w:rsidRPr="001160D6">
        <w:rPr>
          <w:lang w:val="es-AR"/>
        </w:rPr>
        <w:t xml:space="preserve">de reducción del </w:t>
      </w:r>
      <w:r w:rsidRPr="001160D6">
        <w:rPr>
          <w:lang w:val="es-AR"/>
        </w:rPr>
        <w:t xml:space="preserve">crecimiento o </w:t>
      </w:r>
      <w:r w:rsidR="00591FCB" w:rsidRPr="001160D6">
        <w:rPr>
          <w:lang w:val="es-AR"/>
        </w:rPr>
        <w:t xml:space="preserve">inclusive </w:t>
      </w:r>
      <w:r w:rsidRPr="001160D6">
        <w:rPr>
          <w:lang w:val="es-AR"/>
        </w:rPr>
        <w:t xml:space="preserve">alcanzar reducciones </w:t>
      </w:r>
      <w:r w:rsidR="008D3656" w:rsidRPr="001160D6">
        <w:rPr>
          <w:lang w:val="es-AR"/>
        </w:rPr>
        <w:t xml:space="preserve">sostenidas </w:t>
      </w:r>
      <w:r w:rsidRPr="001160D6">
        <w:rPr>
          <w:lang w:val="es-AR"/>
        </w:rPr>
        <w:t xml:space="preserve">del consumo de HFC en los próximos años, en algunos casos incluso antes de </w:t>
      </w:r>
      <w:r w:rsidR="00591FCB" w:rsidRPr="001160D6">
        <w:rPr>
          <w:lang w:val="es-AR"/>
        </w:rPr>
        <w:t xml:space="preserve">que se formulen totalmente </w:t>
      </w:r>
      <w:r w:rsidRPr="001160D6">
        <w:rPr>
          <w:lang w:val="es-AR"/>
        </w:rPr>
        <w:t xml:space="preserve">los </w:t>
      </w:r>
      <w:r w:rsidR="00D23F22" w:rsidRPr="001160D6">
        <w:rPr>
          <w:lang w:val="es-AR"/>
        </w:rPr>
        <w:t>planes de reducción</w:t>
      </w:r>
      <w:r w:rsidR="002300DB" w:rsidRPr="001160D6">
        <w:rPr>
          <w:lang w:val="es-AR"/>
        </w:rPr>
        <w:t xml:space="preserve"> de </w:t>
      </w:r>
      <w:r w:rsidR="00E1169D" w:rsidRPr="001160D6">
        <w:rPr>
          <w:lang w:val="es-AR"/>
        </w:rPr>
        <w:t>esas sustancias</w:t>
      </w:r>
      <w:r w:rsidRPr="001160D6">
        <w:rPr>
          <w:lang w:val="es-AR"/>
        </w:rPr>
        <w:t xml:space="preserve">. No </w:t>
      </w:r>
      <w:r w:rsidR="00E1169D" w:rsidRPr="001160D6">
        <w:rPr>
          <w:lang w:val="es-AR"/>
        </w:rPr>
        <w:t xml:space="preserve">tiene la intención de </w:t>
      </w:r>
      <w:r w:rsidRPr="001160D6">
        <w:rPr>
          <w:lang w:val="es-AR"/>
        </w:rPr>
        <w:t>establecer un sistema pre</w:t>
      </w:r>
      <w:r w:rsidR="00591FCB" w:rsidRPr="001160D6">
        <w:rPr>
          <w:lang w:val="es-AR"/>
        </w:rPr>
        <w:t>s</w:t>
      </w:r>
      <w:r w:rsidRPr="001160D6">
        <w:rPr>
          <w:lang w:val="es-AR"/>
        </w:rPr>
        <w:t>c</w:t>
      </w:r>
      <w:r w:rsidR="00591FCB" w:rsidRPr="001160D6">
        <w:rPr>
          <w:lang w:val="es-AR"/>
        </w:rPr>
        <w:t>ri</w:t>
      </w:r>
      <w:r w:rsidRPr="001160D6">
        <w:rPr>
          <w:lang w:val="es-AR"/>
        </w:rPr>
        <w:t xml:space="preserve">ptivo de elementos que se incluirán en la etapa I de los </w:t>
      </w:r>
      <w:r w:rsidR="00D23F22" w:rsidRPr="001160D6">
        <w:rPr>
          <w:lang w:val="es-AR"/>
        </w:rPr>
        <w:t>planes de reducción</w:t>
      </w:r>
      <w:r w:rsidR="002300DB" w:rsidRPr="001160D6">
        <w:rPr>
          <w:lang w:val="es-AR"/>
        </w:rPr>
        <w:t xml:space="preserve"> de HFC</w:t>
      </w:r>
      <w:r w:rsidRPr="001160D6">
        <w:rPr>
          <w:lang w:val="es-AR"/>
        </w:rPr>
        <w:t>.</w:t>
      </w:r>
    </w:p>
    <w:p w14:paraId="6FFE4451" w14:textId="0432DF93" w:rsidR="00DB1F86" w:rsidRPr="00482916" w:rsidRDefault="00591FCB" w:rsidP="00482916">
      <w:pPr>
        <w:keepNext/>
        <w:keepLines/>
        <w:spacing w:after="240"/>
        <w:rPr>
          <w:u w:val="single"/>
          <w:lang w:val="es-AR"/>
        </w:rPr>
      </w:pPr>
      <w:r w:rsidRPr="001160D6">
        <w:rPr>
          <w:u w:val="single"/>
          <w:lang w:val="es-AR"/>
        </w:rPr>
        <w:lastRenderedPageBreak/>
        <w:t>O</w:t>
      </w:r>
      <w:r w:rsidR="008F35E9" w:rsidRPr="001160D6">
        <w:rPr>
          <w:u w:val="single"/>
          <w:lang w:val="es-AR"/>
        </w:rPr>
        <w:t>portunidades</w:t>
      </w:r>
      <w:r w:rsidR="00DB1F86" w:rsidRPr="001160D6">
        <w:rPr>
          <w:u w:val="single"/>
          <w:lang w:val="es-AR"/>
        </w:rPr>
        <w:t xml:space="preserve"> para </w:t>
      </w:r>
      <w:r w:rsidRPr="001160D6">
        <w:rPr>
          <w:u w:val="single"/>
          <w:lang w:val="es-AR"/>
        </w:rPr>
        <w:t xml:space="preserve">actividades </w:t>
      </w:r>
      <w:r w:rsidR="00DB1F86" w:rsidRPr="001160D6">
        <w:rPr>
          <w:u w:val="single"/>
          <w:lang w:val="es-AR"/>
        </w:rPr>
        <w:t>integrad</w:t>
      </w:r>
      <w:r w:rsidRPr="001160D6">
        <w:rPr>
          <w:u w:val="single"/>
          <w:lang w:val="es-AR"/>
        </w:rPr>
        <w:t>as</w:t>
      </w:r>
      <w:r w:rsidR="00DB1F86" w:rsidRPr="001160D6">
        <w:rPr>
          <w:u w:val="single"/>
          <w:lang w:val="es-AR"/>
        </w:rPr>
        <w:t xml:space="preserve"> </w:t>
      </w:r>
      <w:r w:rsidRPr="001160D6">
        <w:rPr>
          <w:u w:val="single"/>
          <w:lang w:val="es-AR"/>
        </w:rPr>
        <w:t xml:space="preserve">de </w:t>
      </w:r>
      <w:r w:rsidR="001D29D0" w:rsidRPr="001160D6">
        <w:rPr>
          <w:u w:val="single"/>
          <w:lang w:val="es-AR"/>
        </w:rPr>
        <w:t>eliminación de los HCFC</w:t>
      </w:r>
      <w:r w:rsidR="00DB1F86" w:rsidRPr="001160D6">
        <w:rPr>
          <w:u w:val="single"/>
          <w:lang w:val="es-AR"/>
        </w:rPr>
        <w:t xml:space="preserve"> y </w:t>
      </w:r>
      <w:r w:rsidR="002300DB" w:rsidRPr="001160D6">
        <w:rPr>
          <w:u w:val="single"/>
          <w:lang w:val="es-AR"/>
        </w:rPr>
        <w:t>reducción de HFC</w:t>
      </w:r>
      <w:r w:rsidR="00DB1F86" w:rsidRPr="001160D6">
        <w:rPr>
          <w:u w:val="single"/>
          <w:lang w:val="es-AR"/>
        </w:rPr>
        <w:t xml:space="preserve"> en el sector </w:t>
      </w:r>
      <w:r w:rsidRPr="001160D6">
        <w:rPr>
          <w:u w:val="single"/>
          <w:lang w:val="es-AR"/>
        </w:rPr>
        <w:t>de fabricación</w:t>
      </w:r>
    </w:p>
    <w:p w14:paraId="088FCB0B" w14:textId="4F6E5B92" w:rsidR="00DB1F86" w:rsidRPr="001160D6" w:rsidRDefault="00591FCB" w:rsidP="00DB1F86">
      <w:pPr>
        <w:pStyle w:val="Heading1"/>
        <w:rPr>
          <w:lang w:val="es-AR"/>
        </w:rPr>
      </w:pPr>
      <w:r w:rsidRPr="001160D6">
        <w:rPr>
          <w:lang w:val="es-AR"/>
        </w:rPr>
        <w:t xml:space="preserve">A medida que concluye </w:t>
      </w:r>
      <w:r w:rsidR="00DB1F86" w:rsidRPr="001160D6">
        <w:rPr>
          <w:lang w:val="es-AR"/>
        </w:rPr>
        <w:t xml:space="preserve">un gran número </w:t>
      </w:r>
      <w:r w:rsidR="002300DB" w:rsidRPr="001160D6">
        <w:rPr>
          <w:lang w:val="es-AR"/>
        </w:rPr>
        <w:t xml:space="preserve">de </w:t>
      </w:r>
      <w:r w:rsidRPr="001160D6">
        <w:rPr>
          <w:lang w:val="es-AR"/>
        </w:rPr>
        <w:t xml:space="preserve">proyectos de inversión para </w:t>
      </w:r>
      <w:r w:rsidR="002300DB" w:rsidRPr="001160D6">
        <w:rPr>
          <w:lang w:val="es-AR"/>
        </w:rPr>
        <w:t>eliminación de los HCFC</w:t>
      </w:r>
      <w:r w:rsidR="00DB1F86" w:rsidRPr="001160D6">
        <w:rPr>
          <w:lang w:val="es-AR"/>
        </w:rPr>
        <w:t xml:space="preserve"> con la realización de la etapa </w:t>
      </w:r>
      <w:r w:rsidRPr="001160D6">
        <w:rPr>
          <w:lang w:val="es-AR"/>
        </w:rPr>
        <w:t>I</w:t>
      </w:r>
      <w:r w:rsidR="00DB1F86" w:rsidRPr="001160D6">
        <w:rPr>
          <w:lang w:val="es-AR"/>
        </w:rPr>
        <w:t xml:space="preserve"> </w:t>
      </w:r>
      <w:r w:rsidRPr="001160D6">
        <w:rPr>
          <w:lang w:val="es-AR"/>
        </w:rPr>
        <w:t>y</w:t>
      </w:r>
      <w:r w:rsidR="00DB1F86" w:rsidRPr="001160D6">
        <w:rPr>
          <w:lang w:val="es-AR"/>
        </w:rPr>
        <w:t xml:space="preserve"> II de los planes de gestión de eliminación de </w:t>
      </w:r>
      <w:r w:rsidR="007120E8" w:rsidRPr="001160D6">
        <w:rPr>
          <w:lang w:val="es-AR"/>
        </w:rPr>
        <w:t>los HCFC</w:t>
      </w:r>
      <w:r w:rsidR="00DB1F86" w:rsidRPr="001160D6">
        <w:rPr>
          <w:lang w:val="es-AR"/>
        </w:rPr>
        <w:t xml:space="preserve">, </w:t>
      </w:r>
      <w:r w:rsidRPr="001160D6">
        <w:rPr>
          <w:lang w:val="es-AR"/>
        </w:rPr>
        <w:t>los proyectos</w:t>
      </w:r>
      <w:r w:rsidR="00DB1F86" w:rsidRPr="001160D6">
        <w:rPr>
          <w:lang w:val="es-AR"/>
        </w:rPr>
        <w:t xml:space="preserve"> de inversión </w:t>
      </w:r>
      <w:r w:rsidRPr="001160D6">
        <w:rPr>
          <w:lang w:val="es-AR"/>
        </w:rPr>
        <w:t xml:space="preserve">para </w:t>
      </w:r>
      <w:r w:rsidR="002300DB" w:rsidRPr="001160D6">
        <w:rPr>
          <w:lang w:val="es-AR"/>
        </w:rPr>
        <w:t>reducción de HFC</w:t>
      </w:r>
      <w:r w:rsidR="00DB1F86" w:rsidRPr="001160D6">
        <w:rPr>
          <w:lang w:val="es-AR"/>
        </w:rPr>
        <w:t xml:space="preserve"> podría</w:t>
      </w:r>
      <w:r w:rsidRPr="001160D6">
        <w:rPr>
          <w:lang w:val="es-AR"/>
        </w:rPr>
        <w:t xml:space="preserve">n </w:t>
      </w:r>
      <w:r w:rsidR="00E1169D" w:rsidRPr="001160D6">
        <w:rPr>
          <w:lang w:val="es-AR"/>
        </w:rPr>
        <w:t xml:space="preserve">irse iniciando </w:t>
      </w:r>
      <w:r w:rsidR="00DB1F86" w:rsidRPr="001160D6">
        <w:rPr>
          <w:lang w:val="es-AR"/>
        </w:rPr>
        <w:t xml:space="preserve">gradualmente, </w:t>
      </w:r>
      <w:r w:rsidRPr="001160D6">
        <w:rPr>
          <w:lang w:val="es-AR"/>
        </w:rPr>
        <w:t xml:space="preserve">en especial </w:t>
      </w:r>
      <w:r w:rsidR="00DB1F86" w:rsidRPr="001160D6">
        <w:rPr>
          <w:lang w:val="es-AR"/>
        </w:rPr>
        <w:t xml:space="preserve">en algunos sectores </w:t>
      </w:r>
      <w:r w:rsidRPr="001160D6">
        <w:rPr>
          <w:lang w:val="es-AR"/>
        </w:rPr>
        <w:t>de fabricación</w:t>
      </w:r>
      <w:r w:rsidR="00DB1F86" w:rsidRPr="001160D6">
        <w:rPr>
          <w:lang w:val="es-AR"/>
        </w:rPr>
        <w:t xml:space="preserve"> donde </w:t>
      </w:r>
      <w:r w:rsidR="008D3656" w:rsidRPr="001160D6">
        <w:rPr>
          <w:lang w:val="es-AR"/>
        </w:rPr>
        <w:t xml:space="preserve">hay </w:t>
      </w:r>
      <w:r w:rsidR="00B63879" w:rsidRPr="001160D6">
        <w:rPr>
          <w:lang w:val="es-AR"/>
        </w:rPr>
        <w:t xml:space="preserve">tecnologías alternativas </w:t>
      </w:r>
      <w:r w:rsidR="00DB1F86" w:rsidRPr="001160D6">
        <w:rPr>
          <w:lang w:val="es-AR"/>
        </w:rPr>
        <w:t xml:space="preserve">disponibles </w:t>
      </w:r>
      <w:r w:rsidR="00B63879" w:rsidRPr="001160D6">
        <w:rPr>
          <w:lang w:val="es-AR"/>
        </w:rPr>
        <w:t xml:space="preserve">comercialmente </w:t>
      </w:r>
      <w:r w:rsidR="00DB1F86" w:rsidRPr="001160D6">
        <w:rPr>
          <w:lang w:val="es-AR"/>
        </w:rPr>
        <w:t>y son eficaces en función de los costos, por ejemplo</w:t>
      </w:r>
      <w:r w:rsidR="008D3656" w:rsidRPr="001160D6">
        <w:rPr>
          <w:lang w:val="es-AR"/>
        </w:rPr>
        <w:t>,</w:t>
      </w:r>
      <w:r w:rsidR="00DB1F86" w:rsidRPr="001160D6">
        <w:rPr>
          <w:lang w:val="es-AR"/>
        </w:rPr>
        <w:t xml:space="preserve"> la </w:t>
      </w:r>
      <w:r w:rsidR="00B63879" w:rsidRPr="001160D6">
        <w:rPr>
          <w:lang w:val="es-AR"/>
        </w:rPr>
        <w:t>refrigeración doméstica</w:t>
      </w:r>
      <w:r w:rsidR="00DB1F86" w:rsidRPr="001160D6">
        <w:rPr>
          <w:lang w:val="es-AR"/>
        </w:rPr>
        <w:t xml:space="preserve"> y </w:t>
      </w:r>
      <w:r w:rsidR="00E1169D" w:rsidRPr="001160D6">
        <w:rPr>
          <w:lang w:val="es-AR"/>
        </w:rPr>
        <w:t xml:space="preserve">comercial </w:t>
      </w:r>
      <w:r w:rsidR="008D3656" w:rsidRPr="001160D6">
        <w:rPr>
          <w:lang w:val="es-AR"/>
        </w:rPr>
        <w:t>para equipos autónomos</w:t>
      </w:r>
      <w:r w:rsidR="00DB1F86" w:rsidRPr="001160D6">
        <w:rPr>
          <w:lang w:val="es-AR"/>
        </w:rPr>
        <w:t>.</w:t>
      </w:r>
      <w:r w:rsidR="00DB1F86" w:rsidRPr="001160D6">
        <w:rPr>
          <w:rStyle w:val="FootnoteReference"/>
          <w:lang w:val="es-AR"/>
        </w:rPr>
        <w:footnoteReference w:id="27"/>
      </w:r>
      <w:r w:rsidR="00DB1F86" w:rsidRPr="001160D6">
        <w:rPr>
          <w:lang w:val="es-AR"/>
        </w:rPr>
        <w:t xml:space="preserve"> Algunos países del </w:t>
      </w:r>
      <w:r w:rsidR="007120E8" w:rsidRPr="001160D6">
        <w:rPr>
          <w:lang w:val="es-AR"/>
        </w:rPr>
        <w:t>Artículo</w:t>
      </w:r>
      <w:r w:rsidR="00DB1F86" w:rsidRPr="001160D6">
        <w:rPr>
          <w:lang w:val="es-AR"/>
        </w:rPr>
        <w:t xml:space="preserve"> 5 podían comenzar a convertir estas empresas incluso antes de </w:t>
      </w:r>
      <w:r w:rsidR="00B63879" w:rsidRPr="001160D6">
        <w:rPr>
          <w:lang w:val="es-AR"/>
        </w:rPr>
        <w:t xml:space="preserve">formular totalmente </w:t>
      </w:r>
      <w:r w:rsidR="00DB1F86" w:rsidRPr="001160D6">
        <w:rPr>
          <w:lang w:val="es-AR"/>
        </w:rPr>
        <w:t xml:space="preserve">sus </w:t>
      </w:r>
      <w:r w:rsidR="00D23F22" w:rsidRPr="001160D6">
        <w:rPr>
          <w:lang w:val="es-AR"/>
        </w:rPr>
        <w:t>planes de reducción</w:t>
      </w:r>
      <w:r w:rsidR="002300DB" w:rsidRPr="001160D6">
        <w:rPr>
          <w:lang w:val="es-AR"/>
        </w:rPr>
        <w:t xml:space="preserve"> de HFC</w:t>
      </w:r>
      <w:r w:rsidR="00DB1F86" w:rsidRPr="001160D6">
        <w:rPr>
          <w:lang w:val="es-AR"/>
        </w:rPr>
        <w:t>.</w:t>
      </w:r>
    </w:p>
    <w:p w14:paraId="0F6D22F7" w14:textId="6C1DC547" w:rsidR="00DB1F86" w:rsidRPr="001160D6" w:rsidRDefault="00DB1F86" w:rsidP="00DB1F86">
      <w:pPr>
        <w:pStyle w:val="Heading1"/>
        <w:rPr>
          <w:lang w:val="es-AR"/>
        </w:rPr>
      </w:pPr>
      <w:r w:rsidRPr="001160D6">
        <w:rPr>
          <w:lang w:val="es-AR"/>
        </w:rPr>
        <w:t xml:space="preserve">Según los datos </w:t>
      </w:r>
      <w:r w:rsidR="00FF4D54" w:rsidRPr="001160D6">
        <w:rPr>
          <w:lang w:val="es-AR"/>
        </w:rPr>
        <w:t>inform</w:t>
      </w:r>
      <w:r w:rsidRPr="001160D6">
        <w:rPr>
          <w:lang w:val="es-AR"/>
        </w:rPr>
        <w:t xml:space="preserve">ados por el </w:t>
      </w:r>
      <w:r w:rsidR="0021191E" w:rsidRPr="001160D6">
        <w:rPr>
          <w:lang w:val="es-AR"/>
        </w:rPr>
        <w:t xml:space="preserve">equipo de </w:t>
      </w:r>
      <w:r w:rsidR="009A618F" w:rsidRPr="001160D6">
        <w:rPr>
          <w:lang w:val="es-AR"/>
        </w:rPr>
        <w:t>tareas del Grupo</w:t>
      </w:r>
      <w:r w:rsidR="0021191E" w:rsidRPr="001160D6">
        <w:rPr>
          <w:lang w:val="es-AR"/>
        </w:rPr>
        <w:t xml:space="preserve"> de evaluación técnica y económica</w:t>
      </w:r>
      <w:r w:rsidR="00B63879" w:rsidRPr="001160D6">
        <w:rPr>
          <w:lang w:val="es-AR"/>
        </w:rPr>
        <w:t xml:space="preserve"> </w:t>
      </w:r>
      <w:r w:rsidRPr="001160D6">
        <w:rPr>
          <w:lang w:val="es-AR"/>
        </w:rPr>
        <w:t>(</w:t>
      </w:r>
      <w:r w:rsidR="007120E8" w:rsidRPr="001160D6">
        <w:rPr>
          <w:lang w:val="es-AR"/>
        </w:rPr>
        <w:t>Cuadro</w:t>
      </w:r>
      <w:r w:rsidRPr="001160D6">
        <w:rPr>
          <w:lang w:val="es-AR"/>
        </w:rPr>
        <w:t xml:space="preserve"> 4</w:t>
      </w:r>
      <w:r w:rsidR="00B63879" w:rsidRPr="001160D6">
        <w:rPr>
          <w:lang w:val="es-AR"/>
        </w:rPr>
        <w:t>,</w:t>
      </w:r>
      <w:r w:rsidRPr="001160D6">
        <w:rPr>
          <w:lang w:val="es-AR"/>
        </w:rPr>
        <w:t xml:space="preserve"> </w:t>
      </w:r>
      <w:r w:rsidR="00B63879" w:rsidRPr="001160D6">
        <w:rPr>
          <w:lang w:val="es-AR"/>
        </w:rPr>
        <w:t>anterior</w:t>
      </w:r>
      <w:r w:rsidRPr="001160D6">
        <w:rPr>
          <w:lang w:val="es-AR"/>
        </w:rPr>
        <w:t xml:space="preserve">), </w:t>
      </w:r>
      <w:r w:rsidR="00E1169D" w:rsidRPr="001160D6">
        <w:rPr>
          <w:lang w:val="es-AR"/>
        </w:rPr>
        <w:t>d</w:t>
      </w:r>
      <w:r w:rsidRPr="001160D6">
        <w:rPr>
          <w:lang w:val="es-AR"/>
        </w:rPr>
        <w:t>el consumo total de HFC el 5</w:t>
      </w:r>
      <w:r w:rsidR="007120E8" w:rsidRPr="001160D6">
        <w:rPr>
          <w:lang w:val="es-AR"/>
        </w:rPr>
        <w:t>9,0</w:t>
      </w:r>
      <w:r w:rsidRPr="001160D6">
        <w:rPr>
          <w:lang w:val="es-AR"/>
        </w:rPr>
        <w:t xml:space="preserve"> y 5</w:t>
      </w:r>
      <w:r w:rsidR="007120E8" w:rsidRPr="001160D6">
        <w:rPr>
          <w:lang w:val="es-AR"/>
        </w:rPr>
        <w:t>3,6</w:t>
      </w:r>
      <w:r w:rsidRPr="001160D6">
        <w:rPr>
          <w:lang w:val="es-AR"/>
        </w:rPr>
        <w:t xml:space="preserve"> por ciento en 2020 y 2025</w:t>
      </w:r>
      <w:r w:rsidR="00E1169D" w:rsidRPr="001160D6">
        <w:rPr>
          <w:lang w:val="es-AR"/>
        </w:rPr>
        <w:t>,</w:t>
      </w:r>
      <w:r w:rsidRPr="001160D6">
        <w:rPr>
          <w:lang w:val="es-AR"/>
        </w:rPr>
        <w:t xml:space="preserve"> respectivamente, se relaciona</w:t>
      </w:r>
      <w:r w:rsidR="00CB2802" w:rsidRPr="001160D6">
        <w:rPr>
          <w:lang w:val="es-AR"/>
        </w:rPr>
        <w:t>n</w:t>
      </w:r>
      <w:r w:rsidRPr="001160D6">
        <w:rPr>
          <w:lang w:val="es-AR"/>
        </w:rPr>
        <w:t xml:space="preserve"> con la fabricación </w:t>
      </w:r>
      <w:r w:rsidR="00B63879" w:rsidRPr="001160D6">
        <w:rPr>
          <w:lang w:val="es-AR"/>
        </w:rPr>
        <w:t>de equipos</w:t>
      </w:r>
      <w:r w:rsidRPr="001160D6">
        <w:rPr>
          <w:lang w:val="es-AR"/>
        </w:rPr>
        <w:t xml:space="preserve"> </w:t>
      </w:r>
      <w:r w:rsidR="00240A87" w:rsidRPr="001160D6">
        <w:rPr>
          <w:lang w:val="es-AR"/>
        </w:rPr>
        <w:t>de refrigeración y climatización</w:t>
      </w:r>
      <w:r w:rsidRPr="001160D6">
        <w:rPr>
          <w:lang w:val="es-AR"/>
        </w:rPr>
        <w:t xml:space="preserve">. </w:t>
      </w:r>
      <w:r w:rsidR="00B63879" w:rsidRPr="001160D6">
        <w:rPr>
          <w:lang w:val="es-AR"/>
        </w:rPr>
        <w:t>La conversión temprana</w:t>
      </w:r>
      <w:r w:rsidRPr="001160D6">
        <w:rPr>
          <w:lang w:val="es-AR"/>
        </w:rPr>
        <w:t xml:space="preserve"> de este sector, </w:t>
      </w:r>
      <w:r w:rsidR="00B63879" w:rsidRPr="001160D6">
        <w:rPr>
          <w:lang w:val="es-AR"/>
        </w:rPr>
        <w:t xml:space="preserve">especialmente </w:t>
      </w:r>
      <w:r w:rsidRPr="001160D6">
        <w:rPr>
          <w:lang w:val="es-AR"/>
        </w:rPr>
        <w:t xml:space="preserve">para usos donde </w:t>
      </w:r>
      <w:r w:rsidR="00CB2802" w:rsidRPr="001160D6">
        <w:rPr>
          <w:lang w:val="es-AR"/>
        </w:rPr>
        <w:t xml:space="preserve">se dispone de </w:t>
      </w:r>
      <w:r w:rsidRPr="001160D6">
        <w:rPr>
          <w:lang w:val="es-AR"/>
        </w:rPr>
        <w:t xml:space="preserve">tecnologías </w:t>
      </w:r>
      <w:r w:rsidR="00B63879" w:rsidRPr="001160D6">
        <w:rPr>
          <w:lang w:val="es-AR"/>
        </w:rPr>
        <w:t xml:space="preserve">sostenibles y </w:t>
      </w:r>
      <w:r w:rsidRPr="001160D6">
        <w:rPr>
          <w:lang w:val="es-AR"/>
        </w:rPr>
        <w:t xml:space="preserve">eficaces en función de los costos, tendrá un impacto importante en </w:t>
      </w:r>
      <w:r w:rsidR="00B63879" w:rsidRPr="001160D6">
        <w:rPr>
          <w:lang w:val="es-AR"/>
        </w:rPr>
        <w:t xml:space="preserve">los niveles </w:t>
      </w:r>
      <w:r w:rsidRPr="001160D6">
        <w:rPr>
          <w:lang w:val="es-AR"/>
        </w:rPr>
        <w:t>actua</w:t>
      </w:r>
      <w:r w:rsidR="00B63879" w:rsidRPr="001160D6">
        <w:rPr>
          <w:lang w:val="es-AR"/>
        </w:rPr>
        <w:t>les</w:t>
      </w:r>
      <w:r w:rsidRPr="001160D6">
        <w:rPr>
          <w:lang w:val="es-AR"/>
        </w:rPr>
        <w:t xml:space="preserve"> y futuros de consumo, </w:t>
      </w:r>
      <w:r w:rsidR="00B63879" w:rsidRPr="001160D6">
        <w:rPr>
          <w:lang w:val="es-AR"/>
        </w:rPr>
        <w:t xml:space="preserve">dado que los </w:t>
      </w:r>
      <w:r w:rsidRPr="001160D6">
        <w:rPr>
          <w:lang w:val="es-AR"/>
        </w:rPr>
        <w:t>nuevo</w:t>
      </w:r>
      <w:r w:rsidR="00B63879" w:rsidRPr="001160D6">
        <w:rPr>
          <w:lang w:val="es-AR"/>
        </w:rPr>
        <w:t>s</w:t>
      </w:r>
      <w:r w:rsidRPr="001160D6">
        <w:rPr>
          <w:lang w:val="es-AR"/>
        </w:rPr>
        <w:t xml:space="preserve"> </w:t>
      </w:r>
      <w:r w:rsidR="007120E8" w:rsidRPr="001160D6">
        <w:rPr>
          <w:lang w:val="es-AR"/>
        </w:rPr>
        <w:t>equipos</w:t>
      </w:r>
      <w:r w:rsidRPr="001160D6">
        <w:rPr>
          <w:lang w:val="es-AR"/>
        </w:rPr>
        <w:t xml:space="preserve"> </w:t>
      </w:r>
      <w:r w:rsidR="00240A87" w:rsidRPr="001160D6">
        <w:rPr>
          <w:lang w:val="es-AR"/>
        </w:rPr>
        <w:t>de refrigeración y climatización</w:t>
      </w:r>
      <w:r w:rsidRPr="001160D6">
        <w:rPr>
          <w:lang w:val="es-AR"/>
        </w:rPr>
        <w:t xml:space="preserve"> en estos usos no requerirá</w:t>
      </w:r>
      <w:r w:rsidR="00B63879" w:rsidRPr="001160D6">
        <w:rPr>
          <w:lang w:val="es-AR"/>
        </w:rPr>
        <w:t>n</w:t>
      </w:r>
      <w:r w:rsidRPr="001160D6">
        <w:rPr>
          <w:lang w:val="es-AR"/>
        </w:rPr>
        <w:t xml:space="preserve"> </w:t>
      </w:r>
      <w:r w:rsidR="00B63879" w:rsidRPr="001160D6">
        <w:rPr>
          <w:lang w:val="es-AR"/>
        </w:rPr>
        <w:t>refrigerantes con HFC</w:t>
      </w:r>
      <w:r w:rsidRPr="001160D6">
        <w:rPr>
          <w:lang w:val="es-AR"/>
        </w:rPr>
        <w:t xml:space="preserve"> para </w:t>
      </w:r>
      <w:r w:rsidR="00B63879" w:rsidRPr="001160D6">
        <w:rPr>
          <w:lang w:val="es-AR"/>
        </w:rPr>
        <w:t xml:space="preserve">servicio y </w:t>
      </w:r>
      <w:r w:rsidRPr="001160D6">
        <w:rPr>
          <w:lang w:val="es-AR"/>
        </w:rPr>
        <w:t xml:space="preserve">mantenimiento, y los </w:t>
      </w:r>
      <w:r w:rsidR="00B63879" w:rsidRPr="001160D6">
        <w:rPr>
          <w:lang w:val="es-AR"/>
        </w:rPr>
        <w:t xml:space="preserve">futuros </w:t>
      </w:r>
      <w:r w:rsidRPr="001160D6">
        <w:rPr>
          <w:lang w:val="es-AR"/>
        </w:rPr>
        <w:t>bancos de HFC se reduci</w:t>
      </w:r>
      <w:r w:rsidR="00B63879" w:rsidRPr="001160D6">
        <w:rPr>
          <w:lang w:val="es-AR"/>
        </w:rPr>
        <w:t>rán</w:t>
      </w:r>
      <w:r w:rsidRPr="001160D6">
        <w:rPr>
          <w:lang w:val="es-AR"/>
        </w:rPr>
        <w:t>.</w:t>
      </w:r>
    </w:p>
    <w:p w14:paraId="68E31985" w14:textId="0802B9C8" w:rsidR="00DB1F86" w:rsidRPr="001160D6" w:rsidRDefault="00DB1F86" w:rsidP="00DB1F86">
      <w:pPr>
        <w:widowControl w:val="0"/>
        <w:numPr>
          <w:ilvl w:val="0"/>
          <w:numId w:val="1"/>
        </w:numPr>
        <w:spacing w:after="240"/>
        <w:outlineLvl w:val="0"/>
        <w:rPr>
          <w:lang w:val="es-AR"/>
        </w:rPr>
      </w:pPr>
      <w:r w:rsidRPr="001160D6">
        <w:rPr>
          <w:lang w:val="es-AR"/>
        </w:rPr>
        <w:t xml:space="preserve">Además, podría haber </w:t>
      </w:r>
      <w:r w:rsidR="008F35E9" w:rsidRPr="001160D6">
        <w:rPr>
          <w:lang w:val="es-AR"/>
        </w:rPr>
        <w:t>oportunidades</w:t>
      </w:r>
      <w:r w:rsidRPr="001160D6">
        <w:rPr>
          <w:lang w:val="es-AR"/>
        </w:rPr>
        <w:t xml:space="preserve"> para </w:t>
      </w:r>
      <w:r w:rsidR="00B63879" w:rsidRPr="001160D6">
        <w:rPr>
          <w:lang w:val="es-AR"/>
        </w:rPr>
        <w:t xml:space="preserve">una ejecución integrada de </w:t>
      </w:r>
      <w:r w:rsidR="001D29D0" w:rsidRPr="001160D6">
        <w:rPr>
          <w:lang w:val="es-AR"/>
        </w:rPr>
        <w:t>eliminación de HCFC</w:t>
      </w:r>
      <w:r w:rsidRPr="001160D6">
        <w:rPr>
          <w:lang w:val="es-AR"/>
        </w:rPr>
        <w:t xml:space="preserve"> y </w:t>
      </w:r>
      <w:r w:rsidR="002300DB" w:rsidRPr="001160D6">
        <w:rPr>
          <w:lang w:val="es-AR"/>
        </w:rPr>
        <w:t>reducción de HFC</w:t>
      </w:r>
      <w:r w:rsidRPr="001160D6">
        <w:rPr>
          <w:lang w:val="es-AR"/>
        </w:rPr>
        <w:t xml:space="preserve"> en las empresas que fabrican </w:t>
      </w:r>
      <w:r w:rsidR="007120E8" w:rsidRPr="001160D6">
        <w:rPr>
          <w:lang w:val="es-AR"/>
        </w:rPr>
        <w:t>equipos</w:t>
      </w:r>
      <w:r w:rsidR="005826BD" w:rsidRPr="001160D6">
        <w:rPr>
          <w:lang w:val="es-AR"/>
        </w:rPr>
        <w:t>/productos</w:t>
      </w:r>
      <w:r w:rsidRPr="001160D6">
        <w:rPr>
          <w:lang w:val="es-AR"/>
        </w:rPr>
        <w:t xml:space="preserve"> </w:t>
      </w:r>
      <w:r w:rsidR="007120E8" w:rsidRPr="001160D6">
        <w:rPr>
          <w:lang w:val="es-AR"/>
        </w:rPr>
        <w:t>que utiliza</w:t>
      </w:r>
      <w:r w:rsidR="00B63879" w:rsidRPr="001160D6">
        <w:rPr>
          <w:lang w:val="es-AR"/>
        </w:rPr>
        <w:t>n ambas sustancias</w:t>
      </w:r>
      <w:r w:rsidRPr="001160D6">
        <w:rPr>
          <w:lang w:val="es-AR"/>
        </w:rPr>
        <w:t xml:space="preserve"> y desean convertir ambas tecnologías, según lo explicado </w:t>
      </w:r>
      <w:r w:rsidR="002D1042" w:rsidRPr="001160D6">
        <w:rPr>
          <w:lang w:val="es-AR"/>
        </w:rPr>
        <w:t>a continuación</w:t>
      </w:r>
      <w:r w:rsidRPr="001160D6">
        <w:rPr>
          <w:lang w:val="es-AR"/>
        </w:rPr>
        <w:t>. Para cada uso industrial,</w:t>
      </w:r>
      <w:r w:rsidR="005826BD" w:rsidRPr="001160D6">
        <w:rPr>
          <w:lang w:val="es-AR"/>
        </w:rPr>
        <w:t xml:space="preserve"> se propone</w:t>
      </w:r>
      <w:r w:rsidRPr="001160D6">
        <w:rPr>
          <w:lang w:val="es-AR"/>
        </w:rPr>
        <w:t xml:space="preserve"> una recomendación para una </w:t>
      </w:r>
      <w:r w:rsidR="005826BD" w:rsidRPr="001160D6">
        <w:rPr>
          <w:lang w:val="es-AR"/>
        </w:rPr>
        <w:t xml:space="preserve">posible </w:t>
      </w:r>
      <w:r w:rsidRPr="001160D6">
        <w:rPr>
          <w:lang w:val="es-AR"/>
        </w:rPr>
        <w:t>acción del Comité Ejecutivo.</w:t>
      </w:r>
    </w:p>
    <w:p w14:paraId="6B570191" w14:textId="28960BAD" w:rsidR="00DB1F86" w:rsidRPr="001160D6" w:rsidRDefault="00DB1F86" w:rsidP="00DB1F86">
      <w:pPr>
        <w:keepNext/>
        <w:spacing w:after="240"/>
        <w:outlineLvl w:val="0"/>
        <w:rPr>
          <w:i/>
          <w:lang w:val="es-AR"/>
        </w:rPr>
      </w:pPr>
      <w:r w:rsidRPr="001160D6">
        <w:rPr>
          <w:i/>
          <w:lang w:val="es-AR"/>
        </w:rPr>
        <w:t>Esp</w:t>
      </w:r>
      <w:r w:rsidR="005826BD" w:rsidRPr="001160D6">
        <w:rPr>
          <w:i/>
          <w:lang w:val="es-AR"/>
        </w:rPr>
        <w:t>umas de poliuretano</w:t>
      </w:r>
      <w:r w:rsidRPr="001160D6">
        <w:rPr>
          <w:i/>
          <w:lang w:val="es-AR"/>
        </w:rPr>
        <w:t xml:space="preserve"> </w:t>
      </w:r>
    </w:p>
    <w:p w14:paraId="03E41A5B" w14:textId="62E50BE2" w:rsidR="00DB1F86" w:rsidRPr="001160D6" w:rsidRDefault="00DB1F86" w:rsidP="00DB1F86">
      <w:pPr>
        <w:pStyle w:val="Heading1"/>
        <w:rPr>
          <w:lang w:val="es-AR"/>
        </w:rPr>
      </w:pPr>
      <w:r w:rsidRPr="001160D6">
        <w:rPr>
          <w:lang w:val="es-AR"/>
        </w:rPr>
        <w:t xml:space="preserve">En un gran número de países del </w:t>
      </w:r>
      <w:r w:rsidR="007120E8" w:rsidRPr="001160D6">
        <w:rPr>
          <w:lang w:val="es-AR"/>
        </w:rPr>
        <w:t>Artículo</w:t>
      </w:r>
      <w:r w:rsidRPr="001160D6">
        <w:rPr>
          <w:lang w:val="es-AR"/>
        </w:rPr>
        <w:t xml:space="preserve"> 5,</w:t>
      </w:r>
      <w:r w:rsidR="005826BD" w:rsidRPr="001160D6">
        <w:rPr>
          <w:lang w:val="es-AR"/>
        </w:rPr>
        <w:t xml:space="preserve"> </w:t>
      </w:r>
      <w:r w:rsidRPr="001160D6">
        <w:rPr>
          <w:lang w:val="es-AR"/>
        </w:rPr>
        <w:t xml:space="preserve">las empresas </w:t>
      </w:r>
      <w:r w:rsidR="002D1042" w:rsidRPr="001160D6">
        <w:rPr>
          <w:lang w:val="es-AR"/>
        </w:rPr>
        <w:t xml:space="preserve">que fabrican </w:t>
      </w:r>
      <w:r w:rsidRPr="001160D6">
        <w:rPr>
          <w:lang w:val="es-AR"/>
        </w:rPr>
        <w:t>espuma</w:t>
      </w:r>
      <w:r w:rsidR="005826BD" w:rsidRPr="001160D6">
        <w:rPr>
          <w:lang w:val="es-AR"/>
        </w:rPr>
        <w:t>s de poliuretano</w:t>
      </w:r>
      <w:r w:rsidRPr="001160D6">
        <w:rPr>
          <w:lang w:val="es-AR"/>
        </w:rPr>
        <w:t xml:space="preserve"> y los proveedores de sistemas locales </w:t>
      </w:r>
      <w:r w:rsidR="005826BD" w:rsidRPr="001160D6">
        <w:rPr>
          <w:lang w:val="es-AR"/>
        </w:rPr>
        <w:t>que u</w:t>
      </w:r>
      <w:r w:rsidRPr="001160D6">
        <w:rPr>
          <w:lang w:val="es-AR"/>
        </w:rPr>
        <w:t xml:space="preserve">san </w:t>
      </w:r>
      <w:r w:rsidR="00832BBD" w:rsidRPr="001160D6">
        <w:rPr>
          <w:lang w:val="es-AR"/>
        </w:rPr>
        <w:t>HCFC-14</w:t>
      </w:r>
      <w:r w:rsidRPr="001160D6">
        <w:rPr>
          <w:lang w:val="es-AR"/>
        </w:rPr>
        <w:t>1b (</w:t>
      </w:r>
      <w:r w:rsidR="00FF4D54" w:rsidRPr="001160D6">
        <w:rPr>
          <w:lang w:val="es-AR"/>
        </w:rPr>
        <w:t>inclusive</w:t>
      </w:r>
      <w:r w:rsidRPr="001160D6">
        <w:rPr>
          <w:lang w:val="es-AR"/>
        </w:rPr>
        <w:t xml:space="preserve"> </w:t>
      </w:r>
      <w:r w:rsidR="005826BD" w:rsidRPr="001160D6">
        <w:rPr>
          <w:lang w:val="es-AR"/>
        </w:rPr>
        <w:t xml:space="preserve">los </w:t>
      </w:r>
      <w:r w:rsidRPr="001160D6">
        <w:rPr>
          <w:lang w:val="es-AR"/>
        </w:rPr>
        <w:t xml:space="preserve">contenidos en polioles premezclados importados) </w:t>
      </w:r>
      <w:r w:rsidR="005826BD" w:rsidRPr="001160D6">
        <w:rPr>
          <w:lang w:val="es-AR"/>
        </w:rPr>
        <w:t xml:space="preserve">se </w:t>
      </w:r>
      <w:r w:rsidRPr="001160D6">
        <w:rPr>
          <w:lang w:val="es-AR"/>
        </w:rPr>
        <w:t xml:space="preserve">han convertido a la tecnología de </w:t>
      </w:r>
      <w:r w:rsidR="005826BD" w:rsidRPr="001160D6">
        <w:rPr>
          <w:lang w:val="es-AR"/>
        </w:rPr>
        <w:t>agente espumante</w:t>
      </w:r>
      <w:r w:rsidRPr="001160D6">
        <w:rPr>
          <w:lang w:val="es-AR"/>
        </w:rPr>
        <w:t xml:space="preserve"> </w:t>
      </w:r>
      <w:r w:rsidR="005826BD" w:rsidRPr="001160D6">
        <w:rPr>
          <w:lang w:val="es-AR"/>
        </w:rPr>
        <w:t>con bajo potencial de calentamiento atmosférico</w:t>
      </w:r>
      <w:r w:rsidRPr="001160D6">
        <w:rPr>
          <w:lang w:val="es-AR"/>
        </w:rPr>
        <w:t xml:space="preserve"> como parte de sus planes de gestión de eliminación de </w:t>
      </w:r>
      <w:r w:rsidR="007120E8" w:rsidRPr="001160D6">
        <w:rPr>
          <w:lang w:val="es-AR"/>
        </w:rPr>
        <w:t>los HCFC</w:t>
      </w:r>
      <w:r w:rsidRPr="001160D6">
        <w:rPr>
          <w:lang w:val="es-AR"/>
        </w:rPr>
        <w:t xml:space="preserve">. Los países del </w:t>
      </w:r>
      <w:r w:rsidR="007120E8" w:rsidRPr="001160D6">
        <w:rPr>
          <w:lang w:val="es-AR"/>
        </w:rPr>
        <w:t>Artículo</w:t>
      </w:r>
      <w:r w:rsidRPr="001160D6">
        <w:rPr>
          <w:lang w:val="es-AR"/>
        </w:rPr>
        <w:t xml:space="preserve"> 5 están estableciendo </w:t>
      </w:r>
      <w:r w:rsidR="00FF4D54" w:rsidRPr="001160D6">
        <w:rPr>
          <w:lang w:val="es-AR"/>
        </w:rPr>
        <w:t>reglamentaciones</w:t>
      </w:r>
      <w:r w:rsidRPr="001160D6">
        <w:rPr>
          <w:lang w:val="es-AR"/>
        </w:rPr>
        <w:t xml:space="preserve"> para prohibir la importación y el uso de </w:t>
      </w:r>
      <w:r w:rsidR="007120E8" w:rsidRPr="001160D6">
        <w:rPr>
          <w:lang w:val="es-AR"/>
        </w:rPr>
        <w:t>los HCFC</w:t>
      </w:r>
      <w:r w:rsidRPr="001160D6">
        <w:rPr>
          <w:lang w:val="es-AR"/>
        </w:rPr>
        <w:t xml:space="preserve"> en</w:t>
      </w:r>
      <w:r w:rsidR="005826BD" w:rsidRPr="001160D6">
        <w:rPr>
          <w:lang w:val="es-AR"/>
        </w:rPr>
        <w:t xml:space="preserve"> </w:t>
      </w:r>
      <w:r w:rsidR="003B1B3F" w:rsidRPr="001160D6">
        <w:rPr>
          <w:lang w:val="es-AR"/>
        </w:rPr>
        <w:t>el sector de espumas de poliuretano</w:t>
      </w:r>
      <w:r w:rsidR="002D1042" w:rsidRPr="001160D6">
        <w:rPr>
          <w:lang w:val="es-AR"/>
        </w:rPr>
        <w:t>,</w:t>
      </w:r>
      <w:r w:rsidR="003B1B3F" w:rsidRPr="001160D6">
        <w:rPr>
          <w:lang w:val="es-AR"/>
        </w:rPr>
        <w:t xml:space="preserve"> </w:t>
      </w:r>
      <w:r w:rsidRPr="001160D6">
        <w:rPr>
          <w:lang w:val="es-AR"/>
        </w:rPr>
        <w:t>una vez convertid</w:t>
      </w:r>
      <w:r w:rsidR="002D1042" w:rsidRPr="001160D6">
        <w:rPr>
          <w:lang w:val="es-AR"/>
        </w:rPr>
        <w:t>as</w:t>
      </w:r>
      <w:r w:rsidRPr="001160D6">
        <w:rPr>
          <w:lang w:val="es-AR"/>
        </w:rPr>
        <w:t xml:space="preserve"> todas sus empresas, </w:t>
      </w:r>
      <w:r w:rsidR="003B1B3F" w:rsidRPr="001160D6">
        <w:rPr>
          <w:lang w:val="es-AR"/>
        </w:rPr>
        <w:t>a fin de</w:t>
      </w:r>
      <w:r w:rsidRPr="001160D6">
        <w:rPr>
          <w:lang w:val="es-AR"/>
        </w:rPr>
        <w:t xml:space="preserve"> asegurar la sustentabilidad de </w:t>
      </w:r>
      <w:r w:rsidR="003B1B3F" w:rsidRPr="001160D6">
        <w:rPr>
          <w:lang w:val="es-AR"/>
        </w:rPr>
        <w:t xml:space="preserve">la eliminación de </w:t>
      </w:r>
      <w:r w:rsidR="007120E8" w:rsidRPr="001160D6">
        <w:rPr>
          <w:lang w:val="es-AR"/>
        </w:rPr>
        <w:t>los HCFC</w:t>
      </w:r>
      <w:r w:rsidRPr="001160D6">
        <w:rPr>
          <w:lang w:val="es-AR"/>
        </w:rPr>
        <w:t xml:space="preserve"> en el sector. </w:t>
      </w:r>
      <w:r w:rsidR="003B1B3F" w:rsidRPr="001160D6">
        <w:rPr>
          <w:lang w:val="es-AR"/>
        </w:rPr>
        <w:t>Cada vez están más disponibles l</w:t>
      </w:r>
      <w:r w:rsidRPr="001160D6">
        <w:rPr>
          <w:lang w:val="es-AR"/>
        </w:rPr>
        <w:t xml:space="preserve">as alternativas </w:t>
      </w:r>
      <w:r w:rsidR="003B1B3F" w:rsidRPr="001160D6">
        <w:rPr>
          <w:lang w:val="es-AR"/>
        </w:rPr>
        <w:t xml:space="preserve">de </w:t>
      </w:r>
      <w:proofErr w:type="spellStart"/>
      <w:r w:rsidR="003B1B3F" w:rsidRPr="001160D6">
        <w:rPr>
          <w:lang w:val="es-AR"/>
        </w:rPr>
        <w:t>espumación</w:t>
      </w:r>
      <w:proofErr w:type="spellEnd"/>
      <w:r w:rsidRPr="001160D6">
        <w:rPr>
          <w:lang w:val="es-AR"/>
        </w:rPr>
        <w:t xml:space="preserve"> </w:t>
      </w:r>
      <w:r w:rsidR="003B1B3F" w:rsidRPr="001160D6">
        <w:rPr>
          <w:lang w:val="es-AR"/>
        </w:rPr>
        <w:t xml:space="preserve">con bajo </w:t>
      </w:r>
      <w:r w:rsidR="00FF4D54" w:rsidRPr="001160D6">
        <w:rPr>
          <w:lang w:val="es-AR"/>
        </w:rPr>
        <w:t>potencial de calentamiento atmosférico</w:t>
      </w:r>
      <w:r w:rsidRPr="001160D6">
        <w:rPr>
          <w:lang w:val="es-AR"/>
        </w:rPr>
        <w:t xml:space="preserve">, aunque algunas tengan limitaciones debido a la inflamabilidad o a cuestiones de </w:t>
      </w:r>
      <w:r w:rsidR="003B1B3F" w:rsidRPr="001160D6">
        <w:rPr>
          <w:lang w:val="es-AR"/>
        </w:rPr>
        <w:t>desempeño</w:t>
      </w:r>
      <w:r w:rsidRPr="001160D6">
        <w:rPr>
          <w:lang w:val="es-AR"/>
        </w:rPr>
        <w:t xml:space="preserve">, </w:t>
      </w:r>
      <w:r w:rsidR="007120E8" w:rsidRPr="001160D6">
        <w:rPr>
          <w:lang w:val="es-AR"/>
        </w:rPr>
        <w:t>si bien</w:t>
      </w:r>
      <w:r w:rsidRPr="001160D6">
        <w:rPr>
          <w:lang w:val="es-AR"/>
        </w:rPr>
        <w:t xml:space="preserve"> otras todavía</w:t>
      </w:r>
      <w:r w:rsidR="003B1B3F" w:rsidRPr="001160D6">
        <w:rPr>
          <w:lang w:val="es-AR"/>
        </w:rPr>
        <w:t xml:space="preserve"> tienen una </w:t>
      </w:r>
      <w:r w:rsidRPr="001160D6">
        <w:rPr>
          <w:lang w:val="es-AR"/>
        </w:rPr>
        <w:t xml:space="preserve">disponibilidad comercial </w:t>
      </w:r>
      <w:r w:rsidR="003B1B3F" w:rsidRPr="001160D6">
        <w:rPr>
          <w:lang w:val="es-AR"/>
        </w:rPr>
        <w:t xml:space="preserve">limitada </w:t>
      </w:r>
      <w:r w:rsidRPr="001160D6">
        <w:rPr>
          <w:lang w:val="es-AR"/>
        </w:rPr>
        <w:t>en varios mercados.</w:t>
      </w:r>
    </w:p>
    <w:p w14:paraId="60D3C024" w14:textId="6E0C795D" w:rsidR="00DB1F86" w:rsidRPr="001160D6" w:rsidRDefault="00DB1F86" w:rsidP="00DB1F86">
      <w:pPr>
        <w:pStyle w:val="Heading1"/>
        <w:rPr>
          <w:lang w:val="es-AR"/>
        </w:rPr>
      </w:pPr>
      <w:r w:rsidRPr="001160D6">
        <w:rPr>
          <w:lang w:val="es-AR"/>
        </w:rPr>
        <w:t>A pesar de la</w:t>
      </w:r>
      <w:r w:rsidR="003B1B3F" w:rsidRPr="001160D6">
        <w:rPr>
          <w:lang w:val="es-AR"/>
        </w:rPr>
        <w:t xml:space="preserve"> creciente</w:t>
      </w:r>
      <w:r w:rsidRPr="001160D6">
        <w:rPr>
          <w:lang w:val="es-AR"/>
        </w:rPr>
        <w:t xml:space="preserve"> disponibilidad y asequibilidad de las alternativas </w:t>
      </w:r>
      <w:r w:rsidR="005826BD" w:rsidRPr="001160D6">
        <w:rPr>
          <w:lang w:val="es-AR"/>
        </w:rPr>
        <w:t>con bajo potencial de calentamiento atmosférico</w:t>
      </w:r>
      <w:r w:rsidRPr="001160D6">
        <w:rPr>
          <w:lang w:val="es-AR"/>
        </w:rPr>
        <w:t xml:space="preserve"> en</w:t>
      </w:r>
      <w:r w:rsidR="005826BD" w:rsidRPr="001160D6">
        <w:rPr>
          <w:lang w:val="es-AR"/>
        </w:rPr>
        <w:t xml:space="preserve"> </w:t>
      </w:r>
      <w:r w:rsidR="003B1B3F" w:rsidRPr="001160D6">
        <w:rPr>
          <w:lang w:val="es-AR"/>
        </w:rPr>
        <w:t>el sector de espumas de poliuretano</w:t>
      </w:r>
      <w:r w:rsidRPr="001160D6">
        <w:rPr>
          <w:lang w:val="es-AR"/>
        </w:rPr>
        <w:t xml:space="preserve">, </w:t>
      </w:r>
      <w:r w:rsidR="00944DE1" w:rsidRPr="001160D6">
        <w:rPr>
          <w:lang w:val="es-AR"/>
        </w:rPr>
        <w:t>los HFC</w:t>
      </w:r>
      <w:r w:rsidRPr="001160D6">
        <w:rPr>
          <w:lang w:val="es-AR"/>
        </w:rPr>
        <w:t xml:space="preserve"> (principalmente </w:t>
      </w:r>
      <w:r w:rsidR="00092A32" w:rsidRPr="001160D6">
        <w:rPr>
          <w:lang w:val="es-AR"/>
        </w:rPr>
        <w:t xml:space="preserve">el </w:t>
      </w:r>
      <w:r w:rsidRPr="001160D6">
        <w:rPr>
          <w:lang w:val="es-AR"/>
        </w:rPr>
        <w:t xml:space="preserve">HFC-245fa y </w:t>
      </w:r>
      <w:r w:rsidR="00092A32" w:rsidRPr="001160D6">
        <w:rPr>
          <w:lang w:val="es-AR"/>
        </w:rPr>
        <w:t xml:space="preserve">el </w:t>
      </w:r>
      <w:r w:rsidRPr="001160D6">
        <w:rPr>
          <w:lang w:val="es-AR"/>
        </w:rPr>
        <w:t xml:space="preserve">HFC-365mfc/HFC-227ea) también </w:t>
      </w:r>
      <w:r w:rsidR="00092A32" w:rsidRPr="001160D6">
        <w:rPr>
          <w:lang w:val="es-AR"/>
        </w:rPr>
        <w:t xml:space="preserve">se encuentran </w:t>
      </w:r>
      <w:r w:rsidRPr="001160D6">
        <w:rPr>
          <w:lang w:val="es-AR"/>
        </w:rPr>
        <w:t xml:space="preserve">fácilmente en varios países del </w:t>
      </w:r>
      <w:r w:rsidR="007120E8" w:rsidRPr="001160D6">
        <w:rPr>
          <w:lang w:val="es-AR"/>
        </w:rPr>
        <w:t>Artículo</w:t>
      </w:r>
      <w:r w:rsidRPr="001160D6">
        <w:rPr>
          <w:lang w:val="es-AR"/>
        </w:rPr>
        <w:t xml:space="preserve"> 5. Est</w:t>
      </w:r>
      <w:r w:rsidR="00092A32" w:rsidRPr="001160D6">
        <w:rPr>
          <w:lang w:val="es-AR"/>
        </w:rPr>
        <w:t>os HFC con alto potencial de calentamiento atmosférico</w:t>
      </w:r>
      <w:r w:rsidRPr="001160D6">
        <w:rPr>
          <w:lang w:val="es-AR"/>
        </w:rPr>
        <w:t xml:space="preserve"> </w:t>
      </w:r>
      <w:r w:rsidR="00092A32" w:rsidRPr="001160D6">
        <w:rPr>
          <w:lang w:val="es-AR"/>
        </w:rPr>
        <w:t xml:space="preserve">son </w:t>
      </w:r>
      <w:r w:rsidRPr="001160D6">
        <w:rPr>
          <w:lang w:val="es-AR"/>
        </w:rPr>
        <w:t>asequible</w:t>
      </w:r>
      <w:r w:rsidR="00092A32" w:rsidRPr="001160D6">
        <w:rPr>
          <w:lang w:val="es-AR"/>
        </w:rPr>
        <w:t>s</w:t>
      </w:r>
      <w:r w:rsidRPr="001160D6">
        <w:rPr>
          <w:lang w:val="es-AR"/>
        </w:rPr>
        <w:t xml:space="preserve">, </w:t>
      </w:r>
      <w:r w:rsidR="005E7A88" w:rsidRPr="001160D6">
        <w:rPr>
          <w:lang w:val="es-AR"/>
        </w:rPr>
        <w:t xml:space="preserve">se </w:t>
      </w:r>
      <w:r w:rsidRPr="001160D6">
        <w:rPr>
          <w:lang w:val="es-AR"/>
        </w:rPr>
        <w:t>adopta</w:t>
      </w:r>
      <w:r w:rsidR="00092A32" w:rsidRPr="001160D6">
        <w:rPr>
          <w:lang w:val="es-AR"/>
        </w:rPr>
        <w:t>n</w:t>
      </w:r>
      <w:r w:rsidRPr="001160D6">
        <w:rPr>
          <w:lang w:val="es-AR"/>
        </w:rPr>
        <w:t xml:space="preserve"> fácilmente, </w:t>
      </w:r>
      <w:r w:rsidR="007120E8" w:rsidRPr="001160D6">
        <w:rPr>
          <w:lang w:val="es-AR"/>
        </w:rPr>
        <w:t>puede utilizarse</w:t>
      </w:r>
      <w:r w:rsidRPr="001160D6">
        <w:rPr>
          <w:lang w:val="es-AR"/>
        </w:rPr>
        <w:t xml:space="preserve"> </w:t>
      </w:r>
      <w:r w:rsidR="00092A32" w:rsidRPr="001160D6">
        <w:rPr>
          <w:lang w:val="es-AR"/>
        </w:rPr>
        <w:t xml:space="preserve">como sustancias de uso inmediato para </w:t>
      </w:r>
      <w:r w:rsidRPr="001160D6">
        <w:rPr>
          <w:lang w:val="es-AR"/>
        </w:rPr>
        <w:t>para muchos usos de espuma</w:t>
      </w:r>
      <w:r w:rsidR="005E7A88" w:rsidRPr="001160D6">
        <w:rPr>
          <w:lang w:val="es-AR"/>
        </w:rPr>
        <w:t>s</w:t>
      </w:r>
      <w:r w:rsidRPr="001160D6">
        <w:rPr>
          <w:lang w:val="es-AR"/>
        </w:rPr>
        <w:t>, tiene</w:t>
      </w:r>
      <w:r w:rsidR="00092A32" w:rsidRPr="001160D6">
        <w:rPr>
          <w:lang w:val="es-AR"/>
        </w:rPr>
        <w:t>n</w:t>
      </w:r>
      <w:r w:rsidRPr="001160D6">
        <w:rPr>
          <w:lang w:val="es-AR"/>
        </w:rPr>
        <w:t xml:space="preserve"> </w:t>
      </w:r>
      <w:r w:rsidR="00092A32" w:rsidRPr="001160D6">
        <w:rPr>
          <w:lang w:val="es-AR"/>
        </w:rPr>
        <w:t xml:space="preserve">un desempeño </w:t>
      </w:r>
      <w:r w:rsidRPr="001160D6">
        <w:rPr>
          <w:lang w:val="es-AR"/>
        </w:rPr>
        <w:t xml:space="preserve">satisfactorio y </w:t>
      </w:r>
      <w:r w:rsidR="00092A32" w:rsidRPr="001160D6">
        <w:rPr>
          <w:lang w:val="es-AR"/>
        </w:rPr>
        <w:t xml:space="preserve">no presentan ningún problema </w:t>
      </w:r>
      <w:r w:rsidRPr="001160D6">
        <w:rPr>
          <w:lang w:val="es-AR"/>
        </w:rPr>
        <w:t xml:space="preserve">de inflamabilidad. En ausencia de </w:t>
      </w:r>
      <w:r w:rsidR="005E7A88" w:rsidRPr="001160D6">
        <w:rPr>
          <w:lang w:val="es-AR"/>
        </w:rPr>
        <w:t xml:space="preserve">todo </w:t>
      </w:r>
      <w:r w:rsidRPr="001160D6">
        <w:rPr>
          <w:lang w:val="es-AR"/>
        </w:rPr>
        <w:t>control de</w:t>
      </w:r>
      <w:r w:rsidR="00944DE1" w:rsidRPr="001160D6">
        <w:rPr>
          <w:lang w:val="es-AR"/>
        </w:rPr>
        <w:t xml:space="preserve"> HFC</w:t>
      </w:r>
      <w:r w:rsidRPr="001160D6">
        <w:rPr>
          <w:lang w:val="es-AR"/>
        </w:rPr>
        <w:t xml:space="preserve">, muchas empresas ya convertidas o </w:t>
      </w:r>
      <w:r w:rsidR="00092A32" w:rsidRPr="001160D6">
        <w:rPr>
          <w:lang w:val="es-AR"/>
        </w:rPr>
        <w:t xml:space="preserve">recientemente </w:t>
      </w:r>
      <w:r w:rsidRPr="001160D6">
        <w:rPr>
          <w:lang w:val="es-AR"/>
        </w:rPr>
        <w:t>establecidas podrían comenzar fácilmente</w:t>
      </w:r>
      <w:r w:rsidR="005E7A88" w:rsidRPr="001160D6">
        <w:rPr>
          <w:lang w:val="es-AR"/>
        </w:rPr>
        <w:t xml:space="preserve"> a</w:t>
      </w:r>
      <w:r w:rsidRPr="001160D6">
        <w:rPr>
          <w:lang w:val="es-AR"/>
        </w:rPr>
        <w:t xml:space="preserve"> </w:t>
      </w:r>
      <w:r w:rsidR="00092A32" w:rsidRPr="001160D6">
        <w:rPr>
          <w:lang w:val="es-AR"/>
        </w:rPr>
        <w:t>utiliz</w:t>
      </w:r>
      <w:r w:rsidR="005E7A88" w:rsidRPr="001160D6">
        <w:rPr>
          <w:lang w:val="es-AR"/>
        </w:rPr>
        <w:t>arlos</w:t>
      </w:r>
      <w:r w:rsidRPr="001160D6">
        <w:rPr>
          <w:lang w:val="es-AR"/>
        </w:rPr>
        <w:t xml:space="preserve">, </w:t>
      </w:r>
      <w:r w:rsidR="00092A32" w:rsidRPr="001160D6">
        <w:rPr>
          <w:lang w:val="es-AR"/>
        </w:rPr>
        <w:t xml:space="preserve">socavando de este modo </w:t>
      </w:r>
      <w:r w:rsidRPr="001160D6">
        <w:rPr>
          <w:lang w:val="es-AR"/>
        </w:rPr>
        <w:t xml:space="preserve">los resultados alcanzados en el plan de gestión de eliminación de </w:t>
      </w:r>
      <w:r w:rsidR="007120E8" w:rsidRPr="001160D6">
        <w:rPr>
          <w:lang w:val="es-AR"/>
        </w:rPr>
        <w:t>los HCFC</w:t>
      </w:r>
      <w:r w:rsidRPr="001160D6">
        <w:rPr>
          <w:lang w:val="es-AR"/>
        </w:rPr>
        <w:t>, aumentando el consumo de HFC (puro o en polioles premezclados importados) no admisible</w:t>
      </w:r>
      <w:r w:rsidR="005E7A88" w:rsidRPr="001160D6">
        <w:rPr>
          <w:lang w:val="es-AR"/>
        </w:rPr>
        <w:t>s</w:t>
      </w:r>
      <w:r w:rsidRPr="001160D6">
        <w:rPr>
          <w:lang w:val="es-AR"/>
        </w:rPr>
        <w:t xml:space="preserve"> para financia</w:t>
      </w:r>
      <w:r w:rsidR="00092A32" w:rsidRPr="001160D6">
        <w:rPr>
          <w:lang w:val="es-AR"/>
        </w:rPr>
        <w:t>miento</w:t>
      </w:r>
      <w:r w:rsidR="00062E0D" w:rsidRPr="001160D6">
        <w:rPr>
          <w:lang w:val="es-AR"/>
        </w:rPr>
        <w:t>,</w:t>
      </w:r>
      <w:r w:rsidR="00092A32" w:rsidRPr="001160D6">
        <w:rPr>
          <w:lang w:val="es-AR"/>
        </w:rPr>
        <w:t xml:space="preserve"> </w:t>
      </w:r>
      <w:r w:rsidRPr="001160D6">
        <w:rPr>
          <w:lang w:val="es-AR"/>
        </w:rPr>
        <w:t xml:space="preserve">y </w:t>
      </w:r>
      <w:r w:rsidR="00092A32" w:rsidRPr="001160D6">
        <w:rPr>
          <w:lang w:val="es-AR"/>
        </w:rPr>
        <w:t xml:space="preserve">dificultando </w:t>
      </w:r>
      <w:r w:rsidR="008820C8" w:rsidRPr="001160D6">
        <w:rPr>
          <w:lang w:val="es-AR"/>
        </w:rPr>
        <w:t xml:space="preserve">la </w:t>
      </w:r>
      <w:r w:rsidR="00092A32" w:rsidRPr="001160D6">
        <w:rPr>
          <w:lang w:val="es-AR"/>
        </w:rPr>
        <w:t xml:space="preserve">futura </w:t>
      </w:r>
      <w:r w:rsidR="008820C8" w:rsidRPr="001160D6">
        <w:rPr>
          <w:lang w:val="es-AR"/>
        </w:rPr>
        <w:t>reducción</w:t>
      </w:r>
      <w:r w:rsidRPr="001160D6">
        <w:rPr>
          <w:lang w:val="es-AR"/>
        </w:rPr>
        <w:t xml:space="preserve"> de HFC para el país. </w:t>
      </w:r>
    </w:p>
    <w:p w14:paraId="367F0FED" w14:textId="58EA7B0A" w:rsidR="00DB1F86" w:rsidRPr="001160D6" w:rsidRDefault="00DB1F86" w:rsidP="00DB1F86">
      <w:pPr>
        <w:pStyle w:val="Heading1"/>
        <w:rPr>
          <w:lang w:val="es-AR"/>
        </w:rPr>
      </w:pPr>
      <w:r w:rsidRPr="001160D6">
        <w:rPr>
          <w:lang w:val="es-AR"/>
        </w:rPr>
        <w:t xml:space="preserve">Por ejemplo, de los 84 países del </w:t>
      </w:r>
      <w:r w:rsidR="007120E8" w:rsidRPr="001160D6">
        <w:rPr>
          <w:lang w:val="es-AR"/>
        </w:rPr>
        <w:t>Artículo</w:t>
      </w:r>
      <w:r w:rsidRPr="001160D6">
        <w:rPr>
          <w:lang w:val="es-AR"/>
        </w:rPr>
        <w:t xml:space="preserve"> 5 que </w:t>
      </w:r>
      <w:r w:rsidR="00FF4D54" w:rsidRPr="001160D6">
        <w:rPr>
          <w:lang w:val="es-AR"/>
        </w:rPr>
        <w:t>inform</w:t>
      </w:r>
      <w:r w:rsidRPr="001160D6">
        <w:rPr>
          <w:lang w:val="es-AR"/>
        </w:rPr>
        <w:t xml:space="preserve">aron datos de consumo de HFC en 2019 </w:t>
      </w:r>
      <w:r w:rsidR="00C9399C" w:rsidRPr="001160D6">
        <w:rPr>
          <w:lang w:val="es-AR"/>
        </w:rPr>
        <w:t>bajo el informe</w:t>
      </w:r>
      <w:r w:rsidRPr="001160D6">
        <w:rPr>
          <w:lang w:val="es-AR"/>
        </w:rPr>
        <w:t xml:space="preserve"> de </w:t>
      </w:r>
      <w:r w:rsidR="00FF4D54" w:rsidRPr="001160D6">
        <w:rPr>
          <w:lang w:val="es-AR"/>
        </w:rPr>
        <w:t>ejecución del programa</w:t>
      </w:r>
      <w:r w:rsidRPr="001160D6">
        <w:rPr>
          <w:lang w:val="es-AR"/>
        </w:rPr>
        <w:t xml:space="preserve"> de país, 11 (ocho</w:t>
      </w:r>
      <w:r w:rsidR="00B321BA" w:rsidRPr="001160D6">
        <w:rPr>
          <w:lang w:val="es-AR"/>
        </w:rPr>
        <w:t xml:space="preserve"> países sin bajo consumo</w:t>
      </w:r>
      <w:r w:rsidRPr="001160D6">
        <w:rPr>
          <w:lang w:val="es-AR"/>
        </w:rPr>
        <w:t xml:space="preserve"> y tres países de </w:t>
      </w:r>
      <w:r w:rsidR="00B321BA" w:rsidRPr="001160D6">
        <w:rPr>
          <w:lang w:val="es-AR"/>
        </w:rPr>
        <w:t xml:space="preserve">países </w:t>
      </w:r>
      <w:r w:rsidR="00B321BA" w:rsidRPr="001160D6">
        <w:rPr>
          <w:lang w:val="es-AR"/>
        </w:rPr>
        <w:lastRenderedPageBreak/>
        <w:t>con bajo consumo</w:t>
      </w:r>
      <w:r w:rsidRPr="001160D6">
        <w:rPr>
          <w:lang w:val="es-AR"/>
        </w:rPr>
        <w:t xml:space="preserve">) identificaron un uso total de </w:t>
      </w:r>
      <w:r w:rsidR="007120E8" w:rsidRPr="001160D6">
        <w:rPr>
          <w:lang w:val="es-AR"/>
        </w:rPr>
        <w:t>1 151</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Pr="001160D6">
        <w:rPr>
          <w:lang w:val="es-AR"/>
        </w:rPr>
        <w:t xml:space="preserve">de HFC-245fa y/o de HFC-365mfc/HFC-227ea en el </w:t>
      </w:r>
      <w:r w:rsidR="00FF4D54" w:rsidRPr="001160D6">
        <w:rPr>
          <w:lang w:val="es-AR"/>
        </w:rPr>
        <w:t>sector de espumas</w:t>
      </w:r>
      <w:r w:rsidRPr="001160D6">
        <w:rPr>
          <w:lang w:val="es-AR"/>
        </w:rPr>
        <w:t xml:space="preserve">. Además, uno de estos países </w:t>
      </w:r>
      <w:r w:rsidR="00FF4D54" w:rsidRPr="001160D6">
        <w:rPr>
          <w:lang w:val="es-AR"/>
        </w:rPr>
        <w:t>inform</w:t>
      </w:r>
      <w:r w:rsidRPr="001160D6">
        <w:rPr>
          <w:lang w:val="es-AR"/>
        </w:rPr>
        <w:t xml:space="preserve">ó el uso de </w:t>
      </w:r>
      <w:r w:rsidR="007120E8" w:rsidRPr="001160D6">
        <w:rPr>
          <w:lang w:val="es-AR"/>
        </w:rPr>
        <w:t>2 865</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Pr="001160D6">
        <w:rPr>
          <w:lang w:val="es-AR"/>
        </w:rPr>
        <w:t xml:space="preserve">de HFC-245fa en el </w:t>
      </w:r>
      <w:r w:rsidR="00FF4D54" w:rsidRPr="001160D6">
        <w:rPr>
          <w:lang w:val="es-AR"/>
        </w:rPr>
        <w:t>sector de refrigeración</w:t>
      </w:r>
      <w:r w:rsidRPr="001160D6">
        <w:rPr>
          <w:lang w:val="es-AR"/>
        </w:rPr>
        <w:t xml:space="preserve">, posiblemente para el aislamiento </w:t>
      </w:r>
      <w:r w:rsidR="00B63879" w:rsidRPr="001160D6">
        <w:rPr>
          <w:lang w:val="es-AR"/>
        </w:rPr>
        <w:t>de equipos</w:t>
      </w:r>
      <w:r w:rsidRPr="001160D6">
        <w:rPr>
          <w:lang w:val="es-AR"/>
        </w:rPr>
        <w:t xml:space="preserve">. Se </w:t>
      </w:r>
      <w:r w:rsidR="00A73F68" w:rsidRPr="001160D6">
        <w:rPr>
          <w:lang w:val="es-AR"/>
        </w:rPr>
        <w:t xml:space="preserve">prevé </w:t>
      </w:r>
      <w:r w:rsidRPr="001160D6">
        <w:rPr>
          <w:lang w:val="es-AR"/>
        </w:rPr>
        <w:t xml:space="preserve">que la cantidad real de </w:t>
      </w:r>
      <w:r w:rsidR="00944DE1" w:rsidRPr="001160D6">
        <w:rPr>
          <w:lang w:val="es-AR"/>
        </w:rPr>
        <w:t>los HFC</w:t>
      </w:r>
      <w:r w:rsidRPr="001160D6">
        <w:rPr>
          <w:lang w:val="es-AR"/>
        </w:rPr>
        <w:t xml:space="preserve"> utili</w:t>
      </w:r>
      <w:r w:rsidR="00A73F68" w:rsidRPr="001160D6">
        <w:rPr>
          <w:lang w:val="es-AR"/>
        </w:rPr>
        <w:t xml:space="preserve">zados </w:t>
      </w:r>
      <w:r w:rsidRPr="001160D6">
        <w:rPr>
          <w:lang w:val="es-AR"/>
        </w:rPr>
        <w:t>en</w:t>
      </w:r>
      <w:r w:rsidR="005826BD" w:rsidRPr="001160D6">
        <w:rPr>
          <w:lang w:val="es-AR"/>
        </w:rPr>
        <w:t xml:space="preserve"> </w:t>
      </w:r>
      <w:r w:rsidR="00A73F68" w:rsidRPr="001160D6">
        <w:rPr>
          <w:lang w:val="es-AR"/>
        </w:rPr>
        <w:t xml:space="preserve">espumas de poliuretano </w:t>
      </w:r>
      <w:r w:rsidRPr="001160D6">
        <w:rPr>
          <w:lang w:val="es-AR"/>
        </w:rPr>
        <w:t xml:space="preserve">puede ser más alta que las cantidades arriba </w:t>
      </w:r>
      <w:r w:rsidR="00A73F68" w:rsidRPr="001160D6">
        <w:rPr>
          <w:lang w:val="es-AR"/>
        </w:rPr>
        <w:t xml:space="preserve">indicadas, dado que </w:t>
      </w:r>
      <w:r w:rsidRPr="001160D6">
        <w:rPr>
          <w:lang w:val="es-AR"/>
        </w:rPr>
        <w:t xml:space="preserve">algunos de los países con capacidad de fabricación todavía no han </w:t>
      </w:r>
      <w:r w:rsidR="00FF4D54" w:rsidRPr="001160D6">
        <w:rPr>
          <w:lang w:val="es-AR"/>
        </w:rPr>
        <w:t>inform</w:t>
      </w:r>
      <w:r w:rsidRPr="001160D6">
        <w:rPr>
          <w:lang w:val="es-AR"/>
        </w:rPr>
        <w:t>ado su consumo de HFC.</w:t>
      </w:r>
    </w:p>
    <w:p w14:paraId="4392D1B0" w14:textId="66B00135" w:rsidR="00DB1F86" w:rsidRPr="001160D6" w:rsidRDefault="00062E0D" w:rsidP="00DB1F86">
      <w:pPr>
        <w:pStyle w:val="Heading1"/>
        <w:rPr>
          <w:lang w:val="es-AR"/>
        </w:rPr>
      </w:pPr>
      <w:r w:rsidRPr="001160D6">
        <w:rPr>
          <w:lang w:val="es-AR"/>
        </w:rPr>
        <w:t xml:space="preserve">Aquellos </w:t>
      </w:r>
      <w:r w:rsidR="00DB1F86" w:rsidRPr="001160D6">
        <w:rPr>
          <w:lang w:val="es-AR"/>
        </w:rPr>
        <w:t xml:space="preserve">países del </w:t>
      </w:r>
      <w:r w:rsidR="007120E8" w:rsidRPr="001160D6">
        <w:rPr>
          <w:lang w:val="es-AR"/>
        </w:rPr>
        <w:t>Artículo</w:t>
      </w:r>
      <w:r w:rsidR="00DB1F86" w:rsidRPr="001160D6">
        <w:rPr>
          <w:lang w:val="es-AR"/>
        </w:rPr>
        <w:t xml:space="preserve"> 5 que han terminado o están </w:t>
      </w:r>
      <w:r w:rsidR="00A73F68" w:rsidRPr="001160D6">
        <w:rPr>
          <w:lang w:val="es-AR"/>
        </w:rPr>
        <w:t xml:space="preserve">por terminar </w:t>
      </w:r>
      <w:r w:rsidRPr="001160D6">
        <w:rPr>
          <w:lang w:val="es-AR"/>
        </w:rPr>
        <w:t>la</w:t>
      </w:r>
      <w:r w:rsidR="00DB1F86" w:rsidRPr="001160D6">
        <w:rPr>
          <w:lang w:val="es-AR"/>
        </w:rPr>
        <w:t xml:space="preserve"> </w:t>
      </w:r>
      <w:r w:rsidR="00A73F68" w:rsidRPr="001160D6">
        <w:rPr>
          <w:lang w:val="es-AR"/>
        </w:rPr>
        <w:t xml:space="preserve">eliminación </w:t>
      </w:r>
      <w:r w:rsidR="00DB1F86" w:rsidRPr="001160D6">
        <w:rPr>
          <w:lang w:val="es-AR"/>
        </w:rPr>
        <w:t xml:space="preserve">de </w:t>
      </w:r>
      <w:r w:rsidR="00482916">
        <w:rPr>
          <w:lang w:val="es-AR"/>
        </w:rPr>
        <w:t>HCFC</w:t>
      </w:r>
      <w:r w:rsidR="00482916">
        <w:rPr>
          <w:lang w:val="es-AR"/>
        </w:rPr>
        <w:noBreakHyphen/>
      </w:r>
      <w:r w:rsidR="00832BBD" w:rsidRPr="001160D6">
        <w:rPr>
          <w:lang w:val="es-AR"/>
        </w:rPr>
        <w:t>14</w:t>
      </w:r>
      <w:r w:rsidR="00DB1F86" w:rsidRPr="001160D6">
        <w:rPr>
          <w:lang w:val="es-AR"/>
        </w:rPr>
        <w:t>1b en</w:t>
      </w:r>
      <w:r w:rsidR="005826BD" w:rsidRPr="001160D6">
        <w:rPr>
          <w:lang w:val="es-AR"/>
        </w:rPr>
        <w:t xml:space="preserve"> </w:t>
      </w:r>
      <w:r w:rsidR="003B1B3F" w:rsidRPr="001160D6">
        <w:rPr>
          <w:lang w:val="es-AR"/>
        </w:rPr>
        <w:t xml:space="preserve">el sector de espumas de poliuretano </w:t>
      </w:r>
      <w:r w:rsidR="00DB1F86" w:rsidRPr="001160D6">
        <w:rPr>
          <w:lang w:val="es-AR"/>
        </w:rPr>
        <w:t xml:space="preserve">podrían considerar integrar en sus </w:t>
      </w:r>
      <w:r w:rsidR="00A73F68" w:rsidRPr="001160D6">
        <w:rPr>
          <w:lang w:val="es-AR"/>
        </w:rPr>
        <w:t>planes de eliminación</w:t>
      </w:r>
      <w:r w:rsidR="00DB1F86" w:rsidRPr="001160D6">
        <w:rPr>
          <w:lang w:val="es-AR"/>
        </w:rPr>
        <w:t xml:space="preserve"> de HFC-245fa y HFC-365mfc/HFC-227ea puros o en polioles premezclados importados. Este </w:t>
      </w:r>
      <w:r w:rsidR="007120E8" w:rsidRPr="001160D6">
        <w:rPr>
          <w:lang w:val="es-AR"/>
        </w:rPr>
        <w:t>enfoque</w:t>
      </w:r>
      <w:r w:rsidR="00DB1F86" w:rsidRPr="001160D6">
        <w:rPr>
          <w:lang w:val="es-AR"/>
        </w:rPr>
        <w:t xml:space="preserve"> sería eficaz en función de los costos, </w:t>
      </w:r>
      <w:r w:rsidR="00A73F68" w:rsidRPr="001160D6">
        <w:rPr>
          <w:lang w:val="es-AR"/>
        </w:rPr>
        <w:t xml:space="preserve">dado que </w:t>
      </w:r>
      <w:r w:rsidR="00DB1F86" w:rsidRPr="001160D6">
        <w:rPr>
          <w:lang w:val="es-AR"/>
        </w:rPr>
        <w:t xml:space="preserve">aprovecharía la infraestructura existente dentro del plan de gestión de eliminación de </w:t>
      </w:r>
      <w:r w:rsidR="007120E8" w:rsidRPr="001160D6">
        <w:rPr>
          <w:lang w:val="es-AR"/>
        </w:rPr>
        <w:t>los HCFC</w:t>
      </w:r>
      <w:r w:rsidR="00DB1F86" w:rsidRPr="001160D6">
        <w:rPr>
          <w:lang w:val="es-AR"/>
        </w:rPr>
        <w:t xml:space="preserve"> y ayudaría a evitar el </w:t>
      </w:r>
      <w:r w:rsidR="00A73F68" w:rsidRPr="001160D6">
        <w:rPr>
          <w:lang w:val="es-AR"/>
        </w:rPr>
        <w:t xml:space="preserve">posible </w:t>
      </w:r>
      <w:r w:rsidR="00DB1F86" w:rsidRPr="001160D6">
        <w:rPr>
          <w:lang w:val="es-AR"/>
        </w:rPr>
        <w:t xml:space="preserve">crecimiento del consumo de HFC que </w:t>
      </w:r>
      <w:r w:rsidR="00A73F68" w:rsidRPr="001160D6">
        <w:rPr>
          <w:lang w:val="es-AR"/>
        </w:rPr>
        <w:t xml:space="preserve">no </w:t>
      </w:r>
      <w:r w:rsidR="00DB1F86" w:rsidRPr="001160D6">
        <w:rPr>
          <w:lang w:val="es-AR"/>
        </w:rPr>
        <w:t xml:space="preserve">sería admisible para financiar bajo el </w:t>
      </w:r>
      <w:r w:rsidR="00FF4D54" w:rsidRPr="001160D6">
        <w:rPr>
          <w:lang w:val="es-AR"/>
        </w:rPr>
        <w:t>Fondo Multilateral</w:t>
      </w:r>
      <w:r w:rsidR="00DB1F86" w:rsidRPr="001160D6">
        <w:rPr>
          <w:lang w:val="es-AR"/>
        </w:rPr>
        <w:t>.</w:t>
      </w:r>
      <w:r w:rsidR="00DB1F86" w:rsidRPr="001160D6">
        <w:rPr>
          <w:rStyle w:val="FootnoteReference"/>
          <w:lang w:val="es-AR"/>
        </w:rPr>
        <w:footnoteReference w:id="28"/>
      </w:r>
      <w:r w:rsidR="00DB1F86" w:rsidRPr="001160D6">
        <w:rPr>
          <w:lang w:val="es-AR"/>
        </w:rPr>
        <w:t xml:space="preserve"> Para asegurar una </w:t>
      </w:r>
      <w:r w:rsidR="00A73F68" w:rsidRPr="001160D6">
        <w:rPr>
          <w:lang w:val="es-AR"/>
        </w:rPr>
        <w:t>reducción</w:t>
      </w:r>
      <w:r w:rsidRPr="001160D6">
        <w:rPr>
          <w:lang w:val="es-AR"/>
        </w:rPr>
        <w:t xml:space="preserve"> sostenida</w:t>
      </w:r>
      <w:r w:rsidR="00DB1F86" w:rsidRPr="001160D6">
        <w:rPr>
          <w:lang w:val="es-AR"/>
        </w:rPr>
        <w:t xml:space="preserve"> de HFC, el plan debe</w:t>
      </w:r>
      <w:r w:rsidR="00A73F68" w:rsidRPr="001160D6">
        <w:rPr>
          <w:lang w:val="es-AR"/>
        </w:rPr>
        <w:t>ría</w:t>
      </w:r>
      <w:r w:rsidR="00DB1F86" w:rsidRPr="001160D6">
        <w:rPr>
          <w:lang w:val="es-AR"/>
        </w:rPr>
        <w:t xml:space="preserve"> considerar </w:t>
      </w:r>
      <w:r w:rsidR="00A73F68" w:rsidRPr="001160D6">
        <w:rPr>
          <w:lang w:val="es-AR"/>
        </w:rPr>
        <w:t xml:space="preserve">todo </w:t>
      </w:r>
      <w:r w:rsidR="00DB1F86" w:rsidRPr="001160D6">
        <w:rPr>
          <w:lang w:val="es-AR"/>
        </w:rPr>
        <w:t>el sector</w:t>
      </w:r>
      <w:r w:rsidRPr="001160D6">
        <w:rPr>
          <w:lang w:val="es-AR"/>
        </w:rPr>
        <w:t>,</w:t>
      </w:r>
      <w:r w:rsidR="00DB1F86" w:rsidRPr="001160D6">
        <w:rPr>
          <w:lang w:val="es-AR"/>
        </w:rPr>
        <w:t xml:space="preserve"> </w:t>
      </w:r>
      <w:r w:rsidR="00FF4D54" w:rsidRPr="001160D6">
        <w:rPr>
          <w:lang w:val="es-AR"/>
        </w:rPr>
        <w:t>inclusive</w:t>
      </w:r>
      <w:r w:rsidR="00DB1F86" w:rsidRPr="001160D6">
        <w:rPr>
          <w:lang w:val="es-AR"/>
        </w:rPr>
        <w:t xml:space="preserve"> las empresas no admisibles </w:t>
      </w:r>
      <w:r w:rsidR="00A73F68" w:rsidRPr="001160D6">
        <w:rPr>
          <w:lang w:val="es-AR"/>
        </w:rPr>
        <w:t>autofinanciadas</w:t>
      </w:r>
      <w:r w:rsidR="00DB1F86" w:rsidRPr="001160D6">
        <w:rPr>
          <w:lang w:val="es-AR"/>
        </w:rPr>
        <w:t>, y debe</w:t>
      </w:r>
      <w:r w:rsidR="00A73F68" w:rsidRPr="001160D6">
        <w:rPr>
          <w:lang w:val="es-AR"/>
        </w:rPr>
        <w:t>ría</w:t>
      </w:r>
      <w:r w:rsidR="00DB1F86" w:rsidRPr="001160D6">
        <w:rPr>
          <w:lang w:val="es-AR"/>
        </w:rPr>
        <w:t xml:space="preserve"> ofrecer medidas reguladoras para apoyar </w:t>
      </w:r>
      <w:r w:rsidR="00A73F68" w:rsidRPr="001160D6">
        <w:rPr>
          <w:lang w:val="es-AR"/>
        </w:rPr>
        <w:t>la eliminación</w:t>
      </w:r>
      <w:r w:rsidR="00DB1F86" w:rsidRPr="001160D6">
        <w:rPr>
          <w:lang w:val="es-AR"/>
        </w:rPr>
        <w:t xml:space="preserve">, </w:t>
      </w:r>
      <w:r w:rsidR="00FF4D54" w:rsidRPr="001160D6">
        <w:rPr>
          <w:lang w:val="es-AR"/>
        </w:rPr>
        <w:t>inclusive</w:t>
      </w:r>
      <w:r w:rsidR="00DB1F86" w:rsidRPr="001160D6">
        <w:rPr>
          <w:lang w:val="es-AR"/>
        </w:rPr>
        <w:t xml:space="preserve"> para las </w:t>
      </w:r>
      <w:r w:rsidR="002300DB" w:rsidRPr="001160D6">
        <w:rPr>
          <w:lang w:val="es-AR"/>
        </w:rPr>
        <w:t>sustancias</w:t>
      </w:r>
      <w:r w:rsidR="00DB1F86" w:rsidRPr="001160D6">
        <w:rPr>
          <w:lang w:val="es-AR"/>
        </w:rPr>
        <w:t xml:space="preserve"> controladas en polioles premezclados importados. </w:t>
      </w:r>
    </w:p>
    <w:p w14:paraId="72831790" w14:textId="595064B4" w:rsidR="00DB1F86" w:rsidRPr="001160D6" w:rsidRDefault="00DB1F86" w:rsidP="00DB1F86">
      <w:pPr>
        <w:pStyle w:val="Heading1"/>
        <w:rPr>
          <w:lang w:val="es-AR"/>
        </w:rPr>
      </w:pPr>
      <w:r w:rsidRPr="001160D6">
        <w:rPr>
          <w:lang w:val="es-AR"/>
        </w:rPr>
        <w:t xml:space="preserve">Durante </w:t>
      </w:r>
      <w:r w:rsidR="001D29D0" w:rsidRPr="001160D6">
        <w:rPr>
          <w:lang w:val="es-AR"/>
        </w:rPr>
        <w:t>la eliminación de los HCFC</w:t>
      </w:r>
      <w:r w:rsidRPr="001160D6">
        <w:rPr>
          <w:lang w:val="es-AR"/>
        </w:rPr>
        <w:t xml:space="preserve">, </w:t>
      </w:r>
      <w:r w:rsidR="00062E0D" w:rsidRPr="001160D6">
        <w:rPr>
          <w:lang w:val="es-AR"/>
        </w:rPr>
        <w:t xml:space="preserve">al observar </w:t>
      </w:r>
      <w:r w:rsidRPr="001160D6">
        <w:rPr>
          <w:lang w:val="es-AR"/>
        </w:rPr>
        <w:t xml:space="preserve">la importancia del consumo de </w:t>
      </w:r>
      <w:r w:rsidR="00832BBD" w:rsidRPr="001160D6">
        <w:rPr>
          <w:lang w:val="es-AR"/>
        </w:rPr>
        <w:t>HCFC-14</w:t>
      </w:r>
      <w:r w:rsidRPr="001160D6">
        <w:rPr>
          <w:lang w:val="es-AR"/>
        </w:rPr>
        <w:t xml:space="preserve">1b en polioles premezclados importados, y dado el deseo de asegurar que todas las empresas </w:t>
      </w:r>
      <w:r w:rsidR="00FF4D54" w:rsidRPr="001160D6">
        <w:rPr>
          <w:lang w:val="es-AR"/>
        </w:rPr>
        <w:t>admisible</w:t>
      </w:r>
      <w:r w:rsidRPr="001160D6">
        <w:rPr>
          <w:lang w:val="es-AR"/>
        </w:rPr>
        <w:t xml:space="preserve">s </w:t>
      </w:r>
      <w:r w:rsidR="00A73F68" w:rsidRPr="001160D6">
        <w:rPr>
          <w:lang w:val="es-AR"/>
        </w:rPr>
        <w:t xml:space="preserve">que utilizan </w:t>
      </w:r>
      <w:r w:rsidRPr="001160D6">
        <w:rPr>
          <w:lang w:val="es-AR"/>
        </w:rPr>
        <w:t>estos polioles podrían convertir</w:t>
      </w:r>
      <w:r w:rsidR="00A73F68" w:rsidRPr="001160D6">
        <w:rPr>
          <w:lang w:val="es-AR"/>
        </w:rPr>
        <w:t>se</w:t>
      </w:r>
      <w:r w:rsidRPr="001160D6">
        <w:rPr>
          <w:lang w:val="es-AR"/>
        </w:rPr>
        <w:t xml:space="preserve"> con la ayuda del </w:t>
      </w:r>
      <w:r w:rsidR="00FF4D54" w:rsidRPr="001160D6">
        <w:rPr>
          <w:lang w:val="es-AR"/>
        </w:rPr>
        <w:t>Fondo Multilateral</w:t>
      </w:r>
      <w:r w:rsidRPr="001160D6">
        <w:rPr>
          <w:lang w:val="es-AR"/>
        </w:rPr>
        <w:t xml:space="preserve">, el </w:t>
      </w:r>
      <w:r w:rsidR="007120E8" w:rsidRPr="001160D6">
        <w:rPr>
          <w:lang w:val="es-AR"/>
        </w:rPr>
        <w:t>Comité Ejecutivo decidió</w:t>
      </w:r>
      <w:r w:rsidRPr="001160D6">
        <w:rPr>
          <w:lang w:val="es-AR"/>
        </w:rPr>
        <w:t xml:space="preserve"> </w:t>
      </w:r>
      <w:r w:rsidR="00A73F68" w:rsidRPr="001160D6">
        <w:rPr>
          <w:lang w:val="es-AR"/>
        </w:rPr>
        <w:t xml:space="preserve">adoptar </w:t>
      </w:r>
      <w:r w:rsidRPr="001160D6">
        <w:rPr>
          <w:lang w:val="es-AR"/>
        </w:rPr>
        <w:t xml:space="preserve">una política </w:t>
      </w:r>
      <w:r w:rsidR="00A73F68" w:rsidRPr="001160D6">
        <w:rPr>
          <w:lang w:val="es-AR"/>
        </w:rPr>
        <w:t>par</w:t>
      </w:r>
      <w:r w:rsidRPr="001160D6">
        <w:rPr>
          <w:lang w:val="es-AR"/>
        </w:rPr>
        <w:t>a financiar</w:t>
      </w:r>
      <w:r w:rsidR="005826BD" w:rsidRPr="001160D6">
        <w:rPr>
          <w:lang w:val="es-AR"/>
        </w:rPr>
        <w:t xml:space="preserve"> </w:t>
      </w:r>
      <w:r w:rsidR="00A73F68" w:rsidRPr="001160D6">
        <w:rPr>
          <w:lang w:val="es-AR"/>
        </w:rPr>
        <w:t xml:space="preserve">las empresas de espumas de poliuretano </w:t>
      </w:r>
      <w:r w:rsidRPr="001160D6">
        <w:rPr>
          <w:lang w:val="es-AR"/>
        </w:rPr>
        <w:t xml:space="preserve"> que consum</w:t>
      </w:r>
      <w:r w:rsidR="00A73F68" w:rsidRPr="001160D6">
        <w:rPr>
          <w:lang w:val="es-AR"/>
        </w:rPr>
        <w:t>ían</w:t>
      </w:r>
      <w:r w:rsidRPr="001160D6">
        <w:rPr>
          <w:lang w:val="es-AR"/>
        </w:rPr>
        <w:t xml:space="preserve"> </w:t>
      </w:r>
      <w:r w:rsidR="00832BBD" w:rsidRPr="001160D6">
        <w:rPr>
          <w:lang w:val="es-AR"/>
        </w:rPr>
        <w:t>HCFC-14</w:t>
      </w:r>
      <w:r w:rsidRPr="001160D6">
        <w:rPr>
          <w:lang w:val="es-AR"/>
        </w:rPr>
        <w:t xml:space="preserve">1b en polioles premezclados importados, </w:t>
      </w:r>
      <w:r w:rsidR="00FF4D54" w:rsidRPr="001160D6">
        <w:rPr>
          <w:lang w:val="es-AR"/>
        </w:rPr>
        <w:t>a condición de que</w:t>
      </w:r>
      <w:r w:rsidRPr="001160D6">
        <w:rPr>
          <w:lang w:val="es-AR"/>
        </w:rPr>
        <w:t xml:space="preserve"> los países del </w:t>
      </w:r>
      <w:r w:rsidR="007120E8" w:rsidRPr="001160D6">
        <w:rPr>
          <w:lang w:val="es-AR"/>
        </w:rPr>
        <w:t>Artículo</w:t>
      </w:r>
      <w:r w:rsidRPr="001160D6">
        <w:rPr>
          <w:lang w:val="es-AR"/>
        </w:rPr>
        <w:t xml:space="preserve"> 5 </w:t>
      </w:r>
      <w:r w:rsidR="00A73F68" w:rsidRPr="001160D6">
        <w:rPr>
          <w:lang w:val="es-AR"/>
        </w:rPr>
        <w:t xml:space="preserve">se comprometieran </w:t>
      </w:r>
      <w:r w:rsidRPr="001160D6">
        <w:rPr>
          <w:lang w:val="es-AR"/>
        </w:rPr>
        <w:t xml:space="preserve">a </w:t>
      </w:r>
      <w:r w:rsidR="00A73F68" w:rsidRPr="001160D6">
        <w:rPr>
          <w:lang w:val="es-AR"/>
        </w:rPr>
        <w:t xml:space="preserve">dictar </w:t>
      </w:r>
      <w:r w:rsidRPr="001160D6">
        <w:rPr>
          <w:lang w:val="es-AR"/>
        </w:rPr>
        <w:t xml:space="preserve">medidas reguladoras para parar </w:t>
      </w:r>
      <w:r w:rsidR="00A73F68" w:rsidRPr="001160D6">
        <w:rPr>
          <w:lang w:val="es-AR"/>
        </w:rPr>
        <w:t xml:space="preserve">el abastecimiento y </w:t>
      </w:r>
      <w:r w:rsidRPr="001160D6">
        <w:rPr>
          <w:lang w:val="es-AR"/>
        </w:rPr>
        <w:t xml:space="preserve">uso de polioles premezclados importados </w:t>
      </w:r>
      <w:r w:rsidR="00A73F68" w:rsidRPr="001160D6">
        <w:rPr>
          <w:lang w:val="es-AR"/>
        </w:rPr>
        <w:t xml:space="preserve">con </w:t>
      </w:r>
      <w:r w:rsidR="00482916">
        <w:rPr>
          <w:lang w:val="es-AR"/>
        </w:rPr>
        <w:t>HCFC</w:t>
      </w:r>
      <w:r w:rsidR="00482916">
        <w:rPr>
          <w:lang w:val="es-AR"/>
        </w:rPr>
        <w:noBreakHyphen/>
      </w:r>
      <w:r w:rsidR="00832BBD" w:rsidRPr="001160D6">
        <w:rPr>
          <w:lang w:val="es-AR"/>
        </w:rPr>
        <w:t>14</w:t>
      </w:r>
      <w:r w:rsidRPr="001160D6">
        <w:rPr>
          <w:lang w:val="es-AR"/>
        </w:rPr>
        <w:t>1b.</w:t>
      </w:r>
      <w:r w:rsidRPr="001160D6">
        <w:rPr>
          <w:rStyle w:val="FootnoteReference"/>
          <w:lang w:val="es-AR"/>
        </w:rPr>
        <w:footnoteReference w:id="29"/>
      </w:r>
      <w:r w:rsidRPr="001160D6">
        <w:rPr>
          <w:lang w:val="es-AR"/>
        </w:rPr>
        <w:t xml:space="preserve"> Esto </w:t>
      </w:r>
      <w:r w:rsidR="00A73F68" w:rsidRPr="001160D6">
        <w:rPr>
          <w:lang w:val="es-AR"/>
        </w:rPr>
        <w:t xml:space="preserve">permitió a los países del </w:t>
      </w:r>
      <w:r w:rsidR="007120E8" w:rsidRPr="001160D6">
        <w:rPr>
          <w:lang w:val="es-AR"/>
        </w:rPr>
        <w:t>Artículo</w:t>
      </w:r>
      <w:r w:rsidRPr="001160D6">
        <w:rPr>
          <w:lang w:val="es-AR"/>
        </w:rPr>
        <w:t xml:space="preserve"> 5 eliminar efica</w:t>
      </w:r>
      <w:r w:rsidR="00A73F68" w:rsidRPr="001160D6">
        <w:rPr>
          <w:lang w:val="es-AR"/>
        </w:rPr>
        <w:t xml:space="preserve">zmente el </w:t>
      </w:r>
      <w:r w:rsidR="00832BBD" w:rsidRPr="001160D6">
        <w:rPr>
          <w:lang w:val="es-AR"/>
        </w:rPr>
        <w:t>HCFC-14</w:t>
      </w:r>
      <w:r w:rsidRPr="001160D6">
        <w:rPr>
          <w:lang w:val="es-AR"/>
        </w:rPr>
        <w:t>1b en todas las formas y evitar la migración del uso de</w:t>
      </w:r>
      <w:r w:rsidR="00062E0D" w:rsidRPr="001160D6">
        <w:rPr>
          <w:lang w:val="es-AR"/>
        </w:rPr>
        <w:t>l</w:t>
      </w:r>
      <w:r w:rsidRPr="001160D6">
        <w:rPr>
          <w:lang w:val="es-AR"/>
        </w:rPr>
        <w:t xml:space="preserve"> </w:t>
      </w:r>
      <w:r w:rsidR="00832BBD" w:rsidRPr="001160D6">
        <w:rPr>
          <w:lang w:val="es-AR"/>
        </w:rPr>
        <w:t>HCFC-14</w:t>
      </w:r>
      <w:r w:rsidRPr="001160D6">
        <w:rPr>
          <w:lang w:val="es-AR"/>
        </w:rPr>
        <w:t>1b puro a</w:t>
      </w:r>
      <w:r w:rsidR="00062E0D" w:rsidRPr="001160D6">
        <w:rPr>
          <w:lang w:val="es-AR"/>
        </w:rPr>
        <w:t>l</w:t>
      </w:r>
      <w:r w:rsidRPr="001160D6">
        <w:rPr>
          <w:lang w:val="es-AR"/>
        </w:rPr>
        <w:t xml:space="preserve"> </w:t>
      </w:r>
      <w:r w:rsidR="00832BBD" w:rsidRPr="001160D6">
        <w:rPr>
          <w:lang w:val="es-AR"/>
        </w:rPr>
        <w:t>HCFC-14</w:t>
      </w:r>
      <w:r w:rsidRPr="001160D6">
        <w:rPr>
          <w:lang w:val="es-AR"/>
        </w:rPr>
        <w:t xml:space="preserve">1b en </w:t>
      </w:r>
      <w:proofErr w:type="spellStart"/>
      <w:r w:rsidRPr="001160D6">
        <w:rPr>
          <w:lang w:val="es-AR"/>
        </w:rPr>
        <w:t>polioles</w:t>
      </w:r>
      <w:proofErr w:type="spellEnd"/>
      <w:r w:rsidRPr="001160D6">
        <w:rPr>
          <w:lang w:val="es-AR"/>
        </w:rPr>
        <w:t xml:space="preserve"> premezclados importados. Una situación similar </w:t>
      </w:r>
      <w:r w:rsidR="00062E0D" w:rsidRPr="001160D6">
        <w:rPr>
          <w:lang w:val="es-AR"/>
        </w:rPr>
        <w:t xml:space="preserve">se da </w:t>
      </w:r>
      <w:r w:rsidRPr="001160D6">
        <w:rPr>
          <w:lang w:val="es-AR"/>
        </w:rPr>
        <w:t xml:space="preserve">con </w:t>
      </w:r>
      <w:r w:rsidR="00944DE1" w:rsidRPr="001160D6">
        <w:rPr>
          <w:lang w:val="es-AR"/>
        </w:rPr>
        <w:t>los HFC</w:t>
      </w:r>
      <w:r w:rsidRPr="001160D6">
        <w:rPr>
          <w:lang w:val="es-AR"/>
        </w:rPr>
        <w:t xml:space="preserve"> utiliz</w:t>
      </w:r>
      <w:r w:rsidR="0072784E" w:rsidRPr="001160D6">
        <w:rPr>
          <w:lang w:val="es-AR"/>
        </w:rPr>
        <w:t>ados</w:t>
      </w:r>
      <w:r w:rsidRPr="001160D6">
        <w:rPr>
          <w:lang w:val="es-AR"/>
        </w:rPr>
        <w:t xml:space="preserve"> como </w:t>
      </w:r>
      <w:r w:rsidR="0072784E" w:rsidRPr="001160D6">
        <w:rPr>
          <w:lang w:val="es-AR"/>
        </w:rPr>
        <w:t>agentes</w:t>
      </w:r>
      <w:r w:rsidRPr="001160D6">
        <w:rPr>
          <w:lang w:val="es-AR"/>
        </w:rPr>
        <w:t xml:space="preserve"> espumantes y </w:t>
      </w:r>
      <w:r w:rsidR="00944DE1" w:rsidRPr="001160D6">
        <w:rPr>
          <w:lang w:val="es-AR"/>
        </w:rPr>
        <w:t>los HFC</w:t>
      </w:r>
      <w:r w:rsidRPr="001160D6">
        <w:rPr>
          <w:lang w:val="es-AR"/>
        </w:rPr>
        <w:t xml:space="preserve"> en polioles premezclados importados; por lo tanto, se debe</w:t>
      </w:r>
      <w:r w:rsidR="00062E0D" w:rsidRPr="001160D6">
        <w:rPr>
          <w:lang w:val="es-AR"/>
        </w:rPr>
        <w:t>ría</w:t>
      </w:r>
      <w:r w:rsidRPr="001160D6">
        <w:rPr>
          <w:lang w:val="es-AR"/>
        </w:rPr>
        <w:t xml:space="preserve"> seguir </w:t>
      </w:r>
      <w:r w:rsidR="00062E0D" w:rsidRPr="001160D6">
        <w:rPr>
          <w:lang w:val="es-AR"/>
        </w:rPr>
        <w:t xml:space="preserve">el mismo enfoque </w:t>
      </w:r>
      <w:r w:rsidRPr="001160D6">
        <w:rPr>
          <w:lang w:val="es-AR"/>
        </w:rPr>
        <w:t xml:space="preserve">con respecto </w:t>
      </w:r>
      <w:r w:rsidR="0072784E" w:rsidRPr="001160D6">
        <w:rPr>
          <w:lang w:val="es-AR"/>
        </w:rPr>
        <w:t xml:space="preserve">a la </w:t>
      </w:r>
      <w:r w:rsidRPr="001160D6">
        <w:rPr>
          <w:lang w:val="es-AR"/>
        </w:rPr>
        <w:t>elimina</w:t>
      </w:r>
      <w:r w:rsidR="0072784E" w:rsidRPr="001160D6">
        <w:rPr>
          <w:lang w:val="es-AR"/>
        </w:rPr>
        <w:t>ción</w:t>
      </w:r>
      <w:r w:rsidRPr="001160D6">
        <w:rPr>
          <w:lang w:val="es-AR"/>
        </w:rPr>
        <w:t xml:space="preserve"> de </w:t>
      </w:r>
      <w:r w:rsidR="00944DE1" w:rsidRPr="001160D6">
        <w:rPr>
          <w:lang w:val="es-AR"/>
        </w:rPr>
        <w:t>los HFC</w:t>
      </w:r>
      <w:r w:rsidRPr="001160D6">
        <w:rPr>
          <w:lang w:val="es-AR"/>
        </w:rPr>
        <w:t xml:space="preserve"> puro</w:t>
      </w:r>
      <w:r w:rsidR="0072784E" w:rsidRPr="001160D6">
        <w:rPr>
          <w:lang w:val="es-AR"/>
        </w:rPr>
        <w:t>s</w:t>
      </w:r>
      <w:r w:rsidRPr="001160D6">
        <w:rPr>
          <w:lang w:val="es-AR"/>
        </w:rPr>
        <w:t xml:space="preserve"> o en polioles premezclados importados</w:t>
      </w:r>
      <w:r w:rsidR="0072784E" w:rsidRPr="001160D6">
        <w:rPr>
          <w:lang w:val="es-AR"/>
        </w:rPr>
        <w:t xml:space="preserve"> y respecto a la </w:t>
      </w:r>
      <w:r w:rsidR="00062E0D" w:rsidRPr="001160D6">
        <w:rPr>
          <w:lang w:val="es-AR"/>
        </w:rPr>
        <w:t xml:space="preserve">exportación </w:t>
      </w:r>
      <w:r w:rsidRPr="001160D6">
        <w:rPr>
          <w:lang w:val="es-AR"/>
        </w:rPr>
        <w:t xml:space="preserve">de </w:t>
      </w:r>
      <w:r w:rsidR="00944DE1" w:rsidRPr="001160D6">
        <w:rPr>
          <w:lang w:val="es-AR"/>
        </w:rPr>
        <w:t>HFC</w:t>
      </w:r>
      <w:r w:rsidRPr="001160D6">
        <w:rPr>
          <w:lang w:val="es-AR"/>
        </w:rPr>
        <w:t xml:space="preserve"> en polioles premezclados. </w:t>
      </w:r>
      <w:r w:rsidR="00062E0D" w:rsidRPr="001160D6">
        <w:rPr>
          <w:lang w:val="es-AR"/>
        </w:rPr>
        <w:t xml:space="preserve"> </w:t>
      </w:r>
    </w:p>
    <w:p w14:paraId="2A2BEC38" w14:textId="0D312100" w:rsidR="00DB1F86" w:rsidRPr="001160D6" w:rsidRDefault="00DB1F86" w:rsidP="00DB1F86">
      <w:pPr>
        <w:pStyle w:val="Heading1"/>
        <w:rPr>
          <w:lang w:val="es-AR"/>
        </w:rPr>
      </w:pPr>
      <w:r w:rsidRPr="001160D6">
        <w:rPr>
          <w:lang w:val="es-AR"/>
        </w:rPr>
        <w:t xml:space="preserve">El Comité Ejecutivo </w:t>
      </w:r>
      <w:r w:rsidR="007120E8" w:rsidRPr="001160D6">
        <w:rPr>
          <w:u w:val="single"/>
          <w:lang w:val="es-AR"/>
        </w:rPr>
        <w:t>podría</w:t>
      </w:r>
      <w:r w:rsidR="00062E0D" w:rsidRPr="001160D6">
        <w:rPr>
          <w:u w:val="single"/>
          <w:lang w:val="es-AR"/>
        </w:rPr>
        <w:t xml:space="preserve"> querer</w:t>
      </w:r>
      <w:r w:rsidRPr="001160D6">
        <w:rPr>
          <w:lang w:val="es-AR"/>
        </w:rPr>
        <w:t>:</w:t>
      </w:r>
    </w:p>
    <w:p w14:paraId="7211F263" w14:textId="58CF9F12" w:rsidR="00DB1F86" w:rsidRPr="001160D6" w:rsidRDefault="0072784E" w:rsidP="00DB1F86">
      <w:pPr>
        <w:pStyle w:val="Heading2"/>
        <w:rPr>
          <w:lang w:val="es-AR"/>
        </w:rPr>
      </w:pPr>
      <w:r w:rsidRPr="001160D6">
        <w:rPr>
          <w:lang w:val="es-AR"/>
        </w:rPr>
        <w:t>A</w:t>
      </w:r>
      <w:r w:rsidR="00DB1F86" w:rsidRPr="001160D6">
        <w:rPr>
          <w:lang w:val="es-AR"/>
        </w:rPr>
        <w:t xml:space="preserve">probar </w:t>
      </w:r>
      <w:r w:rsidRPr="001160D6">
        <w:rPr>
          <w:lang w:val="es-AR"/>
        </w:rPr>
        <w:t>planes sectoriales</w:t>
      </w:r>
      <w:r w:rsidR="00DB1F86" w:rsidRPr="001160D6">
        <w:rPr>
          <w:lang w:val="es-AR"/>
        </w:rPr>
        <w:t xml:space="preserve"> para</w:t>
      </w:r>
      <w:r w:rsidRPr="001160D6">
        <w:rPr>
          <w:lang w:val="es-AR"/>
        </w:rPr>
        <w:t xml:space="preserve"> la eliminación total </w:t>
      </w:r>
      <w:r w:rsidR="00DB1F86" w:rsidRPr="001160D6">
        <w:rPr>
          <w:lang w:val="es-AR"/>
        </w:rPr>
        <w:t>de HFC</w:t>
      </w:r>
      <w:r w:rsidR="005826BD" w:rsidRPr="001160D6">
        <w:rPr>
          <w:lang w:val="es-AR"/>
        </w:rPr>
        <w:t xml:space="preserve"> </w:t>
      </w:r>
      <w:r w:rsidR="00DB1F86" w:rsidRPr="001160D6">
        <w:rPr>
          <w:lang w:val="es-AR"/>
        </w:rPr>
        <w:t>puro</w:t>
      </w:r>
      <w:r w:rsidRPr="001160D6">
        <w:rPr>
          <w:lang w:val="es-AR"/>
        </w:rPr>
        <w:t>s</w:t>
      </w:r>
      <w:r w:rsidR="00DB1F86" w:rsidRPr="001160D6">
        <w:rPr>
          <w:lang w:val="es-AR"/>
        </w:rPr>
        <w:t xml:space="preserve"> o en polioles premezclados en el </w:t>
      </w:r>
      <w:r w:rsidR="00FF4D54" w:rsidRPr="001160D6">
        <w:rPr>
          <w:lang w:val="es-AR"/>
        </w:rPr>
        <w:t>sector de espumas</w:t>
      </w:r>
      <w:r w:rsidRPr="001160D6">
        <w:rPr>
          <w:lang w:val="es-AR"/>
        </w:rPr>
        <w:t xml:space="preserve"> de poliuretano</w:t>
      </w:r>
      <w:r w:rsidR="00DB1F86" w:rsidRPr="001160D6">
        <w:rPr>
          <w:lang w:val="es-AR"/>
        </w:rPr>
        <w:t xml:space="preserve">, </w:t>
      </w:r>
      <w:r w:rsidRPr="001160D6">
        <w:rPr>
          <w:lang w:val="es-AR"/>
        </w:rPr>
        <w:t>quedando entendido que</w:t>
      </w:r>
      <w:r w:rsidR="00DB1F86" w:rsidRPr="001160D6">
        <w:rPr>
          <w:lang w:val="es-AR"/>
        </w:rPr>
        <w:t>:</w:t>
      </w:r>
    </w:p>
    <w:p w14:paraId="358CBC32" w14:textId="4F481C01" w:rsidR="00DB1F86" w:rsidRPr="001160D6" w:rsidRDefault="00062E0D" w:rsidP="00DB1F86">
      <w:pPr>
        <w:pStyle w:val="Heading3"/>
        <w:rPr>
          <w:lang w:val="es-AR"/>
        </w:rPr>
      </w:pPr>
      <w:r w:rsidRPr="001160D6">
        <w:rPr>
          <w:lang w:val="es-AR"/>
        </w:rPr>
        <w:t xml:space="preserve">Todo </w:t>
      </w:r>
      <w:r w:rsidR="00DB1F86" w:rsidRPr="001160D6">
        <w:rPr>
          <w:lang w:val="es-AR"/>
        </w:rPr>
        <w:t xml:space="preserve">país del </w:t>
      </w:r>
      <w:r w:rsidR="007120E8" w:rsidRPr="001160D6">
        <w:rPr>
          <w:lang w:val="es-AR"/>
        </w:rPr>
        <w:t>Artículo</w:t>
      </w:r>
      <w:r w:rsidR="00DB1F86" w:rsidRPr="001160D6">
        <w:rPr>
          <w:lang w:val="es-AR"/>
        </w:rPr>
        <w:t xml:space="preserve"> 5 que </w:t>
      </w:r>
      <w:r w:rsidR="0072784E" w:rsidRPr="001160D6">
        <w:rPr>
          <w:lang w:val="es-AR"/>
        </w:rPr>
        <w:t xml:space="preserve">presente </w:t>
      </w:r>
      <w:r w:rsidR="00DB1F86" w:rsidRPr="001160D6">
        <w:rPr>
          <w:lang w:val="es-AR"/>
        </w:rPr>
        <w:t xml:space="preserve">un proyecto habrá ratificado la </w:t>
      </w:r>
      <w:r w:rsidR="00FF4D54" w:rsidRPr="001160D6">
        <w:rPr>
          <w:lang w:val="es-AR"/>
        </w:rPr>
        <w:t>Enmienda</w:t>
      </w:r>
      <w:r w:rsidR="00DB1F86" w:rsidRPr="001160D6">
        <w:rPr>
          <w:lang w:val="es-AR"/>
        </w:rPr>
        <w:t xml:space="preserve"> de Kigali o </w:t>
      </w:r>
      <w:r w:rsidR="0072784E" w:rsidRPr="001160D6">
        <w:rPr>
          <w:lang w:val="es-AR"/>
        </w:rPr>
        <w:t xml:space="preserve">presentado </w:t>
      </w:r>
      <w:r w:rsidR="00DB1F86" w:rsidRPr="001160D6">
        <w:rPr>
          <w:lang w:val="es-AR"/>
        </w:rPr>
        <w:t>una carta oficial que indi</w:t>
      </w:r>
      <w:r w:rsidR="0072784E" w:rsidRPr="001160D6">
        <w:rPr>
          <w:lang w:val="es-AR"/>
        </w:rPr>
        <w:t>que</w:t>
      </w:r>
      <w:r w:rsidR="00DB1F86" w:rsidRPr="001160D6">
        <w:rPr>
          <w:lang w:val="es-AR"/>
        </w:rPr>
        <w:t xml:space="preserve"> la intención del gobierno de ratificar </w:t>
      </w:r>
      <w:r w:rsidR="0072784E" w:rsidRPr="001160D6">
        <w:rPr>
          <w:lang w:val="es-AR"/>
        </w:rPr>
        <w:t>dicha</w:t>
      </w:r>
      <w:r w:rsidR="00DB1F86" w:rsidRPr="001160D6">
        <w:rPr>
          <w:lang w:val="es-AR"/>
        </w:rPr>
        <w:t xml:space="preserve"> </w:t>
      </w:r>
      <w:r w:rsidR="00FF4D54" w:rsidRPr="001160D6">
        <w:rPr>
          <w:lang w:val="es-AR"/>
        </w:rPr>
        <w:t>Enmienda</w:t>
      </w:r>
      <w:r w:rsidR="00DB1F86" w:rsidRPr="001160D6">
        <w:rPr>
          <w:lang w:val="es-AR"/>
        </w:rPr>
        <w:t>;</w:t>
      </w:r>
    </w:p>
    <w:p w14:paraId="731CAA4B" w14:textId="623887CB" w:rsidR="00DB1F86" w:rsidRPr="001160D6" w:rsidRDefault="0072784E" w:rsidP="00DB1F86">
      <w:pPr>
        <w:pStyle w:val="Heading3"/>
        <w:rPr>
          <w:lang w:val="es-AR"/>
        </w:rPr>
      </w:pPr>
      <w:r w:rsidRPr="001160D6">
        <w:rPr>
          <w:lang w:val="es-AR"/>
        </w:rPr>
        <w:t>E</w:t>
      </w:r>
      <w:r w:rsidR="00DB1F86" w:rsidRPr="001160D6">
        <w:rPr>
          <w:lang w:val="es-AR"/>
        </w:rPr>
        <w:t xml:space="preserve">l </w:t>
      </w:r>
      <w:r w:rsidRPr="001160D6">
        <w:rPr>
          <w:lang w:val="es-AR"/>
        </w:rPr>
        <w:t>plan sectorial</w:t>
      </w:r>
      <w:r w:rsidR="00DB1F86" w:rsidRPr="001160D6">
        <w:rPr>
          <w:lang w:val="es-AR"/>
        </w:rPr>
        <w:t xml:space="preserve"> se</w:t>
      </w:r>
      <w:r w:rsidRPr="001160D6">
        <w:rPr>
          <w:lang w:val="es-AR"/>
        </w:rPr>
        <w:t xml:space="preserve"> ejecutará </w:t>
      </w:r>
      <w:r w:rsidR="00DB1F86" w:rsidRPr="001160D6">
        <w:rPr>
          <w:lang w:val="es-AR"/>
        </w:rPr>
        <w:t>en coordinación con</w:t>
      </w:r>
      <w:r w:rsidRPr="001160D6">
        <w:rPr>
          <w:lang w:val="es-AR"/>
        </w:rPr>
        <w:t xml:space="preserve"> las actividades</w:t>
      </w:r>
      <w:r w:rsidR="00DB1F86" w:rsidRPr="001160D6">
        <w:rPr>
          <w:lang w:val="es-AR"/>
        </w:rPr>
        <w:t xml:space="preserve"> o </w:t>
      </w:r>
      <w:r w:rsidR="00390A5F" w:rsidRPr="001160D6">
        <w:rPr>
          <w:lang w:val="es-AR"/>
        </w:rPr>
        <w:t xml:space="preserve">las </w:t>
      </w:r>
      <w:r w:rsidRPr="001160D6">
        <w:rPr>
          <w:lang w:val="es-AR"/>
        </w:rPr>
        <w:t>complementará</w:t>
      </w:r>
      <w:r w:rsidR="00390A5F" w:rsidRPr="001160D6">
        <w:rPr>
          <w:lang w:val="es-AR"/>
        </w:rPr>
        <w:t>,</w:t>
      </w:r>
      <w:r w:rsidRPr="001160D6">
        <w:rPr>
          <w:lang w:val="es-AR"/>
        </w:rPr>
        <w:t xml:space="preserve"> </w:t>
      </w:r>
      <w:r w:rsidR="00DB1F86" w:rsidRPr="001160D6">
        <w:rPr>
          <w:lang w:val="es-AR"/>
        </w:rPr>
        <w:t xml:space="preserve">conforme al plan de gestión de eliminación de </w:t>
      </w:r>
      <w:r w:rsidR="007120E8" w:rsidRPr="001160D6">
        <w:rPr>
          <w:lang w:val="es-AR"/>
        </w:rPr>
        <w:t>los HCFC</w:t>
      </w:r>
      <w:r w:rsidR="00DB1F86" w:rsidRPr="001160D6">
        <w:rPr>
          <w:lang w:val="es-AR"/>
        </w:rPr>
        <w:t xml:space="preserve"> del país;</w:t>
      </w:r>
    </w:p>
    <w:p w14:paraId="2DBE012C" w14:textId="27A7726E" w:rsidR="00DB1F86" w:rsidRPr="001160D6" w:rsidRDefault="0072784E" w:rsidP="00DB1F86">
      <w:pPr>
        <w:pStyle w:val="Heading3"/>
        <w:rPr>
          <w:lang w:val="es-AR"/>
        </w:rPr>
      </w:pPr>
      <w:r w:rsidRPr="001160D6">
        <w:rPr>
          <w:lang w:val="es-AR"/>
        </w:rPr>
        <w:t>E</w:t>
      </w:r>
      <w:r w:rsidR="00DB1F86" w:rsidRPr="001160D6">
        <w:rPr>
          <w:lang w:val="es-AR"/>
        </w:rPr>
        <w:t xml:space="preserve">l </w:t>
      </w:r>
      <w:r w:rsidRPr="001160D6">
        <w:rPr>
          <w:lang w:val="es-AR"/>
        </w:rPr>
        <w:t>plan sectorial</w:t>
      </w:r>
      <w:r w:rsidR="00DB1F86" w:rsidRPr="001160D6">
        <w:rPr>
          <w:lang w:val="es-AR"/>
        </w:rPr>
        <w:t xml:space="preserve"> se</w:t>
      </w:r>
      <w:r w:rsidR="00390A5F" w:rsidRPr="001160D6">
        <w:rPr>
          <w:lang w:val="es-AR"/>
        </w:rPr>
        <w:t xml:space="preserve"> integrará </w:t>
      </w:r>
      <w:r w:rsidR="00DB1F86" w:rsidRPr="001160D6">
        <w:rPr>
          <w:lang w:val="es-AR"/>
        </w:rPr>
        <w:t xml:space="preserve">en la etapa I del </w:t>
      </w:r>
      <w:r w:rsidRPr="001160D6">
        <w:rPr>
          <w:lang w:val="es-AR"/>
        </w:rPr>
        <w:t>plan de reducción</w:t>
      </w:r>
      <w:r w:rsidR="002300DB" w:rsidRPr="001160D6">
        <w:rPr>
          <w:lang w:val="es-AR"/>
        </w:rPr>
        <w:t xml:space="preserve"> de HFC</w:t>
      </w:r>
      <w:r w:rsidR="00390A5F" w:rsidRPr="001160D6">
        <w:rPr>
          <w:lang w:val="es-AR"/>
        </w:rPr>
        <w:t>,</w:t>
      </w:r>
      <w:r w:rsidR="00DB1F86" w:rsidRPr="001160D6">
        <w:rPr>
          <w:lang w:val="es-AR"/>
        </w:rPr>
        <w:t xml:space="preserve"> una vez formulado el </w:t>
      </w:r>
      <w:r w:rsidRPr="001160D6">
        <w:rPr>
          <w:lang w:val="es-AR"/>
        </w:rPr>
        <w:t>plan de reducción</w:t>
      </w:r>
      <w:r w:rsidR="002300DB" w:rsidRPr="001160D6">
        <w:rPr>
          <w:lang w:val="es-AR"/>
        </w:rPr>
        <w:t xml:space="preserve"> de HFC</w:t>
      </w:r>
      <w:r w:rsidR="00DB1F86" w:rsidRPr="001160D6">
        <w:rPr>
          <w:lang w:val="es-AR"/>
        </w:rPr>
        <w:t>;</w:t>
      </w:r>
    </w:p>
    <w:p w14:paraId="6D3FCD9F" w14:textId="14D80EB4" w:rsidR="00DB1F86" w:rsidRPr="001160D6" w:rsidRDefault="0072784E" w:rsidP="00DB1F86">
      <w:pPr>
        <w:pStyle w:val="Heading3"/>
        <w:rPr>
          <w:lang w:val="es-AR"/>
        </w:rPr>
      </w:pPr>
      <w:r w:rsidRPr="001160D6">
        <w:rPr>
          <w:lang w:val="es-AR"/>
        </w:rPr>
        <w:t>L</w:t>
      </w:r>
      <w:r w:rsidR="00DB1F86" w:rsidRPr="001160D6">
        <w:rPr>
          <w:lang w:val="es-AR"/>
        </w:rPr>
        <w:t>a cantidad de HFC elimin</w:t>
      </w:r>
      <w:r w:rsidRPr="001160D6">
        <w:rPr>
          <w:lang w:val="es-AR"/>
        </w:rPr>
        <w:t>ada</w:t>
      </w:r>
      <w:r w:rsidR="00DB1F86" w:rsidRPr="001160D6">
        <w:rPr>
          <w:lang w:val="es-AR"/>
        </w:rPr>
        <w:t xml:space="preserve"> por el </w:t>
      </w:r>
      <w:r w:rsidRPr="001160D6">
        <w:rPr>
          <w:lang w:val="es-AR"/>
        </w:rPr>
        <w:t>plan sectorial</w:t>
      </w:r>
      <w:r w:rsidR="00DB1F86" w:rsidRPr="001160D6">
        <w:rPr>
          <w:lang w:val="es-AR"/>
        </w:rPr>
        <w:t xml:space="preserve"> se deduci</w:t>
      </w:r>
      <w:r w:rsidRPr="001160D6">
        <w:rPr>
          <w:lang w:val="es-AR"/>
        </w:rPr>
        <w:t>rá</w:t>
      </w:r>
      <w:r w:rsidR="00DB1F86" w:rsidRPr="001160D6">
        <w:rPr>
          <w:lang w:val="es-AR"/>
        </w:rPr>
        <w:t xml:space="preserve"> del </w:t>
      </w:r>
      <w:r w:rsidR="007120E8" w:rsidRPr="001160D6">
        <w:rPr>
          <w:lang w:val="es-AR"/>
        </w:rPr>
        <w:t>punto de partida</w:t>
      </w:r>
      <w:r w:rsidR="00DB1F86" w:rsidRPr="001160D6">
        <w:rPr>
          <w:lang w:val="es-AR"/>
        </w:rPr>
        <w:t xml:space="preserve"> para las reducciones </w:t>
      </w:r>
      <w:r w:rsidRPr="001160D6">
        <w:rPr>
          <w:lang w:val="es-AR"/>
        </w:rPr>
        <w:t xml:space="preserve">sostenidas </w:t>
      </w:r>
      <w:r w:rsidR="00240A87" w:rsidRPr="001160D6">
        <w:rPr>
          <w:lang w:val="es-AR"/>
        </w:rPr>
        <w:t>del consumo</w:t>
      </w:r>
      <w:r w:rsidR="00DB1F86" w:rsidRPr="001160D6">
        <w:rPr>
          <w:lang w:val="es-AR"/>
        </w:rPr>
        <w:t xml:space="preserve"> de HFC</w:t>
      </w:r>
      <w:r w:rsidRPr="001160D6">
        <w:rPr>
          <w:lang w:val="es-AR"/>
        </w:rPr>
        <w:t>,</w:t>
      </w:r>
      <w:r w:rsidR="00DB1F86" w:rsidRPr="001160D6">
        <w:rPr>
          <w:lang w:val="es-AR"/>
        </w:rPr>
        <w:t xml:space="preserve"> una vez establecido el </w:t>
      </w:r>
      <w:r w:rsidR="007120E8" w:rsidRPr="001160D6">
        <w:rPr>
          <w:lang w:val="es-AR"/>
        </w:rPr>
        <w:t>punto de partida</w:t>
      </w:r>
      <w:r w:rsidR="00DB1F86" w:rsidRPr="001160D6">
        <w:rPr>
          <w:lang w:val="es-AR"/>
        </w:rPr>
        <w:t xml:space="preserve">; </w:t>
      </w:r>
    </w:p>
    <w:p w14:paraId="43C04865" w14:textId="7E099772" w:rsidR="00DB1F86" w:rsidRPr="001160D6" w:rsidRDefault="002B42CC" w:rsidP="00DB1F86">
      <w:pPr>
        <w:pStyle w:val="Heading3"/>
        <w:rPr>
          <w:lang w:val="es-AR"/>
        </w:rPr>
      </w:pPr>
      <w:r w:rsidRPr="001160D6">
        <w:rPr>
          <w:lang w:val="es-AR"/>
        </w:rPr>
        <w:t>E</w:t>
      </w:r>
      <w:r w:rsidR="00DB1F86" w:rsidRPr="001160D6">
        <w:rPr>
          <w:lang w:val="es-AR"/>
        </w:rPr>
        <w:t xml:space="preserve">l país </w:t>
      </w:r>
      <w:r w:rsidR="00FF4D54" w:rsidRPr="001160D6">
        <w:rPr>
          <w:lang w:val="es-AR"/>
        </w:rPr>
        <w:t>inform</w:t>
      </w:r>
      <w:r w:rsidR="00DB1F86" w:rsidRPr="001160D6">
        <w:rPr>
          <w:lang w:val="es-AR"/>
        </w:rPr>
        <w:t>ará</w:t>
      </w:r>
      <w:r w:rsidRPr="001160D6">
        <w:rPr>
          <w:lang w:val="es-AR"/>
        </w:rPr>
        <w:t xml:space="preserve"> las</w:t>
      </w:r>
      <w:r w:rsidR="00DB1F86" w:rsidRPr="001160D6">
        <w:rPr>
          <w:lang w:val="es-AR"/>
        </w:rPr>
        <w:t xml:space="preserve"> exportaciones de </w:t>
      </w:r>
      <w:r w:rsidR="00944DE1" w:rsidRPr="001160D6">
        <w:rPr>
          <w:lang w:val="es-AR"/>
        </w:rPr>
        <w:t>los HFC</w:t>
      </w:r>
      <w:r w:rsidR="00DB1F86" w:rsidRPr="001160D6">
        <w:rPr>
          <w:lang w:val="es-AR"/>
        </w:rPr>
        <w:t xml:space="preserve"> en polioles premezclados </w:t>
      </w:r>
      <w:r w:rsidRPr="001160D6">
        <w:rPr>
          <w:lang w:val="es-AR"/>
        </w:rPr>
        <w:t xml:space="preserve">correspondientes a los tres últimos </w:t>
      </w:r>
      <w:r w:rsidR="00DB1F86" w:rsidRPr="001160D6">
        <w:rPr>
          <w:lang w:val="es-AR"/>
        </w:rPr>
        <w:t xml:space="preserve">años antes de </w:t>
      </w:r>
      <w:r w:rsidRPr="001160D6">
        <w:rPr>
          <w:lang w:val="es-AR"/>
        </w:rPr>
        <w:t xml:space="preserve">presentar </w:t>
      </w:r>
      <w:r w:rsidR="00DB1F86" w:rsidRPr="001160D6">
        <w:rPr>
          <w:lang w:val="es-AR"/>
        </w:rPr>
        <w:t xml:space="preserve">el proyecto, y </w:t>
      </w:r>
      <w:r w:rsidRPr="001160D6">
        <w:rPr>
          <w:lang w:val="es-AR"/>
        </w:rPr>
        <w:t xml:space="preserve">el </w:t>
      </w:r>
      <w:r w:rsidRPr="001160D6">
        <w:rPr>
          <w:lang w:val="es-AR"/>
        </w:rPr>
        <w:lastRenderedPageBreak/>
        <w:t xml:space="preserve">promedio </w:t>
      </w:r>
      <w:r w:rsidR="00DB1F86" w:rsidRPr="001160D6">
        <w:rPr>
          <w:lang w:val="es-AR"/>
        </w:rPr>
        <w:t>se deduci</w:t>
      </w:r>
      <w:r w:rsidRPr="001160D6">
        <w:rPr>
          <w:lang w:val="es-AR"/>
        </w:rPr>
        <w:t xml:space="preserve">rá </w:t>
      </w:r>
      <w:r w:rsidR="00DB1F86" w:rsidRPr="001160D6">
        <w:rPr>
          <w:lang w:val="es-AR"/>
        </w:rPr>
        <w:t xml:space="preserve">del </w:t>
      </w:r>
      <w:r w:rsidR="007120E8" w:rsidRPr="001160D6">
        <w:rPr>
          <w:lang w:val="es-AR"/>
        </w:rPr>
        <w:t>punto de partida</w:t>
      </w:r>
      <w:r w:rsidR="00DB1F86" w:rsidRPr="001160D6">
        <w:rPr>
          <w:lang w:val="es-AR"/>
        </w:rPr>
        <w:t xml:space="preserve"> del país para reducciones </w:t>
      </w:r>
      <w:r w:rsidR="00390A5F" w:rsidRPr="001160D6">
        <w:rPr>
          <w:lang w:val="es-AR"/>
        </w:rPr>
        <w:t xml:space="preserve">sostenidas </w:t>
      </w:r>
      <w:r w:rsidR="00CB2802" w:rsidRPr="001160D6">
        <w:rPr>
          <w:lang w:val="es-AR"/>
        </w:rPr>
        <w:t>de</w:t>
      </w:r>
      <w:r w:rsidR="00DB1F86" w:rsidRPr="001160D6">
        <w:rPr>
          <w:lang w:val="es-AR"/>
        </w:rPr>
        <w:t xml:space="preserve"> </w:t>
      </w:r>
      <w:r w:rsidR="00944DE1" w:rsidRPr="001160D6">
        <w:rPr>
          <w:lang w:val="es-AR"/>
        </w:rPr>
        <w:t>los HFC</w:t>
      </w:r>
      <w:r w:rsidR="00CB2802" w:rsidRPr="001160D6">
        <w:rPr>
          <w:lang w:val="es-AR"/>
        </w:rPr>
        <w:t>,</w:t>
      </w:r>
      <w:r w:rsidR="00DB1F86" w:rsidRPr="001160D6">
        <w:rPr>
          <w:lang w:val="es-AR"/>
        </w:rPr>
        <w:t xml:space="preserve"> una vez establecido el </w:t>
      </w:r>
      <w:r w:rsidR="007120E8" w:rsidRPr="001160D6">
        <w:rPr>
          <w:lang w:val="es-AR"/>
        </w:rPr>
        <w:t>punto de partida</w:t>
      </w:r>
      <w:r w:rsidR="00DB1F86" w:rsidRPr="001160D6">
        <w:rPr>
          <w:lang w:val="es-AR"/>
        </w:rPr>
        <w:t>; y</w:t>
      </w:r>
    </w:p>
    <w:p w14:paraId="42A61971" w14:textId="7F0EB79E" w:rsidR="00DB1F86" w:rsidRPr="001160D6" w:rsidRDefault="000D3F6D" w:rsidP="00A2155A">
      <w:pPr>
        <w:pStyle w:val="Heading3"/>
        <w:keepNext/>
        <w:keepLines/>
        <w:rPr>
          <w:lang w:val="es-AR"/>
        </w:rPr>
      </w:pPr>
      <w:r w:rsidRPr="001160D6">
        <w:rPr>
          <w:lang w:val="es-AR"/>
        </w:rPr>
        <w:t>E</w:t>
      </w:r>
      <w:r w:rsidR="00DB1F86" w:rsidRPr="001160D6">
        <w:rPr>
          <w:lang w:val="es-AR"/>
        </w:rPr>
        <w:t>l país establecerá las medidas reguladoras necesarias para asegurar la sustentabilidad de</w:t>
      </w:r>
      <w:r w:rsidRPr="001160D6">
        <w:rPr>
          <w:lang w:val="es-AR"/>
        </w:rPr>
        <w:t xml:space="preserve"> la eliminación total de todos los </w:t>
      </w:r>
      <w:r w:rsidR="007120E8" w:rsidRPr="001160D6">
        <w:rPr>
          <w:lang w:val="es-AR"/>
        </w:rPr>
        <w:t>HCFC</w:t>
      </w:r>
      <w:r w:rsidR="00DB1F86" w:rsidRPr="001160D6">
        <w:rPr>
          <w:lang w:val="es-AR"/>
        </w:rPr>
        <w:t xml:space="preserve"> y </w:t>
      </w:r>
      <w:r w:rsidR="00944DE1" w:rsidRPr="001160D6">
        <w:rPr>
          <w:lang w:val="es-AR"/>
        </w:rPr>
        <w:t>HFC</w:t>
      </w:r>
      <w:r w:rsidR="00DB1F86" w:rsidRPr="001160D6">
        <w:rPr>
          <w:lang w:val="es-AR"/>
        </w:rPr>
        <w:t xml:space="preserve"> puros y/o en polioles premezclados </w:t>
      </w:r>
      <w:r w:rsidRPr="001160D6">
        <w:rPr>
          <w:lang w:val="es-AR"/>
        </w:rPr>
        <w:t>dentro d</w:t>
      </w:r>
      <w:r w:rsidR="00DB1F86" w:rsidRPr="001160D6">
        <w:rPr>
          <w:lang w:val="es-AR"/>
        </w:rPr>
        <w:t>el sector; y</w:t>
      </w:r>
    </w:p>
    <w:p w14:paraId="792ADA37" w14:textId="4E8AC7E0" w:rsidR="00DB1F86" w:rsidRPr="001160D6" w:rsidRDefault="000D3F6D" w:rsidP="00DB1F86">
      <w:pPr>
        <w:pStyle w:val="Heading2"/>
        <w:rPr>
          <w:lang w:val="es-AR"/>
        </w:rPr>
      </w:pPr>
      <w:r w:rsidRPr="001160D6">
        <w:rPr>
          <w:lang w:val="es-AR"/>
        </w:rPr>
        <w:t>A</w:t>
      </w:r>
      <w:r w:rsidR="00DB1F86" w:rsidRPr="001160D6">
        <w:rPr>
          <w:lang w:val="es-AR"/>
        </w:rPr>
        <w:t xml:space="preserve">probar, cuando así se requiera, la financiación preparatoria para la formulación de estos </w:t>
      </w:r>
      <w:r w:rsidR="0072784E" w:rsidRPr="001160D6">
        <w:rPr>
          <w:lang w:val="es-AR"/>
        </w:rPr>
        <w:t>planes sectoriales</w:t>
      </w:r>
      <w:r w:rsidR="00390A5F" w:rsidRPr="001160D6">
        <w:rPr>
          <w:lang w:val="es-AR"/>
        </w:rPr>
        <w:t xml:space="preserve">, caso por caso </w:t>
      </w:r>
      <w:r w:rsidR="00DB1F86" w:rsidRPr="001160D6">
        <w:rPr>
          <w:lang w:val="es-AR"/>
        </w:rPr>
        <w:t>y conforme a</w:t>
      </w:r>
      <w:r w:rsidRPr="001160D6">
        <w:rPr>
          <w:lang w:val="es-AR"/>
        </w:rPr>
        <w:t xml:space="preserve"> las directrices</w:t>
      </w:r>
      <w:r w:rsidR="00DB1F86" w:rsidRPr="001160D6">
        <w:rPr>
          <w:lang w:val="es-AR"/>
        </w:rPr>
        <w:t xml:space="preserve"> </w:t>
      </w:r>
      <w:r w:rsidR="007120E8" w:rsidRPr="001160D6">
        <w:rPr>
          <w:lang w:val="es-AR"/>
        </w:rPr>
        <w:t>del proyecto</w:t>
      </w:r>
      <w:r w:rsidR="00DB1F86" w:rsidRPr="001160D6">
        <w:rPr>
          <w:lang w:val="es-AR"/>
        </w:rPr>
        <w:t xml:space="preserve"> para la preparación de los </w:t>
      </w:r>
      <w:r w:rsidR="00D23F22" w:rsidRPr="001160D6">
        <w:rPr>
          <w:lang w:val="es-AR"/>
        </w:rPr>
        <w:t>planes de reducción</w:t>
      </w:r>
      <w:r w:rsidR="002300DB" w:rsidRPr="001160D6">
        <w:rPr>
          <w:lang w:val="es-AR"/>
        </w:rPr>
        <w:t xml:space="preserve"> de HFC</w:t>
      </w:r>
      <w:r w:rsidR="00DB1F86" w:rsidRPr="001160D6">
        <w:rPr>
          <w:lang w:val="es-AR"/>
        </w:rPr>
        <w:t xml:space="preserve"> para los países del </w:t>
      </w:r>
      <w:r w:rsidR="007120E8" w:rsidRPr="001160D6">
        <w:rPr>
          <w:lang w:val="es-AR"/>
        </w:rPr>
        <w:t>Artículo</w:t>
      </w:r>
      <w:r w:rsidR="00DB1F86" w:rsidRPr="001160D6">
        <w:rPr>
          <w:lang w:val="es-AR"/>
        </w:rPr>
        <w:t xml:space="preserve"> 5 </w:t>
      </w:r>
      <w:r w:rsidRPr="001160D6">
        <w:rPr>
          <w:lang w:val="es-AR"/>
        </w:rPr>
        <w:t xml:space="preserve">que figuran </w:t>
      </w:r>
      <w:r w:rsidR="00DB1F86" w:rsidRPr="001160D6">
        <w:rPr>
          <w:lang w:val="es-AR"/>
        </w:rPr>
        <w:t>en el documento UNEP/OzL.Pro</w:t>
      </w:r>
      <w:r w:rsidR="007120E8" w:rsidRPr="001160D6">
        <w:rPr>
          <w:lang w:val="es-AR"/>
        </w:rPr>
        <w:t>/ExCom/</w:t>
      </w:r>
      <w:r w:rsidR="00DB1F86" w:rsidRPr="001160D6">
        <w:rPr>
          <w:lang w:val="es-AR"/>
        </w:rPr>
        <w:t>86/88.</w:t>
      </w:r>
    </w:p>
    <w:p w14:paraId="7C026BD5" w14:textId="0F4A5C29" w:rsidR="00DB1F86" w:rsidRPr="001160D6" w:rsidRDefault="00DB1F86" w:rsidP="00DB1F86">
      <w:pPr>
        <w:pStyle w:val="Heading1"/>
        <w:numPr>
          <w:ilvl w:val="0"/>
          <w:numId w:val="0"/>
        </w:numPr>
        <w:rPr>
          <w:i/>
          <w:lang w:val="es-AR"/>
        </w:rPr>
      </w:pPr>
      <w:r w:rsidRPr="001160D6">
        <w:rPr>
          <w:i/>
          <w:lang w:val="es-AR"/>
        </w:rPr>
        <w:t xml:space="preserve">Sector </w:t>
      </w:r>
      <w:r w:rsidR="00591FCB" w:rsidRPr="001160D6">
        <w:rPr>
          <w:i/>
          <w:lang w:val="es-AR"/>
        </w:rPr>
        <w:t>de fabricación</w:t>
      </w:r>
      <w:r w:rsidRPr="001160D6">
        <w:rPr>
          <w:i/>
          <w:lang w:val="es-AR"/>
        </w:rPr>
        <w:t xml:space="preserve"> </w:t>
      </w:r>
      <w:r w:rsidR="000D3F6D" w:rsidRPr="001160D6">
        <w:rPr>
          <w:i/>
          <w:lang w:val="es-AR"/>
        </w:rPr>
        <w:t xml:space="preserve">de </w:t>
      </w:r>
      <w:r w:rsidRPr="001160D6">
        <w:rPr>
          <w:i/>
          <w:lang w:val="es-AR"/>
        </w:rPr>
        <w:t>espuma</w:t>
      </w:r>
      <w:r w:rsidR="000D3F6D" w:rsidRPr="001160D6">
        <w:rPr>
          <w:i/>
          <w:lang w:val="es-AR"/>
        </w:rPr>
        <w:t>s</w:t>
      </w:r>
      <w:r w:rsidRPr="001160D6">
        <w:rPr>
          <w:i/>
          <w:lang w:val="es-AR"/>
        </w:rPr>
        <w:t xml:space="preserve"> de </w:t>
      </w:r>
      <w:r w:rsidR="000D3F6D" w:rsidRPr="001160D6">
        <w:rPr>
          <w:i/>
          <w:lang w:val="es-AR"/>
        </w:rPr>
        <w:t>p</w:t>
      </w:r>
      <w:r w:rsidRPr="001160D6">
        <w:rPr>
          <w:i/>
          <w:lang w:val="es-AR"/>
        </w:rPr>
        <w:t>oliestireno</w:t>
      </w:r>
      <w:r w:rsidR="000D3F6D" w:rsidRPr="001160D6">
        <w:rPr>
          <w:i/>
          <w:lang w:val="es-AR"/>
        </w:rPr>
        <w:t xml:space="preserve"> extruido</w:t>
      </w:r>
      <w:r w:rsidRPr="001160D6">
        <w:rPr>
          <w:i/>
          <w:lang w:val="es-AR"/>
        </w:rPr>
        <w:t xml:space="preserve"> </w:t>
      </w:r>
    </w:p>
    <w:p w14:paraId="03EFD453" w14:textId="4D15D519" w:rsidR="00DB1F86" w:rsidRPr="001160D6" w:rsidRDefault="00DB1F86" w:rsidP="00DB1F86">
      <w:pPr>
        <w:pStyle w:val="Heading1"/>
        <w:rPr>
          <w:lang w:val="es-AR"/>
        </w:rPr>
      </w:pPr>
      <w:r w:rsidRPr="001160D6">
        <w:rPr>
          <w:lang w:val="es-AR"/>
        </w:rPr>
        <w:t>La mayoría de</w:t>
      </w:r>
      <w:r w:rsidR="000D3F6D" w:rsidRPr="001160D6">
        <w:rPr>
          <w:lang w:val="es-AR"/>
        </w:rPr>
        <w:t xml:space="preserve"> los</w:t>
      </w:r>
      <w:r w:rsidRPr="001160D6">
        <w:rPr>
          <w:lang w:val="es-AR"/>
        </w:rPr>
        <w:t xml:space="preserve"> países del </w:t>
      </w:r>
      <w:r w:rsidR="007120E8" w:rsidRPr="001160D6">
        <w:rPr>
          <w:lang w:val="es-AR"/>
        </w:rPr>
        <w:t>Artículo</w:t>
      </w:r>
      <w:r w:rsidRPr="001160D6">
        <w:rPr>
          <w:lang w:val="es-AR"/>
        </w:rPr>
        <w:t xml:space="preserve"> 5 con un sector </w:t>
      </w:r>
      <w:r w:rsidR="00591FCB" w:rsidRPr="001160D6">
        <w:rPr>
          <w:lang w:val="es-AR"/>
        </w:rPr>
        <w:t>de fabricación</w:t>
      </w:r>
      <w:r w:rsidRPr="001160D6">
        <w:rPr>
          <w:lang w:val="es-AR"/>
        </w:rPr>
        <w:t xml:space="preserve"> de espuma</w:t>
      </w:r>
      <w:r w:rsidR="000D3F6D" w:rsidRPr="001160D6">
        <w:rPr>
          <w:lang w:val="es-AR"/>
        </w:rPr>
        <w:t>s</w:t>
      </w:r>
      <w:r w:rsidRPr="001160D6">
        <w:rPr>
          <w:lang w:val="es-AR"/>
        </w:rPr>
        <w:t xml:space="preserve"> de poliestireno extruido </w:t>
      </w:r>
      <w:r w:rsidR="000D3F6D" w:rsidRPr="001160D6">
        <w:rPr>
          <w:lang w:val="es-AR"/>
        </w:rPr>
        <w:t xml:space="preserve">eliminó </w:t>
      </w:r>
      <w:r w:rsidRPr="001160D6">
        <w:rPr>
          <w:lang w:val="es-AR"/>
        </w:rPr>
        <w:t xml:space="preserve">en gran parte el uso de </w:t>
      </w:r>
      <w:r w:rsidR="007120E8" w:rsidRPr="001160D6">
        <w:rPr>
          <w:lang w:val="es-AR"/>
        </w:rPr>
        <w:t>HCFC</w:t>
      </w:r>
      <w:r w:rsidRPr="001160D6">
        <w:rPr>
          <w:lang w:val="es-AR"/>
        </w:rPr>
        <w:t>-22/</w:t>
      </w:r>
      <w:r w:rsidR="00832BBD" w:rsidRPr="001160D6">
        <w:rPr>
          <w:lang w:val="es-AR"/>
        </w:rPr>
        <w:t>HCFC-14</w:t>
      </w:r>
      <w:r w:rsidRPr="001160D6">
        <w:rPr>
          <w:lang w:val="es-AR"/>
        </w:rPr>
        <w:t xml:space="preserve">2b </w:t>
      </w:r>
      <w:r w:rsidR="000D3F6D" w:rsidRPr="001160D6">
        <w:rPr>
          <w:lang w:val="es-AR"/>
        </w:rPr>
        <w:t xml:space="preserve">e introdujo </w:t>
      </w:r>
      <w:r w:rsidRPr="001160D6">
        <w:rPr>
          <w:lang w:val="es-AR"/>
        </w:rPr>
        <w:t xml:space="preserve">alternativas </w:t>
      </w:r>
      <w:r w:rsidR="005826BD" w:rsidRPr="001160D6">
        <w:rPr>
          <w:lang w:val="es-AR"/>
        </w:rPr>
        <w:t>con bajo potencial de calentamiento atmosférico</w:t>
      </w:r>
      <w:r w:rsidRPr="001160D6">
        <w:rPr>
          <w:lang w:val="es-AR"/>
        </w:rPr>
        <w:t>, principalmente CO</w:t>
      </w:r>
      <w:r w:rsidRPr="001160D6">
        <w:rPr>
          <w:vertAlign w:val="subscript"/>
          <w:lang w:val="es-AR"/>
        </w:rPr>
        <w:t>2</w:t>
      </w:r>
      <w:r w:rsidRPr="001160D6">
        <w:rPr>
          <w:lang w:val="es-AR"/>
        </w:rPr>
        <w:t xml:space="preserve"> </w:t>
      </w:r>
      <w:r w:rsidR="000D3F6D" w:rsidRPr="001160D6">
        <w:rPr>
          <w:lang w:val="es-AR"/>
        </w:rPr>
        <w:t>e</w:t>
      </w:r>
      <w:r w:rsidRPr="001160D6">
        <w:rPr>
          <w:lang w:val="es-AR"/>
        </w:rPr>
        <w:t xml:space="preserve"> </w:t>
      </w:r>
      <w:proofErr w:type="spellStart"/>
      <w:r w:rsidRPr="001160D6">
        <w:rPr>
          <w:lang w:val="es-AR"/>
        </w:rPr>
        <w:t>isobutano</w:t>
      </w:r>
      <w:proofErr w:type="spellEnd"/>
      <w:r w:rsidRPr="001160D6">
        <w:rPr>
          <w:lang w:val="es-AR"/>
        </w:rPr>
        <w:t xml:space="preserve">. </w:t>
      </w:r>
      <w:r w:rsidR="007120E8" w:rsidRPr="001160D6">
        <w:rPr>
          <w:lang w:val="es-AR"/>
        </w:rPr>
        <w:t>Sólo</w:t>
      </w:r>
      <w:r w:rsidRPr="001160D6">
        <w:rPr>
          <w:lang w:val="es-AR"/>
        </w:rPr>
        <w:t xml:space="preserve"> algunos países del </w:t>
      </w:r>
      <w:r w:rsidR="007120E8" w:rsidRPr="001160D6">
        <w:rPr>
          <w:lang w:val="es-AR"/>
        </w:rPr>
        <w:t>Artículo</w:t>
      </w:r>
      <w:r w:rsidRPr="001160D6">
        <w:rPr>
          <w:lang w:val="es-AR"/>
        </w:rPr>
        <w:t xml:space="preserve"> 5 todavía </w:t>
      </w:r>
      <w:r w:rsidR="00532926" w:rsidRPr="001160D6">
        <w:rPr>
          <w:lang w:val="es-AR"/>
        </w:rPr>
        <w:t xml:space="preserve">siguen eliminando el </w:t>
      </w:r>
      <w:r w:rsidR="007120E8" w:rsidRPr="001160D6">
        <w:rPr>
          <w:lang w:val="es-AR"/>
        </w:rPr>
        <w:t>HCFC</w:t>
      </w:r>
      <w:r w:rsidRPr="001160D6">
        <w:rPr>
          <w:lang w:val="es-AR"/>
        </w:rPr>
        <w:t xml:space="preserve">-22 y </w:t>
      </w:r>
      <w:r w:rsidR="00532926" w:rsidRPr="001160D6">
        <w:rPr>
          <w:lang w:val="es-AR"/>
        </w:rPr>
        <w:t xml:space="preserve">el </w:t>
      </w:r>
      <w:r w:rsidR="00832BBD" w:rsidRPr="001160D6">
        <w:rPr>
          <w:lang w:val="es-AR"/>
        </w:rPr>
        <w:t>HCFC-14</w:t>
      </w:r>
      <w:r w:rsidRPr="001160D6">
        <w:rPr>
          <w:lang w:val="es-AR"/>
        </w:rPr>
        <w:t xml:space="preserve">2b en el </w:t>
      </w:r>
      <w:r w:rsidR="00FF4D54" w:rsidRPr="001160D6">
        <w:rPr>
          <w:lang w:val="es-AR"/>
        </w:rPr>
        <w:t>sector de espumas</w:t>
      </w:r>
      <w:r w:rsidRPr="001160D6">
        <w:rPr>
          <w:lang w:val="es-AR"/>
        </w:rPr>
        <w:t xml:space="preserve"> de poliestireno extruido</w:t>
      </w:r>
      <w:r w:rsidR="000D3F6D" w:rsidRPr="001160D6">
        <w:rPr>
          <w:lang w:val="es-AR"/>
        </w:rPr>
        <w:t>,</w:t>
      </w:r>
      <w:r w:rsidRPr="001160D6">
        <w:rPr>
          <w:lang w:val="es-AR"/>
        </w:rPr>
        <w:t xml:space="preserve"> como parte de sus planes de gestión de eliminación de </w:t>
      </w:r>
      <w:r w:rsidR="007120E8" w:rsidRPr="001160D6">
        <w:rPr>
          <w:lang w:val="es-AR"/>
        </w:rPr>
        <w:t>los HCFC</w:t>
      </w:r>
      <w:r w:rsidRPr="001160D6">
        <w:rPr>
          <w:lang w:val="es-AR"/>
        </w:rPr>
        <w:t xml:space="preserve"> ya aprobados (</w:t>
      </w:r>
      <w:r w:rsidR="00532926" w:rsidRPr="001160D6">
        <w:rPr>
          <w:lang w:val="es-AR"/>
        </w:rPr>
        <w:t>a saber</w:t>
      </w:r>
      <w:r w:rsidRPr="001160D6">
        <w:rPr>
          <w:lang w:val="es-AR"/>
        </w:rPr>
        <w:t>, China (2026)).</w:t>
      </w:r>
    </w:p>
    <w:p w14:paraId="22B13711" w14:textId="79D21395" w:rsidR="00DB1F86" w:rsidRPr="001160D6" w:rsidRDefault="00532926" w:rsidP="00DB1F86">
      <w:pPr>
        <w:pStyle w:val="Heading1"/>
        <w:rPr>
          <w:lang w:val="es-AR"/>
        </w:rPr>
      </w:pPr>
      <w:r w:rsidRPr="001160D6">
        <w:rPr>
          <w:lang w:val="es-AR"/>
        </w:rPr>
        <w:t>Aún no se conoce l</w:t>
      </w:r>
      <w:r w:rsidR="00DB1F86" w:rsidRPr="001160D6">
        <w:rPr>
          <w:lang w:val="es-AR"/>
        </w:rPr>
        <w:t xml:space="preserve">a cantidad de </w:t>
      </w:r>
      <w:r w:rsidR="00944DE1" w:rsidRPr="001160D6">
        <w:rPr>
          <w:lang w:val="es-AR"/>
        </w:rPr>
        <w:t>HFC</w:t>
      </w:r>
      <w:r w:rsidR="00DB1F86" w:rsidRPr="001160D6">
        <w:rPr>
          <w:lang w:val="es-AR"/>
        </w:rPr>
        <w:t xml:space="preserve"> consumi</w:t>
      </w:r>
      <w:r w:rsidR="000D3F6D" w:rsidRPr="001160D6">
        <w:rPr>
          <w:lang w:val="es-AR"/>
        </w:rPr>
        <w:t>do</w:t>
      </w:r>
      <w:r w:rsidR="00DB1F86" w:rsidRPr="001160D6">
        <w:rPr>
          <w:lang w:val="es-AR"/>
        </w:rPr>
        <w:t xml:space="preserve"> por los países del </w:t>
      </w:r>
      <w:r w:rsidR="007120E8" w:rsidRPr="001160D6">
        <w:rPr>
          <w:lang w:val="es-AR"/>
        </w:rPr>
        <w:t>Artículo</w:t>
      </w:r>
      <w:r w:rsidR="00DB1F86" w:rsidRPr="001160D6">
        <w:rPr>
          <w:lang w:val="es-AR"/>
        </w:rPr>
        <w:t xml:space="preserve"> 5 en la </w:t>
      </w:r>
      <w:r w:rsidR="007120E8" w:rsidRPr="001160D6">
        <w:rPr>
          <w:lang w:val="es-AR"/>
        </w:rPr>
        <w:t>fabricación de espumas</w:t>
      </w:r>
      <w:r w:rsidR="00DB1F86" w:rsidRPr="001160D6">
        <w:rPr>
          <w:lang w:val="es-AR"/>
        </w:rPr>
        <w:t xml:space="preserve"> de poliestireno extruido; </w:t>
      </w:r>
      <w:r w:rsidRPr="001160D6">
        <w:rPr>
          <w:lang w:val="es-AR"/>
        </w:rPr>
        <w:t>no obstante</w:t>
      </w:r>
      <w:r w:rsidR="00DB1F86" w:rsidRPr="001160D6">
        <w:rPr>
          <w:lang w:val="es-AR"/>
        </w:rPr>
        <w:t>, los datos preliminares indican que puede ser baj</w:t>
      </w:r>
      <w:r w:rsidR="0083784A" w:rsidRPr="001160D6">
        <w:rPr>
          <w:lang w:val="es-AR"/>
        </w:rPr>
        <w:t>a</w:t>
      </w:r>
      <w:r w:rsidR="00DB1F86" w:rsidRPr="001160D6">
        <w:rPr>
          <w:lang w:val="es-AR"/>
        </w:rPr>
        <w:t xml:space="preserve">. </w:t>
      </w:r>
      <w:r w:rsidR="0083784A" w:rsidRPr="001160D6">
        <w:rPr>
          <w:lang w:val="es-AR"/>
        </w:rPr>
        <w:t>D</w:t>
      </w:r>
      <w:r w:rsidR="00DB1F86" w:rsidRPr="001160D6">
        <w:rPr>
          <w:lang w:val="es-AR"/>
        </w:rPr>
        <w:t xml:space="preserve">e los 84 países del </w:t>
      </w:r>
      <w:r w:rsidR="007120E8" w:rsidRPr="001160D6">
        <w:rPr>
          <w:lang w:val="es-AR"/>
        </w:rPr>
        <w:t>Artículo</w:t>
      </w:r>
      <w:r w:rsidR="00DB1F86" w:rsidRPr="001160D6">
        <w:rPr>
          <w:lang w:val="es-AR"/>
        </w:rPr>
        <w:t xml:space="preserve"> 5</w:t>
      </w:r>
      <w:r w:rsidRPr="001160D6">
        <w:rPr>
          <w:lang w:val="es-AR"/>
        </w:rPr>
        <w:t>,</w:t>
      </w:r>
      <w:r w:rsidR="00DB1F86" w:rsidRPr="001160D6">
        <w:rPr>
          <w:lang w:val="es-AR"/>
        </w:rPr>
        <w:t xml:space="preserve"> que </w:t>
      </w:r>
      <w:r w:rsidR="00FF4D54" w:rsidRPr="001160D6">
        <w:rPr>
          <w:lang w:val="es-AR"/>
        </w:rPr>
        <w:t>inform</w:t>
      </w:r>
      <w:r w:rsidR="00DB1F86" w:rsidRPr="001160D6">
        <w:rPr>
          <w:lang w:val="es-AR"/>
        </w:rPr>
        <w:t xml:space="preserve">aron datos de consumo de HFC en 2019 </w:t>
      </w:r>
      <w:r w:rsidR="00C9399C" w:rsidRPr="001160D6">
        <w:rPr>
          <w:lang w:val="es-AR"/>
        </w:rPr>
        <w:t>bajo l</w:t>
      </w:r>
      <w:r w:rsidR="0083784A" w:rsidRPr="001160D6">
        <w:rPr>
          <w:lang w:val="es-AR"/>
        </w:rPr>
        <w:t>os</w:t>
      </w:r>
      <w:r w:rsidR="00C9399C" w:rsidRPr="001160D6">
        <w:rPr>
          <w:lang w:val="es-AR"/>
        </w:rPr>
        <w:t xml:space="preserve"> informe</w:t>
      </w:r>
      <w:r w:rsidR="00DB1F86" w:rsidRPr="001160D6">
        <w:rPr>
          <w:lang w:val="es-AR"/>
        </w:rPr>
        <w:t xml:space="preserve">s de </w:t>
      </w:r>
      <w:r w:rsidR="00FF4D54" w:rsidRPr="001160D6">
        <w:rPr>
          <w:lang w:val="es-AR"/>
        </w:rPr>
        <w:t>ejecución del programa</w:t>
      </w:r>
      <w:r w:rsidR="00DB1F86" w:rsidRPr="001160D6">
        <w:rPr>
          <w:lang w:val="es-AR"/>
        </w:rPr>
        <w:t xml:space="preserve"> de país, </w:t>
      </w:r>
      <w:r w:rsidR="007120E8" w:rsidRPr="001160D6">
        <w:rPr>
          <w:lang w:val="es-AR"/>
        </w:rPr>
        <w:t>sólo</w:t>
      </w:r>
      <w:r w:rsidR="00DB1F86" w:rsidRPr="001160D6">
        <w:rPr>
          <w:lang w:val="es-AR"/>
        </w:rPr>
        <w:t xml:space="preserve"> un país identificó </w:t>
      </w:r>
      <w:r w:rsidR="0083784A" w:rsidRPr="001160D6">
        <w:rPr>
          <w:lang w:val="es-AR"/>
        </w:rPr>
        <w:t>un</w:t>
      </w:r>
      <w:r w:rsidR="00DB1F86" w:rsidRPr="001160D6">
        <w:rPr>
          <w:lang w:val="es-AR"/>
        </w:rPr>
        <w:t xml:space="preserve"> consumo de 38</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de</w:t>
      </w:r>
      <w:r w:rsidRPr="001160D6">
        <w:rPr>
          <w:lang w:val="es-AR"/>
        </w:rPr>
        <w:t>l</w:t>
      </w:r>
      <w:r w:rsidR="00DB1F86" w:rsidRPr="001160D6">
        <w:rPr>
          <w:lang w:val="es-AR"/>
        </w:rPr>
        <w:t xml:space="preserve"> HFC-152a (con un potencial de calentamiento atmosférico de 124) en el </w:t>
      </w:r>
      <w:r w:rsidR="00FF4D54" w:rsidRPr="001160D6">
        <w:rPr>
          <w:lang w:val="es-AR"/>
        </w:rPr>
        <w:t>sector de espumas</w:t>
      </w:r>
      <w:r w:rsidR="00DB1F86" w:rsidRPr="001160D6">
        <w:rPr>
          <w:lang w:val="es-AR"/>
        </w:rPr>
        <w:t xml:space="preserve"> (probablemente espuma</w:t>
      </w:r>
      <w:r w:rsidR="0083784A" w:rsidRPr="001160D6">
        <w:rPr>
          <w:lang w:val="es-AR"/>
        </w:rPr>
        <w:t>s</w:t>
      </w:r>
      <w:r w:rsidR="00DB1F86" w:rsidRPr="001160D6">
        <w:rPr>
          <w:lang w:val="es-AR"/>
        </w:rPr>
        <w:t xml:space="preserve"> de poliestireno extruido), y dos países identificaron un consumo total de </w:t>
      </w:r>
      <w:r w:rsidR="007120E8" w:rsidRPr="001160D6">
        <w:rPr>
          <w:lang w:val="es-AR"/>
        </w:rPr>
        <w:t>5,7</w:t>
      </w:r>
      <w:r w:rsidR="00DB1F86" w:rsidRPr="001160D6">
        <w:rPr>
          <w:lang w:val="es-AR"/>
        </w:rPr>
        <w:t>3</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de</w:t>
      </w:r>
      <w:r w:rsidRPr="001160D6">
        <w:rPr>
          <w:lang w:val="es-AR"/>
        </w:rPr>
        <w:t>l</w:t>
      </w:r>
      <w:r w:rsidR="00DB1F86" w:rsidRPr="001160D6">
        <w:rPr>
          <w:lang w:val="es-AR"/>
        </w:rPr>
        <w:t xml:space="preserve"> HFC-134a, que podría utilizar</w:t>
      </w:r>
      <w:r w:rsidRPr="001160D6">
        <w:rPr>
          <w:lang w:val="es-AR"/>
        </w:rPr>
        <w:t>se</w:t>
      </w:r>
      <w:r w:rsidR="00DB1F86" w:rsidRPr="001160D6">
        <w:rPr>
          <w:lang w:val="es-AR"/>
        </w:rPr>
        <w:t xml:space="preserve"> en la producción</w:t>
      </w:r>
      <w:r w:rsidR="005826BD" w:rsidRPr="001160D6">
        <w:rPr>
          <w:lang w:val="es-AR"/>
        </w:rPr>
        <w:t xml:space="preserve"> </w:t>
      </w:r>
      <w:r w:rsidR="0083784A" w:rsidRPr="001160D6">
        <w:rPr>
          <w:lang w:val="es-AR"/>
        </w:rPr>
        <w:t xml:space="preserve">espumas de poliuretano </w:t>
      </w:r>
      <w:r w:rsidR="00DB1F86" w:rsidRPr="001160D6">
        <w:rPr>
          <w:lang w:val="es-AR"/>
        </w:rPr>
        <w:t>o de espuma</w:t>
      </w:r>
      <w:r w:rsidR="0083784A" w:rsidRPr="001160D6">
        <w:rPr>
          <w:lang w:val="es-AR"/>
        </w:rPr>
        <w:t>s</w:t>
      </w:r>
      <w:r w:rsidR="00DB1F86" w:rsidRPr="001160D6">
        <w:rPr>
          <w:lang w:val="es-AR"/>
        </w:rPr>
        <w:t xml:space="preserve"> de poliestireno extruido. </w:t>
      </w:r>
    </w:p>
    <w:p w14:paraId="039A4286" w14:textId="6C6AF0AA" w:rsidR="00DB1F86" w:rsidRPr="001160D6" w:rsidRDefault="00DB1F86" w:rsidP="00DB1F86">
      <w:pPr>
        <w:pStyle w:val="Heading1"/>
        <w:rPr>
          <w:lang w:val="es-AR"/>
        </w:rPr>
      </w:pPr>
      <w:r w:rsidRPr="001160D6">
        <w:rPr>
          <w:lang w:val="es-AR"/>
        </w:rPr>
        <w:t>L</w:t>
      </w:r>
      <w:r w:rsidR="0083784A" w:rsidRPr="001160D6">
        <w:rPr>
          <w:lang w:val="es-AR"/>
        </w:rPr>
        <w:t>os beneficios</w:t>
      </w:r>
      <w:r w:rsidRPr="001160D6">
        <w:rPr>
          <w:lang w:val="es-AR"/>
        </w:rPr>
        <w:t xml:space="preserve"> de </w:t>
      </w:r>
      <w:r w:rsidR="0083784A" w:rsidRPr="001160D6">
        <w:rPr>
          <w:lang w:val="es-AR"/>
        </w:rPr>
        <w:t xml:space="preserve">adoptar una </w:t>
      </w:r>
      <w:r w:rsidR="001D29D0" w:rsidRPr="001160D6">
        <w:rPr>
          <w:lang w:val="es-AR"/>
        </w:rPr>
        <w:t>eliminación</w:t>
      </w:r>
      <w:r w:rsidR="0083784A" w:rsidRPr="001160D6">
        <w:rPr>
          <w:lang w:val="es-AR"/>
        </w:rPr>
        <w:t xml:space="preserve"> integrada </w:t>
      </w:r>
      <w:r w:rsidR="001D29D0" w:rsidRPr="001160D6">
        <w:rPr>
          <w:lang w:val="es-AR"/>
        </w:rPr>
        <w:t>de HCFC</w:t>
      </w:r>
      <w:r w:rsidRPr="001160D6">
        <w:rPr>
          <w:lang w:val="es-AR"/>
        </w:rPr>
        <w:t xml:space="preserve"> y </w:t>
      </w:r>
      <w:r w:rsidR="002300DB" w:rsidRPr="001160D6">
        <w:rPr>
          <w:lang w:val="es-AR"/>
        </w:rPr>
        <w:t>reducción de HFC</w:t>
      </w:r>
      <w:r w:rsidRPr="001160D6">
        <w:rPr>
          <w:lang w:val="es-AR"/>
        </w:rPr>
        <w:t xml:space="preserve"> en el </w:t>
      </w:r>
      <w:r w:rsidR="00FF4D54" w:rsidRPr="001160D6">
        <w:rPr>
          <w:lang w:val="es-AR"/>
        </w:rPr>
        <w:t>sector de espumas</w:t>
      </w:r>
      <w:r w:rsidRPr="001160D6">
        <w:rPr>
          <w:lang w:val="es-AR"/>
        </w:rPr>
        <w:t xml:space="preserve"> de poliestireno extruido parece </w:t>
      </w:r>
      <w:r w:rsidR="0083784A" w:rsidRPr="001160D6">
        <w:rPr>
          <w:lang w:val="es-AR"/>
        </w:rPr>
        <w:t xml:space="preserve">limitarse </w:t>
      </w:r>
      <w:r w:rsidRPr="001160D6">
        <w:rPr>
          <w:lang w:val="es-AR"/>
        </w:rPr>
        <w:t xml:space="preserve">a algunos países, </w:t>
      </w:r>
      <w:r w:rsidR="0083784A" w:rsidRPr="001160D6">
        <w:rPr>
          <w:lang w:val="es-AR"/>
        </w:rPr>
        <w:t xml:space="preserve">dado que </w:t>
      </w:r>
      <w:r w:rsidRPr="001160D6">
        <w:rPr>
          <w:lang w:val="es-AR"/>
        </w:rPr>
        <w:t xml:space="preserve">la mayoría de </w:t>
      </w:r>
      <w:r w:rsidR="00532926" w:rsidRPr="001160D6">
        <w:rPr>
          <w:lang w:val="es-AR"/>
        </w:rPr>
        <w:t xml:space="preserve">los </w:t>
      </w:r>
      <w:r w:rsidRPr="001160D6">
        <w:rPr>
          <w:lang w:val="es-AR"/>
        </w:rPr>
        <w:t xml:space="preserve">países del </w:t>
      </w:r>
      <w:r w:rsidR="007120E8" w:rsidRPr="001160D6">
        <w:rPr>
          <w:lang w:val="es-AR"/>
        </w:rPr>
        <w:t>Artículo</w:t>
      </w:r>
      <w:r w:rsidRPr="001160D6">
        <w:rPr>
          <w:lang w:val="es-AR"/>
        </w:rPr>
        <w:t xml:space="preserve"> 5 </w:t>
      </w:r>
      <w:r w:rsidR="0083784A" w:rsidRPr="001160D6">
        <w:rPr>
          <w:lang w:val="es-AR"/>
        </w:rPr>
        <w:t xml:space="preserve">ya eliminó </w:t>
      </w:r>
      <w:r w:rsidR="007120E8" w:rsidRPr="001160D6">
        <w:rPr>
          <w:lang w:val="es-AR"/>
        </w:rPr>
        <w:t>los HCFC</w:t>
      </w:r>
      <w:r w:rsidRPr="001160D6">
        <w:rPr>
          <w:lang w:val="es-AR"/>
        </w:rPr>
        <w:t xml:space="preserve"> en </w:t>
      </w:r>
      <w:r w:rsidR="00532926" w:rsidRPr="001160D6">
        <w:rPr>
          <w:lang w:val="es-AR"/>
        </w:rPr>
        <w:t xml:space="preserve">este </w:t>
      </w:r>
      <w:r w:rsidRPr="001160D6">
        <w:rPr>
          <w:lang w:val="es-AR"/>
        </w:rPr>
        <w:t xml:space="preserve">sector y no se ha identificado ningún uso </w:t>
      </w:r>
      <w:r w:rsidR="00532926" w:rsidRPr="001160D6">
        <w:rPr>
          <w:lang w:val="es-AR"/>
        </w:rPr>
        <w:t xml:space="preserve">importante </w:t>
      </w:r>
      <w:r w:rsidRPr="001160D6">
        <w:rPr>
          <w:lang w:val="es-AR"/>
        </w:rPr>
        <w:t xml:space="preserve">de HFC. </w:t>
      </w:r>
      <w:r w:rsidR="0083784A" w:rsidRPr="001160D6">
        <w:rPr>
          <w:lang w:val="es-AR"/>
        </w:rPr>
        <w:t xml:space="preserve">No </w:t>
      </w:r>
      <w:proofErr w:type="gramStart"/>
      <w:r w:rsidR="0083784A" w:rsidRPr="001160D6">
        <w:rPr>
          <w:lang w:val="es-AR"/>
        </w:rPr>
        <w:t>obstante</w:t>
      </w:r>
      <w:proofErr w:type="gramEnd"/>
      <w:r w:rsidR="0083784A" w:rsidRPr="001160D6">
        <w:rPr>
          <w:lang w:val="es-AR"/>
        </w:rPr>
        <w:t xml:space="preserve"> lo anterior</w:t>
      </w:r>
      <w:r w:rsidRPr="001160D6">
        <w:rPr>
          <w:lang w:val="es-AR"/>
        </w:rPr>
        <w:t xml:space="preserve">, las </w:t>
      </w:r>
      <w:r w:rsidR="008F35E9" w:rsidRPr="001160D6">
        <w:rPr>
          <w:lang w:val="es-AR"/>
        </w:rPr>
        <w:t>oportunidades</w:t>
      </w:r>
      <w:r w:rsidRPr="001160D6">
        <w:rPr>
          <w:lang w:val="es-AR"/>
        </w:rPr>
        <w:t xml:space="preserve"> para </w:t>
      </w:r>
      <w:r w:rsidR="0083784A" w:rsidRPr="001160D6">
        <w:rPr>
          <w:lang w:val="es-AR"/>
        </w:rPr>
        <w:t xml:space="preserve">una </w:t>
      </w:r>
      <w:r w:rsidRPr="001160D6">
        <w:rPr>
          <w:lang w:val="es-AR"/>
        </w:rPr>
        <w:t xml:space="preserve">acción temprana pueden </w:t>
      </w:r>
      <w:r w:rsidR="0083784A" w:rsidRPr="001160D6">
        <w:rPr>
          <w:lang w:val="es-AR"/>
        </w:rPr>
        <w:t xml:space="preserve">hacerse más evidentes a medida que otros </w:t>
      </w:r>
      <w:r w:rsidRPr="001160D6">
        <w:rPr>
          <w:lang w:val="es-AR"/>
        </w:rPr>
        <w:t xml:space="preserve">países del </w:t>
      </w:r>
      <w:r w:rsidR="007120E8" w:rsidRPr="001160D6">
        <w:rPr>
          <w:lang w:val="es-AR"/>
        </w:rPr>
        <w:t>Artículo</w:t>
      </w:r>
      <w:r w:rsidRPr="001160D6">
        <w:rPr>
          <w:lang w:val="es-AR"/>
        </w:rPr>
        <w:t xml:space="preserve"> 5 </w:t>
      </w:r>
      <w:r w:rsidR="00FF4D54" w:rsidRPr="001160D6">
        <w:rPr>
          <w:lang w:val="es-AR"/>
        </w:rPr>
        <w:t>inform</w:t>
      </w:r>
      <w:r w:rsidR="0083784A" w:rsidRPr="001160D6">
        <w:rPr>
          <w:lang w:val="es-AR"/>
        </w:rPr>
        <w:t>en</w:t>
      </w:r>
      <w:r w:rsidR="00532926" w:rsidRPr="001160D6">
        <w:rPr>
          <w:lang w:val="es-AR"/>
        </w:rPr>
        <w:t xml:space="preserve"> sus</w:t>
      </w:r>
      <w:r w:rsidRPr="001160D6">
        <w:rPr>
          <w:lang w:val="es-AR"/>
        </w:rPr>
        <w:t xml:space="preserve"> datos de consumo de HFC.</w:t>
      </w:r>
    </w:p>
    <w:p w14:paraId="4FF6BCC3" w14:textId="3392236E" w:rsidR="00DB1F86" w:rsidRPr="001160D6" w:rsidRDefault="0083784A" w:rsidP="00DB1F86">
      <w:pPr>
        <w:pStyle w:val="Heading1"/>
        <w:rPr>
          <w:lang w:val="es-AR"/>
        </w:rPr>
      </w:pPr>
      <w:r w:rsidRPr="001160D6">
        <w:rPr>
          <w:lang w:val="es-AR"/>
        </w:rPr>
        <w:t xml:space="preserve">Al examinar </w:t>
      </w:r>
      <w:r w:rsidR="00DB1F86" w:rsidRPr="001160D6">
        <w:rPr>
          <w:lang w:val="es-AR"/>
        </w:rPr>
        <w:t xml:space="preserve">los planes de gestión de eliminación de </w:t>
      </w:r>
      <w:r w:rsidR="007120E8" w:rsidRPr="001160D6">
        <w:rPr>
          <w:lang w:val="es-AR"/>
        </w:rPr>
        <w:t>los HCFC</w:t>
      </w:r>
      <w:r w:rsidR="00DB1F86" w:rsidRPr="001160D6">
        <w:rPr>
          <w:lang w:val="es-AR"/>
        </w:rPr>
        <w:t xml:space="preserve">, la </w:t>
      </w:r>
      <w:r w:rsidR="00FF4D54" w:rsidRPr="001160D6">
        <w:rPr>
          <w:lang w:val="es-AR"/>
        </w:rPr>
        <w:t>Secretaría</w:t>
      </w:r>
      <w:r w:rsidR="00DB1F86" w:rsidRPr="001160D6">
        <w:rPr>
          <w:lang w:val="es-AR"/>
        </w:rPr>
        <w:t xml:space="preserve"> observó que en</w:t>
      </w:r>
      <w:r w:rsidRPr="001160D6">
        <w:rPr>
          <w:lang w:val="es-AR"/>
        </w:rPr>
        <w:t xml:space="preserve"> unos pocos países del Artículo 5 </w:t>
      </w:r>
      <w:r w:rsidR="00DB1F86" w:rsidRPr="001160D6">
        <w:rPr>
          <w:lang w:val="es-AR"/>
        </w:rPr>
        <w:t xml:space="preserve">la capacidad de </w:t>
      </w:r>
      <w:r w:rsidR="007120E8" w:rsidRPr="001160D6">
        <w:rPr>
          <w:lang w:val="es-AR"/>
        </w:rPr>
        <w:t>fabricación de espumas</w:t>
      </w:r>
      <w:r w:rsidR="00DB1F86" w:rsidRPr="001160D6">
        <w:rPr>
          <w:lang w:val="es-AR"/>
        </w:rPr>
        <w:t xml:space="preserve"> de poliestireno extruido</w:t>
      </w:r>
      <w:r w:rsidR="00532926" w:rsidRPr="001160D6">
        <w:rPr>
          <w:lang w:val="es-AR"/>
        </w:rPr>
        <w:t>,</w:t>
      </w:r>
      <w:r w:rsidR="00DB1F86" w:rsidRPr="001160D6">
        <w:rPr>
          <w:lang w:val="es-AR"/>
        </w:rPr>
        <w:t xml:space="preserve"> basada en </w:t>
      </w:r>
      <w:r w:rsidR="007120E8" w:rsidRPr="001160D6">
        <w:rPr>
          <w:lang w:val="es-AR"/>
        </w:rPr>
        <w:t>HCFC</w:t>
      </w:r>
      <w:r w:rsidR="00532926" w:rsidRPr="001160D6">
        <w:rPr>
          <w:lang w:val="es-AR"/>
        </w:rPr>
        <w:t>,</w:t>
      </w:r>
      <w:r w:rsidR="00DB1F86" w:rsidRPr="001160D6">
        <w:rPr>
          <w:lang w:val="es-AR"/>
        </w:rPr>
        <w:t xml:space="preserve"> </w:t>
      </w:r>
      <w:r w:rsidRPr="001160D6">
        <w:rPr>
          <w:lang w:val="es-AR"/>
        </w:rPr>
        <w:t xml:space="preserve">se instaló </w:t>
      </w:r>
      <w:r w:rsidR="00DB1F86" w:rsidRPr="001160D6">
        <w:rPr>
          <w:lang w:val="es-AR"/>
        </w:rPr>
        <w:t xml:space="preserve">después de la fecha límite para </w:t>
      </w:r>
      <w:r w:rsidRPr="001160D6">
        <w:rPr>
          <w:lang w:val="es-AR"/>
        </w:rPr>
        <w:t xml:space="preserve">la capacidad de </w:t>
      </w:r>
      <w:r w:rsidR="007120E8" w:rsidRPr="001160D6">
        <w:rPr>
          <w:lang w:val="es-AR"/>
        </w:rPr>
        <w:t>los HCFC</w:t>
      </w:r>
      <w:r w:rsidRPr="001160D6">
        <w:rPr>
          <w:lang w:val="es-AR"/>
        </w:rPr>
        <w:t xml:space="preserve">, </w:t>
      </w:r>
      <w:r w:rsidR="00DB1F86" w:rsidRPr="001160D6">
        <w:rPr>
          <w:lang w:val="es-AR"/>
        </w:rPr>
        <w:t>el 21 de septiembre 2007</w:t>
      </w:r>
      <w:r w:rsidRPr="001160D6">
        <w:rPr>
          <w:lang w:val="es-AR"/>
        </w:rPr>
        <w:t>,</w:t>
      </w:r>
      <w:r w:rsidR="00DB1F86" w:rsidRPr="001160D6">
        <w:rPr>
          <w:lang w:val="es-AR"/>
        </w:rPr>
        <w:t xml:space="preserve"> </w:t>
      </w:r>
      <w:proofErr w:type="gramStart"/>
      <w:r w:rsidR="00DB1F86" w:rsidRPr="001160D6">
        <w:rPr>
          <w:lang w:val="es-AR"/>
        </w:rPr>
        <w:t>y</w:t>
      </w:r>
      <w:proofErr w:type="gramEnd"/>
      <w:r w:rsidR="00DB1F86" w:rsidRPr="001160D6">
        <w:rPr>
          <w:lang w:val="es-AR"/>
        </w:rPr>
        <w:t xml:space="preserve"> por lo tanto</w:t>
      </w:r>
      <w:r w:rsidRPr="001160D6">
        <w:rPr>
          <w:lang w:val="es-AR"/>
        </w:rPr>
        <w:t>, no eran</w:t>
      </w:r>
      <w:r w:rsidR="00DB1F86" w:rsidRPr="001160D6">
        <w:rPr>
          <w:lang w:val="es-AR"/>
        </w:rPr>
        <w:t xml:space="preserve"> admisible</w:t>
      </w:r>
      <w:r w:rsidRPr="001160D6">
        <w:rPr>
          <w:lang w:val="es-AR"/>
        </w:rPr>
        <w:t>s</w:t>
      </w:r>
      <w:r w:rsidR="00DB1F86" w:rsidRPr="001160D6">
        <w:rPr>
          <w:lang w:val="es-AR"/>
        </w:rPr>
        <w:t xml:space="preserve"> para </w:t>
      </w:r>
      <w:r w:rsidRPr="001160D6">
        <w:rPr>
          <w:lang w:val="es-AR"/>
        </w:rPr>
        <w:t>la financiación</w:t>
      </w:r>
      <w:r w:rsidR="00DB1F86" w:rsidRPr="001160D6">
        <w:rPr>
          <w:lang w:val="es-AR"/>
        </w:rPr>
        <w:t xml:space="preserve">. Los países del </w:t>
      </w:r>
      <w:r w:rsidR="007120E8" w:rsidRPr="001160D6">
        <w:rPr>
          <w:lang w:val="es-AR"/>
        </w:rPr>
        <w:t>Artículo</w:t>
      </w:r>
      <w:r w:rsidR="00DB1F86" w:rsidRPr="001160D6">
        <w:rPr>
          <w:lang w:val="es-AR"/>
        </w:rPr>
        <w:t xml:space="preserve"> 5 que no </w:t>
      </w:r>
      <w:r w:rsidR="00F84BFF" w:rsidRPr="001160D6">
        <w:rPr>
          <w:lang w:val="es-AR"/>
        </w:rPr>
        <w:t xml:space="preserve">consumen </w:t>
      </w:r>
      <w:r w:rsidR="00DB1F86" w:rsidRPr="001160D6">
        <w:rPr>
          <w:lang w:val="es-AR"/>
        </w:rPr>
        <w:t xml:space="preserve">HFC en el </w:t>
      </w:r>
      <w:r w:rsidR="00FF4D54" w:rsidRPr="001160D6">
        <w:rPr>
          <w:lang w:val="es-AR"/>
        </w:rPr>
        <w:t>sector de espumas</w:t>
      </w:r>
      <w:r w:rsidR="00DB1F86" w:rsidRPr="001160D6">
        <w:rPr>
          <w:lang w:val="es-AR"/>
        </w:rPr>
        <w:t xml:space="preserve"> de poliestireno extruido podrían considerar, como acción temprana, </w:t>
      </w:r>
      <w:r w:rsidR="00F84BFF" w:rsidRPr="001160D6">
        <w:rPr>
          <w:lang w:val="es-AR"/>
        </w:rPr>
        <w:t xml:space="preserve">el establecimiento de </w:t>
      </w:r>
      <w:r w:rsidR="00DB1F86" w:rsidRPr="001160D6">
        <w:rPr>
          <w:lang w:val="es-AR"/>
        </w:rPr>
        <w:t xml:space="preserve">medidas reguladoras para evitar la instalación de </w:t>
      </w:r>
      <w:r w:rsidR="00532926" w:rsidRPr="001160D6">
        <w:rPr>
          <w:lang w:val="es-AR"/>
        </w:rPr>
        <w:t xml:space="preserve">una </w:t>
      </w:r>
      <w:r w:rsidR="00F84BFF" w:rsidRPr="001160D6">
        <w:rPr>
          <w:lang w:val="es-AR"/>
        </w:rPr>
        <w:t xml:space="preserve">nueva </w:t>
      </w:r>
      <w:r w:rsidR="00DB1F86" w:rsidRPr="001160D6">
        <w:rPr>
          <w:lang w:val="es-AR"/>
        </w:rPr>
        <w:t>capacidad de fabricación</w:t>
      </w:r>
      <w:r w:rsidR="00F84BFF" w:rsidRPr="001160D6">
        <w:rPr>
          <w:lang w:val="es-AR"/>
        </w:rPr>
        <w:t xml:space="preserve"> de espumas de poliestireno extruido</w:t>
      </w:r>
      <w:r w:rsidR="00DB1F86" w:rsidRPr="001160D6">
        <w:rPr>
          <w:lang w:val="es-AR"/>
        </w:rPr>
        <w:t xml:space="preserve"> </w:t>
      </w:r>
      <w:r w:rsidR="00F84BFF" w:rsidRPr="001160D6">
        <w:rPr>
          <w:lang w:val="es-AR"/>
        </w:rPr>
        <w:t xml:space="preserve">basada en </w:t>
      </w:r>
      <w:r w:rsidR="00DB1F86" w:rsidRPr="001160D6">
        <w:rPr>
          <w:lang w:val="es-AR"/>
        </w:rPr>
        <w:t>HFC</w:t>
      </w:r>
      <w:r w:rsidR="00F84BFF" w:rsidRPr="001160D6">
        <w:rPr>
          <w:lang w:val="es-AR"/>
        </w:rPr>
        <w:t xml:space="preserve"> con </w:t>
      </w:r>
      <w:r w:rsidR="00092A32" w:rsidRPr="001160D6">
        <w:rPr>
          <w:lang w:val="es-AR"/>
        </w:rPr>
        <w:t>alto potencial de calentamiento atmosférico</w:t>
      </w:r>
      <w:r w:rsidR="00DB1F86" w:rsidRPr="001160D6">
        <w:rPr>
          <w:lang w:val="es-AR"/>
        </w:rPr>
        <w:t xml:space="preserve">. Esto permitirá evitar </w:t>
      </w:r>
      <w:r w:rsidR="00F84BFF" w:rsidRPr="001160D6">
        <w:rPr>
          <w:lang w:val="es-AR"/>
        </w:rPr>
        <w:t xml:space="preserve">posibles </w:t>
      </w:r>
      <w:r w:rsidR="00DB1F86" w:rsidRPr="001160D6">
        <w:rPr>
          <w:lang w:val="es-AR"/>
        </w:rPr>
        <w:t xml:space="preserve">importaciones de capacidad de fabricación </w:t>
      </w:r>
      <w:r w:rsidR="00F84BFF" w:rsidRPr="001160D6">
        <w:rPr>
          <w:lang w:val="es-AR"/>
        </w:rPr>
        <w:t xml:space="preserve">basada en </w:t>
      </w:r>
      <w:r w:rsidR="00DB1F86" w:rsidRPr="001160D6">
        <w:rPr>
          <w:lang w:val="es-AR"/>
        </w:rPr>
        <w:t>HFC</w:t>
      </w:r>
      <w:r w:rsidR="00F84BFF" w:rsidRPr="001160D6">
        <w:rPr>
          <w:lang w:val="es-AR"/>
        </w:rPr>
        <w:t xml:space="preserve"> </w:t>
      </w:r>
      <w:r w:rsidR="00DB1F86" w:rsidRPr="001160D6">
        <w:rPr>
          <w:lang w:val="es-AR"/>
        </w:rPr>
        <w:t xml:space="preserve">que </w:t>
      </w:r>
      <w:r w:rsidR="00F84BFF" w:rsidRPr="001160D6">
        <w:rPr>
          <w:lang w:val="es-AR"/>
        </w:rPr>
        <w:t xml:space="preserve">se está eliminando </w:t>
      </w:r>
      <w:r w:rsidR="00DB1F86" w:rsidRPr="001160D6">
        <w:rPr>
          <w:lang w:val="es-AR"/>
        </w:rPr>
        <w:t>en países </w:t>
      </w:r>
      <w:r w:rsidR="00F84BFF" w:rsidRPr="001160D6">
        <w:rPr>
          <w:lang w:val="es-AR"/>
        </w:rPr>
        <w:t>que no están al amparo del Artículo 5</w:t>
      </w:r>
      <w:r w:rsidR="00DB1F86" w:rsidRPr="001160D6">
        <w:rPr>
          <w:lang w:val="es-AR"/>
        </w:rPr>
        <w:t xml:space="preserve"> y el consumo futuro</w:t>
      </w:r>
      <w:r w:rsidR="00532926" w:rsidRPr="001160D6">
        <w:rPr>
          <w:lang w:val="es-AR"/>
        </w:rPr>
        <w:t xml:space="preserve"> asociado</w:t>
      </w:r>
      <w:r w:rsidR="00DB1F86" w:rsidRPr="001160D6">
        <w:rPr>
          <w:lang w:val="es-AR"/>
        </w:rPr>
        <w:t xml:space="preserve"> </w:t>
      </w:r>
      <w:r w:rsidR="00F84BFF" w:rsidRPr="001160D6">
        <w:rPr>
          <w:lang w:val="es-AR"/>
        </w:rPr>
        <w:t>de HFC dentro d</w:t>
      </w:r>
      <w:r w:rsidR="00DB1F86" w:rsidRPr="001160D6">
        <w:rPr>
          <w:lang w:val="es-AR"/>
        </w:rPr>
        <w:t>el sector.</w:t>
      </w:r>
      <w:r w:rsidR="00F84BFF" w:rsidRPr="001160D6">
        <w:rPr>
          <w:lang w:val="es-AR"/>
        </w:rPr>
        <w:t xml:space="preserve"> </w:t>
      </w:r>
    </w:p>
    <w:p w14:paraId="47B45384" w14:textId="7647B7DF" w:rsidR="00DB1F86" w:rsidRPr="001160D6" w:rsidRDefault="00DB1F86" w:rsidP="00DB1F86">
      <w:pPr>
        <w:pStyle w:val="Heading1"/>
        <w:rPr>
          <w:lang w:val="es-AR"/>
        </w:rPr>
      </w:pPr>
      <w:r w:rsidRPr="001160D6">
        <w:rPr>
          <w:lang w:val="es-AR"/>
        </w:rPr>
        <w:t xml:space="preserve">El Comité Ejecutivo </w:t>
      </w:r>
      <w:r w:rsidR="007120E8" w:rsidRPr="001160D6">
        <w:rPr>
          <w:u w:val="single"/>
          <w:lang w:val="es-AR"/>
        </w:rPr>
        <w:t>podría</w:t>
      </w:r>
      <w:r w:rsidRPr="001160D6">
        <w:rPr>
          <w:u w:val="single"/>
          <w:lang w:val="es-AR"/>
        </w:rPr>
        <w:t xml:space="preserve"> </w:t>
      </w:r>
      <w:r w:rsidR="002773B0" w:rsidRPr="001160D6">
        <w:rPr>
          <w:u w:val="single"/>
          <w:lang w:val="es-AR"/>
        </w:rPr>
        <w:t xml:space="preserve">querer </w:t>
      </w:r>
      <w:r w:rsidR="002773B0" w:rsidRPr="001160D6">
        <w:rPr>
          <w:lang w:val="es-AR"/>
        </w:rPr>
        <w:t xml:space="preserve">alentar a </w:t>
      </w:r>
      <w:r w:rsidRPr="001160D6">
        <w:rPr>
          <w:lang w:val="es-AR"/>
        </w:rPr>
        <w:t>l</w:t>
      </w:r>
      <w:r w:rsidR="002773B0" w:rsidRPr="001160D6">
        <w:rPr>
          <w:lang w:val="es-AR"/>
        </w:rPr>
        <w:t>os</w:t>
      </w:r>
      <w:r w:rsidRPr="001160D6">
        <w:rPr>
          <w:lang w:val="es-AR"/>
        </w:rPr>
        <w:t xml:space="preserve"> </w:t>
      </w:r>
      <w:r w:rsidR="008335F5" w:rsidRPr="001160D6">
        <w:rPr>
          <w:lang w:val="es-AR"/>
        </w:rPr>
        <w:t>países del Artículo 5</w:t>
      </w:r>
      <w:r w:rsidR="002773B0" w:rsidRPr="001160D6">
        <w:rPr>
          <w:lang w:val="es-AR"/>
        </w:rPr>
        <w:t xml:space="preserve"> que no consumen </w:t>
      </w:r>
      <w:r w:rsidRPr="001160D6">
        <w:rPr>
          <w:lang w:val="es-AR"/>
        </w:rPr>
        <w:t xml:space="preserve">HFC en el </w:t>
      </w:r>
      <w:r w:rsidR="00FF4D54" w:rsidRPr="001160D6">
        <w:rPr>
          <w:lang w:val="es-AR"/>
        </w:rPr>
        <w:t>sector de espumas</w:t>
      </w:r>
      <w:r w:rsidRPr="001160D6">
        <w:rPr>
          <w:lang w:val="es-AR"/>
        </w:rPr>
        <w:t xml:space="preserve"> de poliestireno extruido </w:t>
      </w:r>
      <w:r w:rsidR="00532926" w:rsidRPr="001160D6">
        <w:rPr>
          <w:lang w:val="es-AR"/>
        </w:rPr>
        <w:t xml:space="preserve">que consideren </w:t>
      </w:r>
      <w:r w:rsidR="002773B0" w:rsidRPr="001160D6">
        <w:rPr>
          <w:lang w:val="es-AR"/>
        </w:rPr>
        <w:t xml:space="preserve">la toma de </w:t>
      </w:r>
      <w:r w:rsidRPr="001160D6">
        <w:rPr>
          <w:lang w:val="es-AR"/>
        </w:rPr>
        <w:t xml:space="preserve">medidas reguladoras para evitar cuanto antes la instalación de nueva capacidad para la </w:t>
      </w:r>
      <w:r w:rsidR="007120E8" w:rsidRPr="001160D6">
        <w:rPr>
          <w:lang w:val="es-AR"/>
        </w:rPr>
        <w:t>fabricación de espumas</w:t>
      </w:r>
      <w:r w:rsidRPr="001160D6">
        <w:rPr>
          <w:lang w:val="es-AR"/>
        </w:rPr>
        <w:t xml:space="preserve"> de poliestireno extruido </w:t>
      </w:r>
      <w:r w:rsidR="002773B0" w:rsidRPr="001160D6">
        <w:rPr>
          <w:lang w:val="es-AR"/>
        </w:rPr>
        <w:t xml:space="preserve">basada en </w:t>
      </w:r>
      <w:r w:rsidRPr="001160D6">
        <w:rPr>
          <w:lang w:val="es-AR"/>
        </w:rPr>
        <w:t>HFC</w:t>
      </w:r>
      <w:r w:rsidR="002773B0" w:rsidRPr="001160D6">
        <w:rPr>
          <w:lang w:val="es-AR"/>
        </w:rPr>
        <w:t xml:space="preserve"> con </w:t>
      </w:r>
      <w:r w:rsidR="00092A32" w:rsidRPr="001160D6">
        <w:rPr>
          <w:lang w:val="es-AR"/>
        </w:rPr>
        <w:t>alto potencial de calentamiento atmosférico</w:t>
      </w:r>
      <w:r w:rsidRPr="001160D6">
        <w:rPr>
          <w:lang w:val="es-AR"/>
        </w:rPr>
        <w:t>.</w:t>
      </w:r>
    </w:p>
    <w:p w14:paraId="6BF4BE26" w14:textId="13F529D6" w:rsidR="00DB1F86" w:rsidRPr="001160D6" w:rsidRDefault="007120E8" w:rsidP="00DB1F86">
      <w:pPr>
        <w:rPr>
          <w:i/>
          <w:lang w:val="es-AR"/>
        </w:rPr>
      </w:pPr>
      <w:r w:rsidRPr="001160D6">
        <w:rPr>
          <w:i/>
          <w:lang w:val="es-AR"/>
        </w:rPr>
        <w:t>A</w:t>
      </w:r>
      <w:r w:rsidR="002773B0" w:rsidRPr="001160D6">
        <w:rPr>
          <w:i/>
          <w:lang w:val="es-AR"/>
        </w:rPr>
        <w:t>paratos</w:t>
      </w:r>
      <w:r w:rsidR="00DB1F86" w:rsidRPr="001160D6">
        <w:rPr>
          <w:i/>
          <w:lang w:val="es-AR"/>
        </w:rPr>
        <w:t xml:space="preserve"> de refrigeración</w:t>
      </w:r>
      <w:r w:rsidR="002773B0" w:rsidRPr="001160D6">
        <w:rPr>
          <w:i/>
          <w:lang w:val="es-AR"/>
        </w:rPr>
        <w:t xml:space="preserve"> autónomos para uso</w:t>
      </w:r>
      <w:r w:rsidR="00DB1F86" w:rsidRPr="001160D6">
        <w:rPr>
          <w:i/>
          <w:lang w:val="es-AR"/>
        </w:rPr>
        <w:t xml:space="preserve"> doméstic</w:t>
      </w:r>
      <w:r w:rsidR="002773B0" w:rsidRPr="001160D6">
        <w:rPr>
          <w:i/>
          <w:lang w:val="es-AR"/>
        </w:rPr>
        <w:t>o</w:t>
      </w:r>
      <w:r w:rsidR="00DB1F86" w:rsidRPr="001160D6">
        <w:rPr>
          <w:i/>
          <w:lang w:val="es-AR"/>
        </w:rPr>
        <w:t xml:space="preserve"> y comercial</w:t>
      </w:r>
      <w:r w:rsidR="00DB1F86" w:rsidRPr="001160D6">
        <w:rPr>
          <w:lang w:val="es-AR"/>
        </w:rPr>
        <w:t xml:space="preserve"> </w:t>
      </w:r>
    </w:p>
    <w:p w14:paraId="272FB7C9" w14:textId="77777777" w:rsidR="00DB1F86" w:rsidRPr="001160D6" w:rsidRDefault="00DB1F86" w:rsidP="00DB1F86">
      <w:pPr>
        <w:rPr>
          <w:i/>
          <w:u w:val="single"/>
          <w:lang w:val="es-AR"/>
        </w:rPr>
      </w:pPr>
    </w:p>
    <w:p w14:paraId="6CAA56C9" w14:textId="55DE513B" w:rsidR="00DB1F86" w:rsidRPr="001160D6" w:rsidRDefault="002773B0" w:rsidP="00DB1F86">
      <w:pPr>
        <w:pStyle w:val="Heading1"/>
        <w:rPr>
          <w:lang w:val="es-AR"/>
        </w:rPr>
      </w:pPr>
      <w:r w:rsidRPr="001160D6">
        <w:rPr>
          <w:lang w:val="es-AR"/>
        </w:rPr>
        <w:t>D</w:t>
      </w:r>
      <w:r w:rsidR="00DB1F86" w:rsidRPr="001160D6">
        <w:rPr>
          <w:lang w:val="es-AR"/>
        </w:rPr>
        <w:t xml:space="preserve">e los 84 países del </w:t>
      </w:r>
      <w:r w:rsidR="007120E8" w:rsidRPr="001160D6">
        <w:rPr>
          <w:lang w:val="es-AR"/>
        </w:rPr>
        <w:t>Artículo</w:t>
      </w:r>
      <w:r w:rsidR="00DB1F86" w:rsidRPr="001160D6">
        <w:rPr>
          <w:lang w:val="es-AR"/>
        </w:rPr>
        <w:t xml:space="preserve"> 5 que </w:t>
      </w:r>
      <w:r w:rsidR="00FF4D54" w:rsidRPr="001160D6">
        <w:rPr>
          <w:lang w:val="es-AR"/>
        </w:rPr>
        <w:t>inform</w:t>
      </w:r>
      <w:r w:rsidR="00DB1F86" w:rsidRPr="001160D6">
        <w:rPr>
          <w:lang w:val="es-AR"/>
        </w:rPr>
        <w:t xml:space="preserve">aron datos de consumo de HFC en 2019, siete (cinco </w:t>
      </w:r>
      <w:r w:rsidR="00B321BA" w:rsidRPr="001160D6">
        <w:rPr>
          <w:lang w:val="es-AR"/>
        </w:rPr>
        <w:t xml:space="preserve">países </w:t>
      </w:r>
      <w:r w:rsidR="008E7FD2" w:rsidRPr="001160D6">
        <w:rPr>
          <w:lang w:val="es-AR"/>
        </w:rPr>
        <w:t xml:space="preserve">sin </w:t>
      </w:r>
      <w:r w:rsidR="00B321BA" w:rsidRPr="001160D6">
        <w:rPr>
          <w:lang w:val="es-AR"/>
        </w:rPr>
        <w:t xml:space="preserve">bajo consumo </w:t>
      </w:r>
      <w:r w:rsidR="008E7FD2" w:rsidRPr="001160D6">
        <w:rPr>
          <w:lang w:val="es-AR"/>
        </w:rPr>
        <w:t xml:space="preserve">y dos </w:t>
      </w:r>
      <w:r w:rsidR="00B321BA" w:rsidRPr="001160D6">
        <w:rPr>
          <w:lang w:val="es-AR"/>
        </w:rPr>
        <w:t xml:space="preserve">países </w:t>
      </w:r>
      <w:r w:rsidR="008E7FD2" w:rsidRPr="001160D6">
        <w:rPr>
          <w:lang w:val="es-AR"/>
        </w:rPr>
        <w:t xml:space="preserve">con </w:t>
      </w:r>
      <w:r w:rsidR="00B321BA" w:rsidRPr="001160D6">
        <w:rPr>
          <w:lang w:val="es-AR"/>
        </w:rPr>
        <w:t>bajo consumo</w:t>
      </w:r>
      <w:r w:rsidR="00DB1F86" w:rsidRPr="001160D6">
        <w:rPr>
          <w:lang w:val="es-AR"/>
        </w:rPr>
        <w:t xml:space="preserve">) identificaron un uso total de </w:t>
      </w:r>
      <w:r w:rsidR="007120E8" w:rsidRPr="001160D6">
        <w:rPr>
          <w:lang w:val="es-AR"/>
        </w:rPr>
        <w:t>3 057</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de HFC-</w:t>
      </w:r>
      <w:r w:rsidR="00DB1F86" w:rsidRPr="001160D6">
        <w:rPr>
          <w:lang w:val="es-AR"/>
        </w:rPr>
        <w:lastRenderedPageBreak/>
        <w:t xml:space="preserve">134a y </w:t>
      </w:r>
      <w:r w:rsidR="007120E8" w:rsidRPr="001160D6">
        <w:rPr>
          <w:lang w:val="es-AR"/>
        </w:rPr>
        <w:t>1 659</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 xml:space="preserve">de R-404A en el sector </w:t>
      </w:r>
      <w:r w:rsidR="00591FCB" w:rsidRPr="001160D6">
        <w:rPr>
          <w:lang w:val="es-AR"/>
        </w:rPr>
        <w:t xml:space="preserve">de </w:t>
      </w:r>
      <w:r w:rsidR="008E7FD2" w:rsidRPr="001160D6">
        <w:rPr>
          <w:lang w:val="es-AR"/>
        </w:rPr>
        <w:t>fabricación de equipos de refrigeración</w:t>
      </w:r>
      <w:r w:rsidR="00DB1F86" w:rsidRPr="001160D6">
        <w:rPr>
          <w:lang w:val="es-AR"/>
        </w:rPr>
        <w:t xml:space="preserve">. </w:t>
      </w:r>
      <w:r w:rsidR="008E7FD2" w:rsidRPr="001160D6">
        <w:rPr>
          <w:lang w:val="es-AR"/>
        </w:rPr>
        <w:t>P</w:t>
      </w:r>
      <w:r w:rsidR="00594B49" w:rsidRPr="001160D6">
        <w:rPr>
          <w:lang w:val="es-AR"/>
        </w:rPr>
        <w:t>robablemente p</w:t>
      </w:r>
      <w:r w:rsidR="00DB1F86" w:rsidRPr="001160D6">
        <w:rPr>
          <w:lang w:val="es-AR"/>
        </w:rPr>
        <w:t xml:space="preserve">arte de este consumo </w:t>
      </w:r>
      <w:r w:rsidR="008E7FD2" w:rsidRPr="001160D6">
        <w:rPr>
          <w:lang w:val="es-AR"/>
        </w:rPr>
        <w:t xml:space="preserve">se encuentra </w:t>
      </w:r>
      <w:r w:rsidR="00DB1F86" w:rsidRPr="001160D6">
        <w:rPr>
          <w:lang w:val="es-AR"/>
        </w:rPr>
        <w:t xml:space="preserve">en la fabricación de </w:t>
      </w:r>
      <w:r w:rsidR="007120E8" w:rsidRPr="001160D6">
        <w:rPr>
          <w:lang w:val="es-AR"/>
        </w:rPr>
        <w:t>a</w:t>
      </w:r>
      <w:r w:rsidRPr="001160D6">
        <w:rPr>
          <w:lang w:val="es-AR"/>
        </w:rPr>
        <w:t xml:space="preserve">paratos autónomos </w:t>
      </w:r>
      <w:r w:rsidR="008E7FD2" w:rsidRPr="001160D6">
        <w:rPr>
          <w:lang w:val="es-AR"/>
        </w:rPr>
        <w:t>para uso doméstico y comercial</w:t>
      </w:r>
      <w:r w:rsidR="00DB1F86" w:rsidRPr="001160D6">
        <w:rPr>
          <w:lang w:val="es-AR"/>
        </w:rPr>
        <w:t xml:space="preserve">; dos países </w:t>
      </w:r>
      <w:r w:rsidR="008E7FD2" w:rsidRPr="001160D6">
        <w:rPr>
          <w:lang w:val="es-AR"/>
        </w:rPr>
        <w:t xml:space="preserve">ya </w:t>
      </w:r>
      <w:r w:rsidR="00DB1F86" w:rsidRPr="001160D6">
        <w:rPr>
          <w:lang w:val="es-AR"/>
        </w:rPr>
        <w:t xml:space="preserve">están ejecutando </w:t>
      </w:r>
      <w:r w:rsidR="00591FCB" w:rsidRPr="001160D6">
        <w:rPr>
          <w:lang w:val="es-AR"/>
        </w:rPr>
        <w:t>proyectos</w:t>
      </w:r>
      <w:r w:rsidR="00DB1F86" w:rsidRPr="001160D6">
        <w:rPr>
          <w:lang w:val="es-AR"/>
        </w:rPr>
        <w:t xml:space="preserve"> de inversión</w:t>
      </w:r>
      <w:r w:rsidRPr="001160D6">
        <w:rPr>
          <w:lang w:val="es-AR"/>
        </w:rPr>
        <w:t xml:space="preserve"> </w:t>
      </w:r>
      <w:r w:rsidR="00594B49" w:rsidRPr="001160D6">
        <w:rPr>
          <w:lang w:val="es-AR"/>
        </w:rPr>
        <w:t xml:space="preserve">de este tipo </w:t>
      </w:r>
      <w:r w:rsidR="00DB1F86" w:rsidRPr="001160D6">
        <w:rPr>
          <w:lang w:val="es-AR"/>
        </w:rPr>
        <w:t xml:space="preserve">en estos sectores. La cantidad de </w:t>
      </w:r>
      <w:r w:rsidR="00944DE1" w:rsidRPr="001160D6">
        <w:rPr>
          <w:lang w:val="es-AR"/>
        </w:rPr>
        <w:t>HFC</w:t>
      </w:r>
      <w:r w:rsidR="00DB1F86" w:rsidRPr="001160D6">
        <w:rPr>
          <w:lang w:val="es-AR"/>
        </w:rPr>
        <w:t xml:space="preserve"> utiliz</w:t>
      </w:r>
      <w:r w:rsidR="008E7FD2" w:rsidRPr="001160D6">
        <w:rPr>
          <w:lang w:val="es-AR"/>
        </w:rPr>
        <w:t>ad</w:t>
      </w:r>
      <w:r w:rsidR="00594B49" w:rsidRPr="001160D6">
        <w:rPr>
          <w:lang w:val="es-AR"/>
        </w:rPr>
        <w:t>a</w:t>
      </w:r>
      <w:r w:rsidR="00DB1F86" w:rsidRPr="001160D6">
        <w:rPr>
          <w:lang w:val="es-AR"/>
        </w:rPr>
        <w:t xml:space="preserve"> en estos dos usos puede ser </w:t>
      </w:r>
      <w:r w:rsidR="008E7FD2" w:rsidRPr="001160D6">
        <w:rPr>
          <w:lang w:val="es-AR"/>
        </w:rPr>
        <w:t xml:space="preserve">mayor </w:t>
      </w:r>
      <w:r w:rsidR="00DB1F86" w:rsidRPr="001160D6">
        <w:rPr>
          <w:lang w:val="es-AR"/>
        </w:rPr>
        <w:t xml:space="preserve">que las cifras </w:t>
      </w:r>
      <w:r w:rsidR="008E7FD2" w:rsidRPr="001160D6">
        <w:rPr>
          <w:lang w:val="es-AR"/>
        </w:rPr>
        <w:t xml:space="preserve">antedichas, dado que </w:t>
      </w:r>
      <w:r w:rsidR="00DB1F86" w:rsidRPr="001160D6">
        <w:rPr>
          <w:lang w:val="es-AR"/>
        </w:rPr>
        <w:t xml:space="preserve">algunos de los países con capacidad de fabricación todavía no </w:t>
      </w:r>
      <w:r w:rsidR="008E7FD2" w:rsidRPr="001160D6">
        <w:rPr>
          <w:lang w:val="es-AR"/>
        </w:rPr>
        <w:t xml:space="preserve">informaron </w:t>
      </w:r>
      <w:r w:rsidR="00DB1F86" w:rsidRPr="001160D6">
        <w:rPr>
          <w:lang w:val="es-AR"/>
        </w:rPr>
        <w:t>su consumo de HFC.</w:t>
      </w:r>
    </w:p>
    <w:p w14:paraId="5DD042C5" w14:textId="1CA21641" w:rsidR="00DB1F86" w:rsidRPr="001160D6" w:rsidRDefault="00594B49" w:rsidP="00DB1F86">
      <w:pPr>
        <w:pStyle w:val="Heading1"/>
        <w:rPr>
          <w:lang w:val="es-AR"/>
        </w:rPr>
      </w:pPr>
      <w:r w:rsidRPr="001160D6">
        <w:rPr>
          <w:lang w:val="es-AR"/>
        </w:rPr>
        <w:t xml:space="preserve">Actualmente se dispone de </w:t>
      </w:r>
      <w:r w:rsidR="00DB1F86" w:rsidRPr="001160D6">
        <w:rPr>
          <w:lang w:val="es-AR"/>
        </w:rPr>
        <w:t xml:space="preserve">tecnologías alternativas eficaces en función de los costos para </w:t>
      </w:r>
      <w:r w:rsidR="00B63879" w:rsidRPr="001160D6">
        <w:rPr>
          <w:lang w:val="es-AR"/>
        </w:rPr>
        <w:t>conversión</w:t>
      </w:r>
      <w:r w:rsidR="00DB1F86" w:rsidRPr="001160D6">
        <w:rPr>
          <w:lang w:val="es-AR"/>
        </w:rPr>
        <w:t xml:space="preserve"> </w:t>
      </w:r>
      <w:r w:rsidR="007120E8" w:rsidRPr="001160D6">
        <w:rPr>
          <w:lang w:val="es-AR"/>
        </w:rPr>
        <w:t xml:space="preserve">de </w:t>
      </w:r>
      <w:r w:rsidR="00E06AA4" w:rsidRPr="001160D6">
        <w:rPr>
          <w:lang w:val="es-AR"/>
        </w:rPr>
        <w:t>equipos</w:t>
      </w:r>
      <w:r w:rsidR="00FF4D54" w:rsidRPr="001160D6">
        <w:rPr>
          <w:lang w:val="es-AR"/>
        </w:rPr>
        <w:t xml:space="preserve"> de refrigeración</w:t>
      </w:r>
      <w:r w:rsidR="00E06AA4" w:rsidRPr="001160D6">
        <w:rPr>
          <w:lang w:val="es-AR"/>
        </w:rPr>
        <w:t xml:space="preserve"> autónomos para uso </w:t>
      </w:r>
      <w:r w:rsidR="00DB1F86" w:rsidRPr="001160D6">
        <w:rPr>
          <w:lang w:val="es-AR"/>
        </w:rPr>
        <w:t xml:space="preserve">doméstico y comercial </w:t>
      </w:r>
      <w:r w:rsidR="00E06AA4" w:rsidRPr="001160D6">
        <w:rPr>
          <w:lang w:val="es-AR"/>
        </w:rPr>
        <w:t xml:space="preserve">basados en </w:t>
      </w:r>
      <w:r w:rsidR="00DB1F86" w:rsidRPr="001160D6">
        <w:rPr>
          <w:lang w:val="es-AR"/>
        </w:rPr>
        <w:t xml:space="preserve">HFC. </w:t>
      </w:r>
      <w:r w:rsidR="009A0596" w:rsidRPr="001160D6">
        <w:rPr>
          <w:lang w:val="es-AR"/>
        </w:rPr>
        <w:t xml:space="preserve">La </w:t>
      </w:r>
      <w:r w:rsidR="00B63879" w:rsidRPr="001160D6">
        <w:rPr>
          <w:lang w:val="es-AR"/>
        </w:rPr>
        <w:t>conversión</w:t>
      </w:r>
      <w:r w:rsidR="00DB1F86" w:rsidRPr="001160D6">
        <w:rPr>
          <w:lang w:val="es-AR"/>
        </w:rPr>
        <w:t xml:space="preserve"> </w:t>
      </w:r>
      <w:r w:rsidR="009A0596" w:rsidRPr="001160D6">
        <w:rPr>
          <w:lang w:val="es-AR"/>
        </w:rPr>
        <w:t xml:space="preserve">temprana </w:t>
      </w:r>
      <w:r w:rsidR="00DB1F86" w:rsidRPr="001160D6">
        <w:rPr>
          <w:lang w:val="es-AR"/>
        </w:rPr>
        <w:t xml:space="preserve">de estas líneas de fabricación es </w:t>
      </w:r>
      <w:r w:rsidR="009A0596" w:rsidRPr="001160D6">
        <w:rPr>
          <w:lang w:val="es-AR"/>
        </w:rPr>
        <w:t>posible</w:t>
      </w:r>
      <w:r w:rsidRPr="001160D6">
        <w:rPr>
          <w:lang w:val="es-AR"/>
        </w:rPr>
        <w:t>,</w:t>
      </w:r>
      <w:r w:rsidR="009A0596" w:rsidRPr="001160D6">
        <w:rPr>
          <w:lang w:val="es-AR"/>
        </w:rPr>
        <w:t xml:space="preserve"> dado que en mercados de países del Artículo 5 se </w:t>
      </w:r>
      <w:r w:rsidRPr="001160D6">
        <w:rPr>
          <w:lang w:val="es-AR"/>
        </w:rPr>
        <w:t xml:space="preserve">cuenta con </w:t>
      </w:r>
      <w:r w:rsidR="009A0596" w:rsidRPr="001160D6">
        <w:rPr>
          <w:lang w:val="es-AR"/>
        </w:rPr>
        <w:t xml:space="preserve">tecnologías alternativas sostenibles y </w:t>
      </w:r>
      <w:r w:rsidR="00DB1F86" w:rsidRPr="001160D6">
        <w:rPr>
          <w:lang w:val="es-AR"/>
        </w:rPr>
        <w:t>efica</w:t>
      </w:r>
      <w:r w:rsidR="009A0596" w:rsidRPr="001160D6">
        <w:rPr>
          <w:lang w:val="es-AR"/>
        </w:rPr>
        <w:t>ces</w:t>
      </w:r>
      <w:r w:rsidR="00DB1F86" w:rsidRPr="001160D6">
        <w:rPr>
          <w:lang w:val="es-AR"/>
        </w:rPr>
        <w:t xml:space="preserve"> en función de los costos. Un </w:t>
      </w:r>
      <w:r w:rsidR="007120E8" w:rsidRPr="001160D6">
        <w:rPr>
          <w:lang w:val="es-AR"/>
        </w:rPr>
        <w:t>enfoque</w:t>
      </w:r>
      <w:r w:rsidR="00DB1F86" w:rsidRPr="001160D6">
        <w:rPr>
          <w:lang w:val="es-AR"/>
        </w:rPr>
        <w:t xml:space="preserve"> sectorial</w:t>
      </w:r>
      <w:r w:rsidRPr="001160D6">
        <w:rPr>
          <w:lang w:val="es-AR"/>
        </w:rPr>
        <w:t>,</w:t>
      </w:r>
      <w:r w:rsidR="00DB1F86" w:rsidRPr="001160D6">
        <w:rPr>
          <w:lang w:val="es-AR"/>
        </w:rPr>
        <w:t xml:space="preserve"> complementado por medidas reguladoras</w:t>
      </w:r>
      <w:r w:rsidRPr="001160D6">
        <w:rPr>
          <w:lang w:val="es-AR"/>
        </w:rPr>
        <w:t>,</w:t>
      </w:r>
      <w:r w:rsidR="00DB1F86" w:rsidRPr="001160D6">
        <w:rPr>
          <w:lang w:val="es-AR"/>
        </w:rPr>
        <w:t xml:space="preserve"> aseguraría que </w:t>
      </w:r>
      <w:r w:rsidR="00944DE1" w:rsidRPr="001160D6">
        <w:rPr>
          <w:lang w:val="es-AR"/>
        </w:rPr>
        <w:t>l</w:t>
      </w:r>
      <w:r w:rsidR="009A0596" w:rsidRPr="001160D6">
        <w:rPr>
          <w:lang w:val="es-AR"/>
        </w:rPr>
        <w:t xml:space="preserve">a eliminación de </w:t>
      </w:r>
      <w:r w:rsidR="00944DE1" w:rsidRPr="001160D6">
        <w:rPr>
          <w:lang w:val="es-AR"/>
        </w:rPr>
        <w:t>HFC</w:t>
      </w:r>
      <w:r w:rsidR="00DB1F86" w:rsidRPr="001160D6">
        <w:rPr>
          <w:lang w:val="es-AR"/>
        </w:rPr>
        <w:t xml:space="preserve"> por empresas </w:t>
      </w:r>
      <w:r w:rsidR="009A0596" w:rsidRPr="001160D6">
        <w:rPr>
          <w:lang w:val="es-AR"/>
        </w:rPr>
        <w:t xml:space="preserve">asistidas </w:t>
      </w:r>
      <w:r w:rsidR="00DB1F86" w:rsidRPr="001160D6">
        <w:rPr>
          <w:lang w:val="es-AR"/>
        </w:rPr>
        <w:t>no s</w:t>
      </w:r>
      <w:r w:rsidR="009A0596" w:rsidRPr="001160D6">
        <w:rPr>
          <w:lang w:val="es-AR"/>
        </w:rPr>
        <w:t xml:space="preserve">e </w:t>
      </w:r>
      <w:r w:rsidRPr="001160D6">
        <w:rPr>
          <w:lang w:val="es-AR"/>
        </w:rPr>
        <w:t xml:space="preserve">contrarresta </w:t>
      </w:r>
      <w:r w:rsidR="00E15DFA" w:rsidRPr="001160D6">
        <w:rPr>
          <w:lang w:val="es-AR"/>
        </w:rPr>
        <w:t xml:space="preserve">con </w:t>
      </w:r>
      <w:r w:rsidR="00DB1F86" w:rsidRPr="001160D6">
        <w:rPr>
          <w:lang w:val="es-AR"/>
        </w:rPr>
        <w:t xml:space="preserve">el consumo creciente en otras empresas </w:t>
      </w:r>
      <w:r w:rsidR="009A0596" w:rsidRPr="001160D6">
        <w:rPr>
          <w:lang w:val="es-AR"/>
        </w:rPr>
        <w:t>d</w:t>
      </w:r>
      <w:r w:rsidR="00DB1F86" w:rsidRPr="001160D6">
        <w:rPr>
          <w:lang w:val="es-AR"/>
        </w:rPr>
        <w:t xml:space="preserve">el sector. Además, </w:t>
      </w:r>
      <w:r w:rsidR="009A0596" w:rsidRPr="001160D6">
        <w:rPr>
          <w:lang w:val="es-AR"/>
        </w:rPr>
        <w:t xml:space="preserve">la conversión </w:t>
      </w:r>
      <w:r w:rsidR="00DB1F86" w:rsidRPr="001160D6">
        <w:rPr>
          <w:lang w:val="es-AR"/>
        </w:rPr>
        <w:t>tempran</w:t>
      </w:r>
      <w:r w:rsidR="009A0596" w:rsidRPr="001160D6">
        <w:rPr>
          <w:lang w:val="es-AR"/>
        </w:rPr>
        <w:t>a</w:t>
      </w:r>
      <w:r w:rsidR="00DB1F86" w:rsidRPr="001160D6">
        <w:rPr>
          <w:lang w:val="es-AR"/>
        </w:rPr>
        <w:t xml:space="preserve"> de este sector reducirá la demanda futura </w:t>
      </w:r>
      <w:r w:rsidR="00E15DFA" w:rsidRPr="001160D6">
        <w:rPr>
          <w:lang w:val="es-AR"/>
        </w:rPr>
        <w:t xml:space="preserve">de </w:t>
      </w:r>
      <w:r w:rsidR="00944DE1" w:rsidRPr="001160D6">
        <w:rPr>
          <w:lang w:val="es-AR"/>
        </w:rPr>
        <w:t>los HFC</w:t>
      </w:r>
      <w:r w:rsidR="00DB1F86" w:rsidRPr="001160D6">
        <w:rPr>
          <w:lang w:val="es-AR"/>
        </w:rPr>
        <w:t xml:space="preserve"> en el</w:t>
      </w:r>
      <w:r w:rsidR="00E15DFA" w:rsidRPr="001160D6">
        <w:rPr>
          <w:lang w:val="es-AR"/>
        </w:rPr>
        <w:t xml:space="preserve"> servicio y</w:t>
      </w:r>
      <w:r w:rsidR="00DB1F86" w:rsidRPr="001160D6">
        <w:rPr>
          <w:lang w:val="es-AR"/>
        </w:rPr>
        <w:t xml:space="preserve"> mantenimiento </w:t>
      </w:r>
      <w:r w:rsidR="009A0596" w:rsidRPr="001160D6">
        <w:rPr>
          <w:lang w:val="es-AR"/>
        </w:rPr>
        <w:t xml:space="preserve">conexo </w:t>
      </w:r>
      <w:r w:rsidR="00B63879" w:rsidRPr="001160D6">
        <w:rPr>
          <w:lang w:val="es-AR"/>
        </w:rPr>
        <w:t xml:space="preserve">de </w:t>
      </w:r>
      <w:r w:rsidR="00E15DFA" w:rsidRPr="001160D6">
        <w:rPr>
          <w:lang w:val="es-AR"/>
        </w:rPr>
        <w:t xml:space="preserve">los </w:t>
      </w:r>
      <w:r w:rsidR="00B63879" w:rsidRPr="001160D6">
        <w:rPr>
          <w:lang w:val="es-AR"/>
        </w:rPr>
        <w:t>equipos</w:t>
      </w:r>
      <w:r w:rsidR="00DB1F86" w:rsidRPr="001160D6">
        <w:rPr>
          <w:lang w:val="es-AR"/>
        </w:rPr>
        <w:t xml:space="preserve"> y reducirá las </w:t>
      </w:r>
      <w:r w:rsidR="009A0596" w:rsidRPr="001160D6">
        <w:rPr>
          <w:lang w:val="es-AR"/>
        </w:rPr>
        <w:t xml:space="preserve">posibles </w:t>
      </w:r>
      <w:r w:rsidR="00DB1F86" w:rsidRPr="001160D6">
        <w:rPr>
          <w:lang w:val="es-AR"/>
        </w:rPr>
        <w:t xml:space="preserve">emisiones </w:t>
      </w:r>
      <w:r w:rsidR="00E15DFA" w:rsidRPr="001160D6">
        <w:rPr>
          <w:lang w:val="es-AR"/>
        </w:rPr>
        <w:t xml:space="preserve">provenientes </w:t>
      </w:r>
      <w:r w:rsidR="00DB1F86" w:rsidRPr="001160D6">
        <w:rPr>
          <w:lang w:val="es-AR"/>
        </w:rPr>
        <w:t xml:space="preserve">de los bancos. </w:t>
      </w:r>
    </w:p>
    <w:p w14:paraId="199E732F" w14:textId="5948E52B" w:rsidR="00DB1F86" w:rsidRPr="001160D6" w:rsidRDefault="00DB1F86" w:rsidP="00DB1F86">
      <w:pPr>
        <w:pStyle w:val="Heading1"/>
        <w:rPr>
          <w:lang w:val="es-AR"/>
        </w:rPr>
      </w:pPr>
      <w:r w:rsidRPr="001160D6">
        <w:rPr>
          <w:lang w:val="es-AR"/>
        </w:rPr>
        <w:t xml:space="preserve">El Comité Ejecutivo </w:t>
      </w:r>
      <w:r w:rsidR="007120E8" w:rsidRPr="001160D6">
        <w:rPr>
          <w:u w:val="single"/>
          <w:lang w:val="es-AR"/>
        </w:rPr>
        <w:t>podría</w:t>
      </w:r>
      <w:r w:rsidR="009A0596" w:rsidRPr="001160D6">
        <w:rPr>
          <w:u w:val="single"/>
          <w:lang w:val="es-AR"/>
        </w:rPr>
        <w:t xml:space="preserve"> querer</w:t>
      </w:r>
      <w:r w:rsidRPr="001160D6">
        <w:rPr>
          <w:lang w:val="es-AR"/>
        </w:rPr>
        <w:t>:</w:t>
      </w:r>
    </w:p>
    <w:p w14:paraId="6EB58FF6" w14:textId="0F6623DE" w:rsidR="00DB1F86" w:rsidRPr="001160D6" w:rsidRDefault="009A0596" w:rsidP="00DB1F86">
      <w:pPr>
        <w:pStyle w:val="Heading2"/>
        <w:rPr>
          <w:lang w:val="es-AR"/>
        </w:rPr>
      </w:pPr>
      <w:r w:rsidRPr="001160D6">
        <w:rPr>
          <w:lang w:val="es-AR"/>
        </w:rPr>
        <w:t>A</w:t>
      </w:r>
      <w:r w:rsidR="00DB1F86" w:rsidRPr="001160D6">
        <w:rPr>
          <w:lang w:val="es-AR"/>
        </w:rPr>
        <w:t xml:space="preserve">probar </w:t>
      </w:r>
      <w:r w:rsidR="0072784E" w:rsidRPr="001160D6">
        <w:rPr>
          <w:lang w:val="es-AR"/>
        </w:rPr>
        <w:t>planes sectoriales</w:t>
      </w:r>
      <w:r w:rsidR="00DB1F86" w:rsidRPr="001160D6">
        <w:rPr>
          <w:lang w:val="es-AR"/>
        </w:rPr>
        <w:t xml:space="preserve"> para</w:t>
      </w:r>
      <w:r w:rsidR="0072784E" w:rsidRPr="001160D6">
        <w:rPr>
          <w:lang w:val="es-AR"/>
        </w:rPr>
        <w:t xml:space="preserve"> la eliminación total</w:t>
      </w:r>
      <w:r w:rsidRPr="001160D6">
        <w:rPr>
          <w:lang w:val="es-AR"/>
        </w:rPr>
        <w:t xml:space="preserve"> </w:t>
      </w:r>
      <w:r w:rsidR="00DB1F86" w:rsidRPr="001160D6">
        <w:rPr>
          <w:lang w:val="es-AR"/>
        </w:rPr>
        <w:t xml:space="preserve">de HFC en la fabricación de </w:t>
      </w:r>
      <w:r w:rsidR="007120E8" w:rsidRPr="001160D6">
        <w:rPr>
          <w:lang w:val="es-AR"/>
        </w:rPr>
        <w:t>a</w:t>
      </w:r>
      <w:r w:rsidR="002773B0" w:rsidRPr="001160D6">
        <w:rPr>
          <w:lang w:val="es-AR"/>
        </w:rPr>
        <w:t>paratos</w:t>
      </w:r>
      <w:r w:rsidR="00DB1F86" w:rsidRPr="001160D6">
        <w:rPr>
          <w:lang w:val="es-AR"/>
        </w:rPr>
        <w:t xml:space="preserve"> de refrigeración</w:t>
      </w:r>
      <w:r w:rsidR="002773B0" w:rsidRPr="001160D6">
        <w:rPr>
          <w:lang w:val="es-AR"/>
        </w:rPr>
        <w:t xml:space="preserve"> autónomos </w:t>
      </w:r>
      <w:r w:rsidR="008E7FD2" w:rsidRPr="001160D6">
        <w:rPr>
          <w:lang w:val="es-AR"/>
        </w:rPr>
        <w:t>para uso doméstico y comercial</w:t>
      </w:r>
      <w:r w:rsidR="00DB1F86" w:rsidRPr="001160D6">
        <w:rPr>
          <w:lang w:val="es-AR"/>
        </w:rPr>
        <w:t xml:space="preserve">, </w:t>
      </w:r>
      <w:r w:rsidRPr="001160D6">
        <w:rPr>
          <w:lang w:val="es-AR"/>
        </w:rPr>
        <w:t>quedando entendido que</w:t>
      </w:r>
      <w:r w:rsidR="00DB1F86" w:rsidRPr="001160D6">
        <w:rPr>
          <w:lang w:val="es-AR"/>
        </w:rPr>
        <w:t>:</w:t>
      </w:r>
    </w:p>
    <w:p w14:paraId="4660D1EB" w14:textId="7060AA27" w:rsidR="00DB1F86" w:rsidRPr="001160D6" w:rsidRDefault="00E15DFA" w:rsidP="00DB1F86">
      <w:pPr>
        <w:pStyle w:val="Heading3"/>
        <w:rPr>
          <w:lang w:val="es-AR"/>
        </w:rPr>
      </w:pPr>
      <w:r w:rsidRPr="001160D6">
        <w:rPr>
          <w:lang w:val="es-AR"/>
        </w:rPr>
        <w:t>Todo país del Artículo 5 que presente un proyecto habrá ratificado la Enmienda de Kigali o presentado una carta oficial que indique la intención del gobierno de ratificar dicha Enmienda</w:t>
      </w:r>
      <w:r w:rsidR="00DB1F86" w:rsidRPr="001160D6">
        <w:rPr>
          <w:lang w:val="es-AR"/>
        </w:rPr>
        <w:t>;</w:t>
      </w:r>
    </w:p>
    <w:p w14:paraId="0B620076" w14:textId="0236321E" w:rsidR="00DB1F86" w:rsidRPr="001160D6" w:rsidRDefault="009A0596" w:rsidP="00DB1F86">
      <w:pPr>
        <w:pStyle w:val="Heading3"/>
        <w:rPr>
          <w:lang w:val="es-AR"/>
        </w:rPr>
      </w:pPr>
      <w:r w:rsidRPr="001160D6">
        <w:rPr>
          <w:lang w:val="es-AR"/>
        </w:rPr>
        <w:t>E</w:t>
      </w:r>
      <w:r w:rsidR="00DB1F86" w:rsidRPr="001160D6">
        <w:rPr>
          <w:lang w:val="es-AR"/>
        </w:rPr>
        <w:t xml:space="preserve">l </w:t>
      </w:r>
      <w:r w:rsidR="0072784E" w:rsidRPr="001160D6">
        <w:rPr>
          <w:lang w:val="es-AR"/>
        </w:rPr>
        <w:t>plan sectorial</w:t>
      </w:r>
      <w:r w:rsidR="00DB1F86" w:rsidRPr="001160D6">
        <w:rPr>
          <w:lang w:val="es-AR"/>
        </w:rPr>
        <w:t xml:space="preserve"> se integra</w:t>
      </w:r>
      <w:r w:rsidRPr="001160D6">
        <w:rPr>
          <w:lang w:val="es-AR"/>
        </w:rPr>
        <w:t xml:space="preserve">rá </w:t>
      </w:r>
      <w:r w:rsidR="00DB1F86" w:rsidRPr="001160D6">
        <w:rPr>
          <w:lang w:val="es-AR"/>
        </w:rPr>
        <w:t xml:space="preserve">en la etapa I del </w:t>
      </w:r>
      <w:r w:rsidR="0072784E" w:rsidRPr="001160D6">
        <w:rPr>
          <w:lang w:val="es-AR"/>
        </w:rPr>
        <w:t>plan de reducción</w:t>
      </w:r>
      <w:r w:rsidR="002300DB" w:rsidRPr="001160D6">
        <w:rPr>
          <w:lang w:val="es-AR"/>
        </w:rPr>
        <w:t xml:space="preserve"> de HFC</w:t>
      </w:r>
      <w:r w:rsidR="00E15DFA" w:rsidRPr="001160D6">
        <w:rPr>
          <w:lang w:val="es-AR"/>
        </w:rPr>
        <w:t>,</w:t>
      </w:r>
      <w:r w:rsidR="00DB1F86" w:rsidRPr="001160D6">
        <w:rPr>
          <w:lang w:val="es-AR"/>
        </w:rPr>
        <w:t xml:space="preserve"> una vez formulado el </w:t>
      </w:r>
      <w:r w:rsidR="0072784E" w:rsidRPr="001160D6">
        <w:rPr>
          <w:lang w:val="es-AR"/>
        </w:rPr>
        <w:t>plan de reducción</w:t>
      </w:r>
      <w:r w:rsidR="002300DB" w:rsidRPr="001160D6">
        <w:rPr>
          <w:lang w:val="es-AR"/>
        </w:rPr>
        <w:t xml:space="preserve"> de HFC</w:t>
      </w:r>
      <w:r w:rsidR="00DB1F86" w:rsidRPr="001160D6">
        <w:rPr>
          <w:lang w:val="es-AR"/>
        </w:rPr>
        <w:t>;</w:t>
      </w:r>
    </w:p>
    <w:p w14:paraId="77BE970D" w14:textId="529D0779" w:rsidR="00E15DFA" w:rsidRPr="001160D6" w:rsidRDefault="00E15DFA" w:rsidP="00E15DFA">
      <w:pPr>
        <w:pStyle w:val="Heading3"/>
        <w:rPr>
          <w:lang w:val="es-AR"/>
        </w:rPr>
      </w:pPr>
      <w:r w:rsidRPr="001160D6">
        <w:rPr>
          <w:lang w:val="es-AR"/>
        </w:rPr>
        <w:t xml:space="preserve">La cantidad de HFC eliminada por el plan sectorial se deducirá del punto de partida para las reducciones sostenidas del consumo de HFC, una vez establecido el punto de partida; </w:t>
      </w:r>
    </w:p>
    <w:p w14:paraId="49B86B69" w14:textId="7C59F7CF" w:rsidR="00DB1F86" w:rsidRPr="001160D6" w:rsidRDefault="00AD330B" w:rsidP="00E15DFA">
      <w:pPr>
        <w:pStyle w:val="Heading3"/>
        <w:rPr>
          <w:lang w:val="es-AR"/>
        </w:rPr>
      </w:pPr>
      <w:r w:rsidRPr="001160D6">
        <w:rPr>
          <w:lang w:val="es-AR"/>
        </w:rPr>
        <w:t>El país establecerá las medidas reguladoras necesarias para asegurar la sustentabilidad de la eliminación total de los HFC en las aplicaciones de refrigeración de aparatos autónomos para uso doméstico y comercial</w:t>
      </w:r>
      <w:r w:rsidR="00DB1F86" w:rsidRPr="001160D6">
        <w:rPr>
          <w:lang w:val="es-AR"/>
        </w:rPr>
        <w:t xml:space="preserve">; </w:t>
      </w:r>
      <w:r w:rsidRPr="001160D6">
        <w:rPr>
          <w:lang w:val="es-AR"/>
        </w:rPr>
        <w:t>y</w:t>
      </w:r>
    </w:p>
    <w:p w14:paraId="0F24C8BE" w14:textId="71457729" w:rsidR="00DB1F86" w:rsidRPr="001160D6" w:rsidRDefault="009A0596" w:rsidP="00DB1F86">
      <w:pPr>
        <w:pStyle w:val="Heading2"/>
        <w:rPr>
          <w:lang w:val="es-AR"/>
        </w:rPr>
      </w:pPr>
      <w:r w:rsidRPr="001160D6">
        <w:rPr>
          <w:lang w:val="es-AR"/>
        </w:rPr>
        <w:t>A</w:t>
      </w:r>
      <w:r w:rsidR="00DB1F86" w:rsidRPr="001160D6">
        <w:rPr>
          <w:lang w:val="es-AR"/>
        </w:rPr>
        <w:t xml:space="preserve">probar, cuando así se requiera, la financiación preparatoria para la formulación de estos </w:t>
      </w:r>
      <w:r w:rsidR="0072784E" w:rsidRPr="001160D6">
        <w:rPr>
          <w:lang w:val="es-AR"/>
        </w:rPr>
        <w:t>planes sectoriales</w:t>
      </w:r>
      <w:r w:rsidR="00CB2802" w:rsidRPr="001160D6">
        <w:rPr>
          <w:lang w:val="es-AR"/>
        </w:rPr>
        <w:t>,</w:t>
      </w:r>
      <w:r w:rsidR="00AD330B" w:rsidRPr="001160D6">
        <w:rPr>
          <w:lang w:val="es-AR"/>
        </w:rPr>
        <w:t xml:space="preserve"> caso por caso </w:t>
      </w:r>
      <w:r w:rsidR="00DB1F86" w:rsidRPr="001160D6">
        <w:rPr>
          <w:lang w:val="es-AR"/>
        </w:rPr>
        <w:t>y conforme a</w:t>
      </w:r>
      <w:r w:rsidR="00AD330B" w:rsidRPr="001160D6">
        <w:rPr>
          <w:lang w:val="es-AR"/>
        </w:rPr>
        <w:t xml:space="preserve"> </w:t>
      </w:r>
      <w:r w:rsidR="00DB1F86" w:rsidRPr="001160D6">
        <w:rPr>
          <w:lang w:val="es-AR"/>
        </w:rPr>
        <w:t>l</w:t>
      </w:r>
      <w:r w:rsidR="00AD330B" w:rsidRPr="001160D6">
        <w:rPr>
          <w:lang w:val="es-AR"/>
        </w:rPr>
        <w:t>as</w:t>
      </w:r>
      <w:r w:rsidR="00DB1F86" w:rsidRPr="001160D6">
        <w:rPr>
          <w:lang w:val="es-AR"/>
        </w:rPr>
        <w:t xml:space="preserve"> </w:t>
      </w:r>
      <w:r w:rsidR="000D3F6D" w:rsidRPr="001160D6">
        <w:rPr>
          <w:lang w:val="es-AR"/>
        </w:rPr>
        <w:t>directrices</w:t>
      </w:r>
      <w:r w:rsidR="00DB1F86" w:rsidRPr="001160D6">
        <w:rPr>
          <w:lang w:val="es-AR"/>
        </w:rPr>
        <w:t xml:space="preserve"> </w:t>
      </w:r>
      <w:r w:rsidR="007120E8" w:rsidRPr="001160D6">
        <w:rPr>
          <w:lang w:val="es-AR"/>
        </w:rPr>
        <w:t>del proyecto</w:t>
      </w:r>
      <w:r w:rsidR="00DB1F86" w:rsidRPr="001160D6">
        <w:rPr>
          <w:lang w:val="es-AR"/>
        </w:rPr>
        <w:t xml:space="preserve"> para la preparación de los </w:t>
      </w:r>
      <w:r w:rsidR="00D23F22" w:rsidRPr="001160D6">
        <w:rPr>
          <w:lang w:val="es-AR"/>
        </w:rPr>
        <w:t>planes de reducción</w:t>
      </w:r>
      <w:r w:rsidR="002300DB" w:rsidRPr="001160D6">
        <w:rPr>
          <w:lang w:val="es-AR"/>
        </w:rPr>
        <w:t xml:space="preserve"> de HFC</w:t>
      </w:r>
      <w:r w:rsidR="00DB1F86" w:rsidRPr="001160D6">
        <w:rPr>
          <w:lang w:val="es-AR"/>
        </w:rPr>
        <w:t xml:space="preserve"> para los países del </w:t>
      </w:r>
      <w:r w:rsidR="007120E8" w:rsidRPr="001160D6">
        <w:rPr>
          <w:lang w:val="es-AR"/>
        </w:rPr>
        <w:t>Artículo</w:t>
      </w:r>
      <w:r w:rsidR="00DB1F86" w:rsidRPr="001160D6">
        <w:rPr>
          <w:lang w:val="es-AR"/>
        </w:rPr>
        <w:t xml:space="preserve"> 5 </w:t>
      </w:r>
      <w:r w:rsidR="00CF7EDE" w:rsidRPr="001160D6">
        <w:rPr>
          <w:lang w:val="es-AR"/>
        </w:rPr>
        <w:t xml:space="preserve">que figuran </w:t>
      </w:r>
      <w:r w:rsidR="00DB1F86" w:rsidRPr="001160D6">
        <w:rPr>
          <w:lang w:val="es-AR"/>
        </w:rPr>
        <w:t>en el documento UNEP/OzL.Pro</w:t>
      </w:r>
      <w:r w:rsidR="007120E8" w:rsidRPr="001160D6">
        <w:rPr>
          <w:lang w:val="es-AR"/>
        </w:rPr>
        <w:t>/ExCom/</w:t>
      </w:r>
      <w:r w:rsidR="00DB1F86" w:rsidRPr="001160D6">
        <w:rPr>
          <w:lang w:val="es-AR"/>
        </w:rPr>
        <w:t>86/88.</w:t>
      </w:r>
    </w:p>
    <w:p w14:paraId="1135CFDB" w14:textId="1C1EC19D" w:rsidR="00DB1F86" w:rsidRPr="001160D6" w:rsidRDefault="00DB1F86" w:rsidP="00DB1F86">
      <w:pPr>
        <w:keepNext/>
        <w:rPr>
          <w:i/>
          <w:lang w:val="es-AR"/>
        </w:rPr>
      </w:pPr>
      <w:r w:rsidRPr="001160D6">
        <w:rPr>
          <w:i/>
          <w:lang w:val="es-AR"/>
        </w:rPr>
        <w:t xml:space="preserve">Sector </w:t>
      </w:r>
      <w:r w:rsidR="00591FCB" w:rsidRPr="001160D6">
        <w:rPr>
          <w:i/>
          <w:lang w:val="es-AR"/>
        </w:rPr>
        <w:t>de fabricación</w:t>
      </w:r>
      <w:r w:rsidR="00137206" w:rsidRPr="001160D6">
        <w:rPr>
          <w:i/>
          <w:lang w:val="es-AR"/>
        </w:rPr>
        <w:t xml:space="preserve"> de equipos de refrigeración</w:t>
      </w:r>
      <w:r w:rsidRPr="001160D6">
        <w:rPr>
          <w:i/>
          <w:lang w:val="es-AR"/>
        </w:rPr>
        <w:t xml:space="preserve"> comercial (con excepción de </w:t>
      </w:r>
      <w:r w:rsidR="00137206" w:rsidRPr="001160D6">
        <w:rPr>
          <w:i/>
          <w:lang w:val="es-AR"/>
        </w:rPr>
        <w:t>aparatos autónomos</w:t>
      </w:r>
      <w:r w:rsidRPr="001160D6">
        <w:rPr>
          <w:i/>
          <w:lang w:val="es-AR"/>
        </w:rPr>
        <w:t>)</w:t>
      </w:r>
    </w:p>
    <w:p w14:paraId="5873CC30" w14:textId="77777777" w:rsidR="00DB1F86" w:rsidRPr="001160D6" w:rsidRDefault="00DB1F86" w:rsidP="00DB1F86">
      <w:pPr>
        <w:keepNext/>
        <w:rPr>
          <w:lang w:val="es-AR"/>
        </w:rPr>
      </w:pPr>
    </w:p>
    <w:p w14:paraId="6D6D4026" w14:textId="5821534F" w:rsidR="00DB1F86" w:rsidRPr="001160D6" w:rsidRDefault="00DB1F86" w:rsidP="00DB1F86">
      <w:pPr>
        <w:pStyle w:val="Heading1"/>
        <w:rPr>
          <w:lang w:val="es-AR"/>
        </w:rPr>
      </w:pPr>
      <w:r w:rsidRPr="001160D6">
        <w:rPr>
          <w:lang w:val="es-AR"/>
        </w:rPr>
        <w:t xml:space="preserve">Varias empresas de refrigeración </w:t>
      </w:r>
      <w:r w:rsidR="00137206" w:rsidRPr="001160D6">
        <w:rPr>
          <w:lang w:val="es-AR"/>
        </w:rPr>
        <w:t xml:space="preserve">comercial </w:t>
      </w:r>
      <w:r w:rsidRPr="001160D6">
        <w:rPr>
          <w:lang w:val="es-AR"/>
        </w:rPr>
        <w:t>fabrican una gran variedad de sistemas basados en diversos refrigerantes (</w:t>
      </w:r>
      <w:r w:rsidR="009A618F" w:rsidRPr="001160D6">
        <w:rPr>
          <w:lang w:val="es-AR"/>
        </w:rPr>
        <w:t xml:space="preserve">por ej., </w:t>
      </w:r>
      <w:r w:rsidRPr="001160D6">
        <w:rPr>
          <w:lang w:val="es-AR"/>
        </w:rPr>
        <w:t xml:space="preserve">HFC-134a, R-404A y/o R-507A). La </w:t>
      </w:r>
      <w:r w:rsidR="00FF4D54" w:rsidRPr="001160D6">
        <w:rPr>
          <w:lang w:val="es-AR"/>
        </w:rPr>
        <w:t>Secretaría</w:t>
      </w:r>
      <w:r w:rsidRPr="001160D6">
        <w:rPr>
          <w:lang w:val="es-AR"/>
        </w:rPr>
        <w:t xml:space="preserve"> observa </w:t>
      </w:r>
      <w:proofErr w:type="gramStart"/>
      <w:r w:rsidRPr="001160D6">
        <w:rPr>
          <w:lang w:val="es-AR"/>
        </w:rPr>
        <w:t>que</w:t>
      </w:r>
      <w:proofErr w:type="gramEnd"/>
      <w:r w:rsidRPr="001160D6">
        <w:rPr>
          <w:lang w:val="es-AR"/>
        </w:rPr>
        <w:t xml:space="preserve"> en algunas de estas empresas, </w:t>
      </w:r>
      <w:r w:rsidR="00137206" w:rsidRPr="001160D6">
        <w:rPr>
          <w:lang w:val="es-AR"/>
        </w:rPr>
        <w:t xml:space="preserve">la </w:t>
      </w:r>
      <w:r w:rsidR="00B63879" w:rsidRPr="001160D6">
        <w:rPr>
          <w:lang w:val="es-AR"/>
        </w:rPr>
        <w:t>conversión</w:t>
      </w:r>
      <w:r w:rsidRPr="001160D6">
        <w:rPr>
          <w:lang w:val="es-AR"/>
        </w:rPr>
        <w:t xml:space="preserve"> de productos </w:t>
      </w:r>
      <w:r w:rsidR="00137206" w:rsidRPr="001160D6">
        <w:rPr>
          <w:lang w:val="es-AR"/>
        </w:rPr>
        <w:t>que utilizan HFC</w:t>
      </w:r>
      <w:r w:rsidRPr="001160D6">
        <w:rPr>
          <w:lang w:val="es-AR"/>
        </w:rPr>
        <w:t xml:space="preserve"> </w:t>
      </w:r>
      <w:r w:rsidR="0045597F" w:rsidRPr="001160D6">
        <w:rPr>
          <w:lang w:val="es-AR"/>
        </w:rPr>
        <w:t xml:space="preserve">posiblemente </w:t>
      </w:r>
      <w:r w:rsidRPr="001160D6">
        <w:rPr>
          <w:lang w:val="es-AR"/>
        </w:rPr>
        <w:t>podría</w:t>
      </w:r>
      <w:r w:rsidR="00137206" w:rsidRPr="001160D6">
        <w:rPr>
          <w:lang w:val="es-AR"/>
        </w:rPr>
        <w:t xml:space="preserve"> ejecutarse </w:t>
      </w:r>
      <w:r w:rsidR="0045597F" w:rsidRPr="001160D6">
        <w:rPr>
          <w:lang w:val="es-AR"/>
        </w:rPr>
        <w:t xml:space="preserve">en forma </w:t>
      </w:r>
      <w:r w:rsidRPr="001160D6">
        <w:rPr>
          <w:lang w:val="es-AR"/>
        </w:rPr>
        <w:t xml:space="preserve">integrada con </w:t>
      </w:r>
      <w:r w:rsidR="00137206" w:rsidRPr="001160D6">
        <w:rPr>
          <w:lang w:val="es-AR"/>
        </w:rPr>
        <w:t xml:space="preserve">la </w:t>
      </w:r>
      <w:r w:rsidR="00B63879" w:rsidRPr="001160D6">
        <w:rPr>
          <w:lang w:val="es-AR"/>
        </w:rPr>
        <w:t>conversión</w:t>
      </w:r>
      <w:r w:rsidRPr="001160D6">
        <w:rPr>
          <w:lang w:val="es-AR"/>
        </w:rPr>
        <w:t xml:space="preserve"> </w:t>
      </w:r>
      <w:r w:rsidR="00137206" w:rsidRPr="001160D6">
        <w:rPr>
          <w:lang w:val="es-AR"/>
        </w:rPr>
        <w:t xml:space="preserve">en curso </w:t>
      </w:r>
      <w:r w:rsidRPr="001160D6">
        <w:rPr>
          <w:lang w:val="es-AR"/>
        </w:rPr>
        <w:t xml:space="preserve">de los productos </w:t>
      </w:r>
      <w:r w:rsidR="00137206" w:rsidRPr="001160D6">
        <w:rPr>
          <w:lang w:val="es-AR"/>
        </w:rPr>
        <w:t>que utilizan</w:t>
      </w:r>
      <w:r w:rsidR="0045597F" w:rsidRPr="001160D6">
        <w:rPr>
          <w:lang w:val="es-AR"/>
        </w:rPr>
        <w:t xml:space="preserve"> el</w:t>
      </w:r>
      <w:r w:rsidR="00137206" w:rsidRPr="001160D6">
        <w:rPr>
          <w:lang w:val="es-AR"/>
        </w:rPr>
        <w:t xml:space="preserve"> HCFC-22</w:t>
      </w:r>
      <w:r w:rsidRPr="001160D6">
        <w:rPr>
          <w:lang w:val="es-AR"/>
        </w:rPr>
        <w:t xml:space="preserve"> (que en la mayoría de los casos </w:t>
      </w:r>
      <w:r w:rsidR="00137206" w:rsidRPr="001160D6">
        <w:rPr>
          <w:lang w:val="es-AR"/>
        </w:rPr>
        <w:t xml:space="preserve">ya </w:t>
      </w:r>
      <w:r w:rsidRPr="001160D6">
        <w:rPr>
          <w:lang w:val="es-AR"/>
        </w:rPr>
        <w:t xml:space="preserve">están en una etapa avanzada de </w:t>
      </w:r>
      <w:r w:rsidR="007120E8" w:rsidRPr="001160D6">
        <w:rPr>
          <w:lang w:val="es-AR"/>
        </w:rPr>
        <w:t>ejecución</w:t>
      </w:r>
      <w:r w:rsidRPr="001160D6">
        <w:rPr>
          <w:lang w:val="es-AR"/>
        </w:rPr>
        <w:t>), asegur</w:t>
      </w:r>
      <w:r w:rsidR="00137206" w:rsidRPr="001160D6">
        <w:rPr>
          <w:lang w:val="es-AR"/>
        </w:rPr>
        <w:t>a</w:t>
      </w:r>
      <w:r w:rsidRPr="001160D6">
        <w:rPr>
          <w:lang w:val="es-AR"/>
        </w:rPr>
        <w:t xml:space="preserve">ndo </w:t>
      </w:r>
      <w:r w:rsidR="00137206" w:rsidRPr="001160D6">
        <w:rPr>
          <w:lang w:val="es-AR"/>
        </w:rPr>
        <w:t xml:space="preserve">así la eliminación de </w:t>
      </w:r>
      <w:r w:rsidRPr="001160D6">
        <w:rPr>
          <w:lang w:val="es-AR"/>
        </w:rPr>
        <w:t>ambos</w:t>
      </w:r>
      <w:r w:rsidR="0045597F" w:rsidRPr="001160D6">
        <w:rPr>
          <w:lang w:val="es-AR"/>
        </w:rPr>
        <w:t xml:space="preserve"> grupos de sustancias</w:t>
      </w:r>
      <w:r w:rsidR="00137206" w:rsidRPr="001160D6">
        <w:rPr>
          <w:lang w:val="es-AR"/>
        </w:rPr>
        <w:t>,</w:t>
      </w:r>
      <w:r w:rsidR="007120E8" w:rsidRPr="001160D6">
        <w:rPr>
          <w:lang w:val="es-AR"/>
        </w:rPr>
        <w:t xml:space="preserve"> HCFC</w:t>
      </w:r>
      <w:r w:rsidRPr="001160D6">
        <w:rPr>
          <w:lang w:val="es-AR"/>
        </w:rPr>
        <w:t xml:space="preserve"> y HFC, con </w:t>
      </w:r>
      <w:r w:rsidR="00137206" w:rsidRPr="001160D6">
        <w:rPr>
          <w:lang w:val="es-AR"/>
        </w:rPr>
        <w:t xml:space="preserve">posibles </w:t>
      </w:r>
      <w:r w:rsidRPr="001160D6">
        <w:rPr>
          <w:lang w:val="es-AR"/>
        </w:rPr>
        <w:t xml:space="preserve">reducciones en el </w:t>
      </w:r>
      <w:r w:rsidR="00137206" w:rsidRPr="001160D6">
        <w:rPr>
          <w:lang w:val="es-AR"/>
        </w:rPr>
        <w:t xml:space="preserve">costo total de la </w:t>
      </w:r>
      <w:r w:rsidR="00B63879" w:rsidRPr="001160D6">
        <w:rPr>
          <w:lang w:val="es-AR"/>
        </w:rPr>
        <w:t>conversión</w:t>
      </w:r>
      <w:r w:rsidRPr="001160D6">
        <w:rPr>
          <w:lang w:val="es-AR"/>
        </w:rPr>
        <w:t>. Sin embargo, la posibilidad de esta integración dependería</w:t>
      </w:r>
      <w:r w:rsidR="00137206" w:rsidRPr="001160D6">
        <w:rPr>
          <w:lang w:val="es-AR"/>
        </w:rPr>
        <w:t>,</w:t>
      </w:r>
      <w:r w:rsidRPr="001160D6">
        <w:rPr>
          <w:lang w:val="es-AR"/>
        </w:rPr>
        <w:t xml:space="preserve"> entre otras cosas</w:t>
      </w:r>
      <w:r w:rsidR="00137206" w:rsidRPr="001160D6">
        <w:rPr>
          <w:lang w:val="es-AR"/>
        </w:rPr>
        <w:t>,</w:t>
      </w:r>
      <w:r w:rsidRPr="001160D6">
        <w:rPr>
          <w:lang w:val="es-AR"/>
        </w:rPr>
        <w:t xml:space="preserve"> del</w:t>
      </w:r>
      <w:r w:rsidRPr="001160D6">
        <w:rPr>
          <w:i/>
          <w:lang w:val="es-AR"/>
        </w:rPr>
        <w:t xml:space="preserve"> </w:t>
      </w:r>
      <w:r w:rsidRPr="001160D6">
        <w:rPr>
          <w:lang w:val="es-AR"/>
        </w:rPr>
        <w:t xml:space="preserve">tipo de sistemas que </w:t>
      </w:r>
      <w:r w:rsidR="00137206" w:rsidRPr="001160D6">
        <w:rPr>
          <w:lang w:val="es-AR"/>
        </w:rPr>
        <w:t>se fabrican</w:t>
      </w:r>
      <w:r w:rsidRPr="001160D6">
        <w:rPr>
          <w:lang w:val="es-AR"/>
        </w:rPr>
        <w:t xml:space="preserve">, la viabilidad de adoptar alternativas </w:t>
      </w:r>
      <w:r w:rsidR="005826BD" w:rsidRPr="001160D6">
        <w:rPr>
          <w:lang w:val="es-AR"/>
        </w:rPr>
        <w:t>con bajo potencial de calentamiento atmosférico</w:t>
      </w:r>
      <w:r w:rsidRPr="001160D6">
        <w:rPr>
          <w:lang w:val="es-AR"/>
        </w:rPr>
        <w:t xml:space="preserve">, cargas </w:t>
      </w:r>
      <w:r w:rsidR="00137206" w:rsidRPr="001160D6">
        <w:rPr>
          <w:lang w:val="es-AR"/>
        </w:rPr>
        <w:t xml:space="preserve">de </w:t>
      </w:r>
      <w:r w:rsidRPr="001160D6">
        <w:rPr>
          <w:lang w:val="es-AR"/>
        </w:rPr>
        <w:t xml:space="preserve">refrigerantes, ubicación, y otras características de </w:t>
      </w:r>
      <w:r w:rsidR="00137206" w:rsidRPr="001160D6">
        <w:rPr>
          <w:lang w:val="es-AR"/>
        </w:rPr>
        <w:t xml:space="preserve">los </w:t>
      </w:r>
      <w:r w:rsidRPr="001160D6">
        <w:rPr>
          <w:lang w:val="es-AR"/>
        </w:rPr>
        <w:t>sistema</w:t>
      </w:r>
      <w:r w:rsidR="00137206" w:rsidRPr="001160D6">
        <w:rPr>
          <w:lang w:val="es-AR"/>
        </w:rPr>
        <w:t>s</w:t>
      </w:r>
      <w:r w:rsidRPr="001160D6">
        <w:rPr>
          <w:lang w:val="es-AR"/>
        </w:rPr>
        <w:t xml:space="preserve">. </w:t>
      </w:r>
      <w:r w:rsidR="00137206" w:rsidRPr="001160D6">
        <w:rPr>
          <w:lang w:val="es-AR"/>
        </w:rPr>
        <w:t>Es poco probable que l</w:t>
      </w:r>
      <w:r w:rsidRPr="001160D6">
        <w:rPr>
          <w:lang w:val="es-AR"/>
        </w:rPr>
        <w:t xml:space="preserve">as actividades tempranas en este subsector </w:t>
      </w:r>
      <w:r w:rsidR="00137206" w:rsidRPr="001160D6">
        <w:rPr>
          <w:lang w:val="es-AR"/>
        </w:rPr>
        <w:t>sean</w:t>
      </w:r>
      <w:r w:rsidRPr="001160D6">
        <w:rPr>
          <w:lang w:val="es-AR"/>
        </w:rPr>
        <w:t xml:space="preserve"> sostenibles</w:t>
      </w:r>
      <w:r w:rsidR="00137206" w:rsidRPr="001160D6">
        <w:rPr>
          <w:lang w:val="es-AR"/>
        </w:rPr>
        <w:t>,</w:t>
      </w:r>
      <w:r w:rsidRPr="001160D6">
        <w:rPr>
          <w:lang w:val="es-AR"/>
        </w:rPr>
        <w:t xml:space="preserve"> a menos que el país pued</w:t>
      </w:r>
      <w:r w:rsidR="00137206" w:rsidRPr="001160D6">
        <w:rPr>
          <w:lang w:val="es-AR"/>
        </w:rPr>
        <w:t>a</w:t>
      </w:r>
      <w:r w:rsidRPr="001160D6">
        <w:rPr>
          <w:lang w:val="es-AR"/>
        </w:rPr>
        <w:t xml:space="preserve"> </w:t>
      </w:r>
      <w:r w:rsidR="00137206" w:rsidRPr="001160D6">
        <w:rPr>
          <w:lang w:val="es-AR"/>
        </w:rPr>
        <w:t xml:space="preserve">abordar </w:t>
      </w:r>
      <w:r w:rsidRPr="001160D6">
        <w:rPr>
          <w:lang w:val="es-AR"/>
        </w:rPr>
        <w:t>todos los usos y empresas (</w:t>
      </w:r>
      <w:r w:rsidR="002A4A46" w:rsidRPr="001160D6">
        <w:rPr>
          <w:lang w:val="es-AR"/>
        </w:rPr>
        <w:t xml:space="preserve">todo el </w:t>
      </w:r>
      <w:r w:rsidRPr="001160D6">
        <w:rPr>
          <w:lang w:val="es-AR"/>
        </w:rPr>
        <w:t xml:space="preserve">sector o </w:t>
      </w:r>
      <w:r w:rsidRPr="001160D6">
        <w:rPr>
          <w:lang w:val="es-AR"/>
        </w:rPr>
        <w:lastRenderedPageBreak/>
        <w:t xml:space="preserve">subsectores </w:t>
      </w:r>
      <w:r w:rsidR="00D34F54" w:rsidRPr="001160D6">
        <w:rPr>
          <w:lang w:val="es-AR"/>
        </w:rPr>
        <w:t>e</w:t>
      </w:r>
      <w:r w:rsidRPr="001160D6">
        <w:rPr>
          <w:lang w:val="es-AR"/>
        </w:rPr>
        <w:t xml:space="preserve"> importaciones de tal</w:t>
      </w:r>
      <w:r w:rsidR="00D34F54" w:rsidRPr="001160D6">
        <w:rPr>
          <w:lang w:val="es-AR"/>
        </w:rPr>
        <w:t>es</w:t>
      </w:r>
      <w:r w:rsidRPr="001160D6">
        <w:rPr>
          <w:lang w:val="es-AR"/>
        </w:rPr>
        <w:t xml:space="preserve"> </w:t>
      </w:r>
      <w:r w:rsidR="007120E8" w:rsidRPr="001160D6">
        <w:rPr>
          <w:lang w:val="es-AR"/>
        </w:rPr>
        <w:t>equipos</w:t>
      </w:r>
      <w:r w:rsidRPr="001160D6">
        <w:rPr>
          <w:lang w:val="es-AR"/>
        </w:rPr>
        <w:t xml:space="preserve">), </w:t>
      </w:r>
      <w:r w:rsidR="00D34F54" w:rsidRPr="001160D6">
        <w:rPr>
          <w:lang w:val="es-AR"/>
        </w:rPr>
        <w:t xml:space="preserve">de lo contrario </w:t>
      </w:r>
      <w:r w:rsidRPr="001160D6">
        <w:rPr>
          <w:lang w:val="es-AR"/>
        </w:rPr>
        <w:t xml:space="preserve">las reducciones </w:t>
      </w:r>
      <w:r w:rsidR="00D34F54" w:rsidRPr="001160D6">
        <w:rPr>
          <w:lang w:val="es-AR"/>
        </w:rPr>
        <w:t xml:space="preserve">logradas </w:t>
      </w:r>
      <w:r w:rsidRPr="001160D6">
        <w:rPr>
          <w:lang w:val="es-AR"/>
        </w:rPr>
        <w:t>por el proyecto</w:t>
      </w:r>
      <w:r w:rsidR="00D34F54" w:rsidRPr="001160D6">
        <w:rPr>
          <w:lang w:val="es-AR"/>
        </w:rPr>
        <w:t xml:space="preserve"> </w:t>
      </w:r>
      <w:r w:rsidR="002A4A46" w:rsidRPr="001160D6">
        <w:rPr>
          <w:lang w:val="es-AR"/>
        </w:rPr>
        <w:t xml:space="preserve">se verían contrarrestadas con </w:t>
      </w:r>
      <w:r w:rsidRPr="001160D6">
        <w:rPr>
          <w:lang w:val="es-AR"/>
        </w:rPr>
        <w:t xml:space="preserve">el aumento </w:t>
      </w:r>
      <w:r w:rsidR="00240A87" w:rsidRPr="001160D6">
        <w:rPr>
          <w:lang w:val="es-AR"/>
        </w:rPr>
        <w:t>del consumo</w:t>
      </w:r>
      <w:r w:rsidRPr="001160D6">
        <w:rPr>
          <w:lang w:val="es-AR"/>
        </w:rPr>
        <w:t xml:space="preserve"> de HFC </w:t>
      </w:r>
      <w:r w:rsidR="00D34F54" w:rsidRPr="001160D6">
        <w:rPr>
          <w:lang w:val="es-AR"/>
        </w:rPr>
        <w:t xml:space="preserve">en las </w:t>
      </w:r>
      <w:r w:rsidRPr="001160D6">
        <w:rPr>
          <w:lang w:val="es-AR"/>
        </w:rPr>
        <w:t xml:space="preserve">empresas no cubiertas por el proyecto. </w:t>
      </w:r>
    </w:p>
    <w:p w14:paraId="1342F588" w14:textId="1CAA37DD" w:rsidR="00DB1F86" w:rsidRPr="001160D6" w:rsidRDefault="00DB1F86" w:rsidP="00DB1F86">
      <w:pPr>
        <w:pStyle w:val="Heading1"/>
        <w:rPr>
          <w:lang w:val="es-AR"/>
        </w:rPr>
      </w:pPr>
      <w:r w:rsidRPr="001160D6">
        <w:rPr>
          <w:lang w:val="es-AR"/>
        </w:rPr>
        <w:t>Las actividades diseñadas para reducir el uso de R-404A y R-507A pod</w:t>
      </w:r>
      <w:r w:rsidR="002A4A46" w:rsidRPr="001160D6">
        <w:rPr>
          <w:lang w:val="es-AR"/>
        </w:rPr>
        <w:t>r</w:t>
      </w:r>
      <w:r w:rsidRPr="001160D6">
        <w:rPr>
          <w:lang w:val="es-AR"/>
        </w:rPr>
        <w:t xml:space="preserve">ían tener un impacto significativo, dado el alto potencial de calentamiento atmosférico de estas sustancias. Sin embargo, </w:t>
      </w:r>
      <w:r w:rsidR="00D34F54" w:rsidRPr="001160D6">
        <w:rPr>
          <w:lang w:val="es-AR"/>
        </w:rPr>
        <w:t xml:space="preserve">éstas deberían abordar todo </w:t>
      </w:r>
      <w:r w:rsidRPr="001160D6">
        <w:rPr>
          <w:lang w:val="es-AR"/>
        </w:rPr>
        <w:t xml:space="preserve">el sector e incluir medidas reguladoras complementarias para asegurar </w:t>
      </w:r>
      <w:r w:rsidR="00D34F54" w:rsidRPr="001160D6">
        <w:rPr>
          <w:lang w:val="es-AR"/>
        </w:rPr>
        <w:t>la eliminación sostenida</w:t>
      </w:r>
      <w:r w:rsidRPr="001160D6">
        <w:rPr>
          <w:lang w:val="es-AR"/>
        </w:rPr>
        <w:t xml:space="preserve">. Las </w:t>
      </w:r>
      <w:r w:rsidR="00D34F54" w:rsidRPr="001160D6">
        <w:rPr>
          <w:lang w:val="es-AR"/>
        </w:rPr>
        <w:t xml:space="preserve">posibles </w:t>
      </w:r>
      <w:r w:rsidRPr="001160D6">
        <w:rPr>
          <w:lang w:val="es-AR"/>
        </w:rPr>
        <w:t>actividades que podrían ejecutar</w:t>
      </w:r>
      <w:r w:rsidR="00D34F54" w:rsidRPr="001160D6">
        <w:rPr>
          <w:lang w:val="es-AR"/>
        </w:rPr>
        <w:t>se</w:t>
      </w:r>
      <w:r w:rsidRPr="001160D6">
        <w:rPr>
          <w:lang w:val="es-AR"/>
        </w:rPr>
        <w:t xml:space="preserve"> en la etapa I de los </w:t>
      </w:r>
      <w:r w:rsidR="00D23F22" w:rsidRPr="001160D6">
        <w:rPr>
          <w:lang w:val="es-AR"/>
        </w:rPr>
        <w:t>planes de reducción</w:t>
      </w:r>
      <w:r w:rsidR="002300DB" w:rsidRPr="001160D6">
        <w:rPr>
          <w:lang w:val="es-AR"/>
        </w:rPr>
        <w:t xml:space="preserve"> de HFC</w:t>
      </w:r>
      <w:r w:rsidRPr="001160D6">
        <w:rPr>
          <w:lang w:val="es-AR"/>
        </w:rPr>
        <w:t xml:space="preserve"> en el </w:t>
      </w:r>
      <w:r w:rsidR="007120E8" w:rsidRPr="001160D6">
        <w:rPr>
          <w:lang w:val="es-AR"/>
        </w:rPr>
        <w:t>sector de servicios</w:t>
      </w:r>
      <w:r w:rsidR="002A4A46" w:rsidRPr="001160D6">
        <w:rPr>
          <w:lang w:val="es-AR"/>
        </w:rPr>
        <w:t xml:space="preserve"> y mantenimiento</w:t>
      </w:r>
      <w:r w:rsidRPr="001160D6">
        <w:rPr>
          <w:lang w:val="es-AR"/>
        </w:rPr>
        <w:t xml:space="preserve"> incluyen </w:t>
      </w:r>
      <w:r w:rsidR="00D34F54" w:rsidRPr="001160D6">
        <w:rPr>
          <w:lang w:val="es-AR"/>
        </w:rPr>
        <w:t xml:space="preserve">el </w:t>
      </w:r>
      <w:r w:rsidRPr="001160D6">
        <w:rPr>
          <w:lang w:val="es-AR"/>
        </w:rPr>
        <w:t xml:space="preserve">mantenimiento preventivo, el control de </w:t>
      </w:r>
      <w:r w:rsidR="002A4A46" w:rsidRPr="001160D6">
        <w:rPr>
          <w:lang w:val="es-AR"/>
        </w:rPr>
        <w:t xml:space="preserve">fugas </w:t>
      </w:r>
      <w:r w:rsidRPr="001160D6">
        <w:rPr>
          <w:lang w:val="es-AR"/>
        </w:rPr>
        <w:t xml:space="preserve">y ayuda para los usuarios finales para un mejor </w:t>
      </w:r>
      <w:r w:rsidR="00D34F54" w:rsidRPr="001160D6">
        <w:rPr>
          <w:lang w:val="es-AR"/>
        </w:rPr>
        <w:t xml:space="preserve">manejo de los </w:t>
      </w:r>
      <w:r w:rsidR="00B63879" w:rsidRPr="001160D6">
        <w:rPr>
          <w:lang w:val="es-AR"/>
        </w:rPr>
        <w:t>equipos</w:t>
      </w:r>
      <w:r w:rsidRPr="001160D6">
        <w:rPr>
          <w:lang w:val="es-AR"/>
        </w:rPr>
        <w:t xml:space="preserve"> instalado</w:t>
      </w:r>
      <w:r w:rsidR="00D34F54" w:rsidRPr="001160D6">
        <w:rPr>
          <w:lang w:val="es-AR"/>
        </w:rPr>
        <w:t>s</w:t>
      </w:r>
      <w:r w:rsidRPr="001160D6">
        <w:rPr>
          <w:lang w:val="es-AR"/>
        </w:rPr>
        <w:t xml:space="preserve">. </w:t>
      </w:r>
    </w:p>
    <w:p w14:paraId="0AD22279" w14:textId="523AED4B" w:rsidR="00DB1F86" w:rsidRPr="001160D6" w:rsidRDefault="00DB1F86" w:rsidP="00DB1F86">
      <w:pPr>
        <w:pStyle w:val="Heading1"/>
        <w:numPr>
          <w:ilvl w:val="0"/>
          <w:numId w:val="0"/>
        </w:numPr>
        <w:rPr>
          <w:i/>
          <w:lang w:val="es-AR"/>
        </w:rPr>
      </w:pPr>
      <w:r w:rsidRPr="001160D6">
        <w:rPr>
          <w:i/>
          <w:lang w:val="es-AR"/>
        </w:rPr>
        <w:t xml:space="preserve">Sector </w:t>
      </w:r>
      <w:r w:rsidR="00591FCB" w:rsidRPr="001160D6">
        <w:rPr>
          <w:i/>
          <w:lang w:val="es-AR"/>
        </w:rPr>
        <w:t>de fabricación</w:t>
      </w:r>
      <w:r w:rsidRPr="001160D6">
        <w:rPr>
          <w:i/>
          <w:lang w:val="es-AR"/>
        </w:rPr>
        <w:t xml:space="preserve"> de </w:t>
      </w:r>
      <w:r w:rsidR="00D34F54" w:rsidRPr="001160D6">
        <w:rPr>
          <w:i/>
          <w:lang w:val="es-AR"/>
        </w:rPr>
        <w:t>aparatos de climatización</w:t>
      </w:r>
    </w:p>
    <w:p w14:paraId="3A813B0C" w14:textId="6878E6E6" w:rsidR="00DB1F86" w:rsidRPr="001160D6" w:rsidRDefault="00D34F54" w:rsidP="00DB1F86">
      <w:pPr>
        <w:pStyle w:val="Heading1"/>
        <w:rPr>
          <w:lang w:val="es-AR"/>
        </w:rPr>
      </w:pPr>
      <w:r w:rsidRPr="001160D6">
        <w:rPr>
          <w:lang w:val="es-AR"/>
        </w:rPr>
        <w:t>De los 84 países</w:t>
      </w:r>
      <w:r w:rsidR="00DB1F86" w:rsidRPr="001160D6">
        <w:rPr>
          <w:lang w:val="es-AR"/>
        </w:rPr>
        <w:t xml:space="preserve"> del </w:t>
      </w:r>
      <w:r w:rsidR="007120E8" w:rsidRPr="001160D6">
        <w:rPr>
          <w:lang w:val="es-AR"/>
        </w:rPr>
        <w:t>Artículo</w:t>
      </w:r>
      <w:r w:rsidR="00DB1F86" w:rsidRPr="001160D6">
        <w:rPr>
          <w:lang w:val="es-AR"/>
        </w:rPr>
        <w:t xml:space="preserve"> 5 que </w:t>
      </w:r>
      <w:r w:rsidR="00FF4D54" w:rsidRPr="001160D6">
        <w:rPr>
          <w:lang w:val="es-AR"/>
        </w:rPr>
        <w:t>inform</w:t>
      </w:r>
      <w:r w:rsidR="00DB1F86" w:rsidRPr="001160D6">
        <w:rPr>
          <w:lang w:val="es-AR"/>
        </w:rPr>
        <w:t xml:space="preserve">aron datos de consumo de HFC en 2019 bajo sus informes de </w:t>
      </w:r>
      <w:r w:rsidR="00FF4D54" w:rsidRPr="001160D6">
        <w:rPr>
          <w:lang w:val="es-AR"/>
        </w:rPr>
        <w:t>ejecución del programa</w:t>
      </w:r>
      <w:r w:rsidR="00DB1F86" w:rsidRPr="001160D6">
        <w:rPr>
          <w:lang w:val="es-AR"/>
        </w:rPr>
        <w:t xml:space="preserve"> de país, siete (cinco</w:t>
      </w:r>
      <w:r w:rsidR="00B321BA" w:rsidRPr="001160D6">
        <w:rPr>
          <w:lang w:val="es-AR"/>
        </w:rPr>
        <w:t xml:space="preserve"> países sin bajo consumo</w:t>
      </w:r>
      <w:r w:rsidR="00DB1F86" w:rsidRPr="001160D6">
        <w:rPr>
          <w:lang w:val="es-AR"/>
        </w:rPr>
        <w:t xml:space="preserve"> y dos países </w:t>
      </w:r>
      <w:r w:rsidR="00B321BA" w:rsidRPr="001160D6">
        <w:rPr>
          <w:lang w:val="es-AR"/>
        </w:rPr>
        <w:t>con bajo consumo</w:t>
      </w:r>
      <w:r w:rsidR="00DB1F86" w:rsidRPr="001160D6">
        <w:rPr>
          <w:lang w:val="es-AR"/>
        </w:rPr>
        <w:t>) identificaron un uso total de 1</w:t>
      </w:r>
      <w:r w:rsidR="007120E8" w:rsidRPr="001160D6">
        <w:rPr>
          <w:lang w:val="es-AR"/>
        </w:rPr>
        <w:t>5 683</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 xml:space="preserve">de R-410A, R-407C, HFC-32 y HFC-125, así como una pequeña cantidad de R-404A en el </w:t>
      </w:r>
      <w:r w:rsidRPr="001160D6">
        <w:rPr>
          <w:lang w:val="es-AR"/>
        </w:rPr>
        <w:t>sector de climatización</w:t>
      </w:r>
      <w:r w:rsidR="00DB1F86" w:rsidRPr="001160D6">
        <w:rPr>
          <w:lang w:val="es-AR"/>
        </w:rPr>
        <w:t xml:space="preserve">. </w:t>
      </w:r>
    </w:p>
    <w:p w14:paraId="0AC312F4" w14:textId="408CD039" w:rsidR="00DB1F86" w:rsidRPr="001160D6" w:rsidRDefault="00DB1F86" w:rsidP="00DB1F86">
      <w:pPr>
        <w:pStyle w:val="Heading1"/>
        <w:rPr>
          <w:lang w:val="es-AR"/>
        </w:rPr>
      </w:pPr>
      <w:r w:rsidRPr="001160D6">
        <w:rPr>
          <w:lang w:val="es-AR"/>
        </w:rPr>
        <w:t xml:space="preserve">Se </w:t>
      </w:r>
      <w:r w:rsidR="00D34F54" w:rsidRPr="001160D6">
        <w:rPr>
          <w:lang w:val="es-AR"/>
        </w:rPr>
        <w:t xml:space="preserve">prevé </w:t>
      </w:r>
      <w:r w:rsidRPr="001160D6">
        <w:rPr>
          <w:lang w:val="es-AR"/>
        </w:rPr>
        <w:t xml:space="preserve">que la cantidad de </w:t>
      </w:r>
      <w:r w:rsidR="00944DE1" w:rsidRPr="001160D6">
        <w:rPr>
          <w:lang w:val="es-AR"/>
        </w:rPr>
        <w:t>los HFC</w:t>
      </w:r>
      <w:r w:rsidRPr="001160D6">
        <w:rPr>
          <w:lang w:val="es-AR"/>
        </w:rPr>
        <w:t xml:space="preserve"> utiliz</w:t>
      </w:r>
      <w:r w:rsidR="00D34F54" w:rsidRPr="001160D6">
        <w:rPr>
          <w:lang w:val="es-AR"/>
        </w:rPr>
        <w:t>ada</w:t>
      </w:r>
      <w:r w:rsidRPr="001160D6">
        <w:rPr>
          <w:lang w:val="es-AR"/>
        </w:rPr>
        <w:t xml:space="preserve"> en el </w:t>
      </w:r>
      <w:r w:rsidR="00D34F54" w:rsidRPr="001160D6">
        <w:rPr>
          <w:lang w:val="es-AR"/>
        </w:rPr>
        <w:t>sector de climatización</w:t>
      </w:r>
      <w:r w:rsidR="00240A87" w:rsidRPr="001160D6">
        <w:rPr>
          <w:lang w:val="es-AR"/>
        </w:rPr>
        <w:t xml:space="preserve"> </w:t>
      </w:r>
      <w:r w:rsidRPr="001160D6">
        <w:rPr>
          <w:lang w:val="es-AR"/>
        </w:rPr>
        <w:t xml:space="preserve">sea mucho más grande que las cifras </w:t>
      </w:r>
      <w:r w:rsidR="00D34F54" w:rsidRPr="001160D6">
        <w:rPr>
          <w:lang w:val="es-AR"/>
        </w:rPr>
        <w:t>mencionadas</w:t>
      </w:r>
      <w:r w:rsidRPr="001160D6">
        <w:rPr>
          <w:lang w:val="es-AR"/>
        </w:rPr>
        <w:t xml:space="preserve">, </w:t>
      </w:r>
      <w:r w:rsidR="00D34F54" w:rsidRPr="001160D6">
        <w:rPr>
          <w:lang w:val="es-AR"/>
        </w:rPr>
        <w:t xml:space="preserve">dado que </w:t>
      </w:r>
      <w:r w:rsidRPr="001160D6">
        <w:rPr>
          <w:lang w:val="es-AR"/>
        </w:rPr>
        <w:t xml:space="preserve">algunos de los países con </w:t>
      </w:r>
      <w:r w:rsidR="00D34F54" w:rsidRPr="001160D6">
        <w:rPr>
          <w:lang w:val="es-AR"/>
        </w:rPr>
        <w:t xml:space="preserve">grandes </w:t>
      </w:r>
      <w:r w:rsidRPr="001160D6">
        <w:rPr>
          <w:lang w:val="es-AR"/>
        </w:rPr>
        <w:t xml:space="preserve">sectores </w:t>
      </w:r>
      <w:r w:rsidR="00591FCB" w:rsidRPr="001160D6">
        <w:rPr>
          <w:lang w:val="es-AR"/>
        </w:rPr>
        <w:t>de fabricación</w:t>
      </w:r>
      <w:r w:rsidRPr="001160D6">
        <w:rPr>
          <w:lang w:val="es-AR"/>
        </w:rPr>
        <w:t xml:space="preserve"> de</w:t>
      </w:r>
      <w:r w:rsidR="00D34F54" w:rsidRPr="001160D6">
        <w:rPr>
          <w:lang w:val="es-AR"/>
        </w:rPr>
        <w:t xml:space="preserve"> equipos de</w:t>
      </w:r>
      <w:r w:rsidRPr="001160D6">
        <w:rPr>
          <w:lang w:val="es-AR"/>
        </w:rPr>
        <w:t xml:space="preserve"> </w:t>
      </w:r>
      <w:r w:rsidR="00240A87" w:rsidRPr="001160D6">
        <w:rPr>
          <w:lang w:val="es-AR"/>
        </w:rPr>
        <w:t xml:space="preserve">climatización </w:t>
      </w:r>
      <w:r w:rsidRPr="001160D6">
        <w:rPr>
          <w:lang w:val="es-AR"/>
        </w:rPr>
        <w:t xml:space="preserve">todavía no han </w:t>
      </w:r>
      <w:r w:rsidR="00FF4D54" w:rsidRPr="001160D6">
        <w:rPr>
          <w:lang w:val="es-AR"/>
        </w:rPr>
        <w:t>inform</w:t>
      </w:r>
      <w:r w:rsidRPr="001160D6">
        <w:rPr>
          <w:lang w:val="es-AR"/>
        </w:rPr>
        <w:t xml:space="preserve">ado su consumo de HFC </w:t>
      </w:r>
      <w:r w:rsidR="00C9399C" w:rsidRPr="001160D6">
        <w:rPr>
          <w:lang w:val="es-AR"/>
        </w:rPr>
        <w:t>bajo el informe</w:t>
      </w:r>
      <w:r w:rsidRPr="001160D6">
        <w:rPr>
          <w:lang w:val="es-AR"/>
        </w:rPr>
        <w:t xml:space="preserve"> del programa de país. </w:t>
      </w:r>
      <w:r w:rsidR="00482916" w:rsidRPr="001160D6">
        <w:rPr>
          <w:lang w:val="es-AR"/>
        </w:rPr>
        <w:t>Asimismo,</w:t>
      </w:r>
      <w:r w:rsidR="00D34F54" w:rsidRPr="001160D6">
        <w:rPr>
          <w:lang w:val="es-AR"/>
        </w:rPr>
        <w:t xml:space="preserve"> h</w:t>
      </w:r>
      <w:r w:rsidRPr="001160D6">
        <w:rPr>
          <w:lang w:val="es-AR"/>
        </w:rPr>
        <w:t xml:space="preserve">ay una indicación </w:t>
      </w:r>
      <w:r w:rsidR="002A4A46" w:rsidRPr="001160D6">
        <w:rPr>
          <w:lang w:val="es-AR"/>
        </w:rPr>
        <w:t xml:space="preserve">de </w:t>
      </w:r>
      <w:r w:rsidRPr="001160D6">
        <w:rPr>
          <w:lang w:val="es-AR"/>
        </w:rPr>
        <w:t xml:space="preserve">que el consumo de HFC-32 en la </w:t>
      </w:r>
      <w:r w:rsidR="00D34F54" w:rsidRPr="001160D6">
        <w:rPr>
          <w:lang w:val="es-AR"/>
        </w:rPr>
        <w:t>fabricación de equipos de climatización residenciales</w:t>
      </w:r>
      <w:r w:rsidRPr="001160D6">
        <w:rPr>
          <w:lang w:val="es-AR"/>
        </w:rPr>
        <w:t xml:space="preserve"> podría comenzar a aumentar de países del </w:t>
      </w:r>
      <w:r w:rsidR="007120E8" w:rsidRPr="001160D6">
        <w:rPr>
          <w:lang w:val="es-AR"/>
        </w:rPr>
        <w:t>Artículo</w:t>
      </w:r>
      <w:r w:rsidRPr="001160D6">
        <w:rPr>
          <w:lang w:val="es-AR"/>
        </w:rPr>
        <w:t xml:space="preserve"> 5, </w:t>
      </w:r>
      <w:r w:rsidR="00D34F54" w:rsidRPr="001160D6">
        <w:rPr>
          <w:lang w:val="es-AR"/>
        </w:rPr>
        <w:t xml:space="preserve">dado que algunas empresas </w:t>
      </w:r>
      <w:r w:rsidR="00FF4D54" w:rsidRPr="001160D6">
        <w:rPr>
          <w:lang w:val="es-AR"/>
        </w:rPr>
        <w:t>admisible</w:t>
      </w:r>
      <w:r w:rsidR="00D34F54" w:rsidRPr="001160D6">
        <w:rPr>
          <w:lang w:val="es-AR"/>
        </w:rPr>
        <w:t>s</w:t>
      </w:r>
      <w:r w:rsidRPr="001160D6">
        <w:rPr>
          <w:lang w:val="es-AR"/>
        </w:rPr>
        <w:t xml:space="preserve"> y no admisibles </w:t>
      </w:r>
      <w:r w:rsidR="00D34F54" w:rsidRPr="001160D6">
        <w:rPr>
          <w:lang w:val="es-AR"/>
        </w:rPr>
        <w:t xml:space="preserve">se </w:t>
      </w:r>
      <w:r w:rsidRPr="001160D6">
        <w:rPr>
          <w:lang w:val="es-AR"/>
        </w:rPr>
        <w:t xml:space="preserve">han convertido a esta tecnología. Además, las </w:t>
      </w:r>
      <w:r w:rsidR="00FF4D54" w:rsidRPr="001160D6">
        <w:rPr>
          <w:lang w:val="es-AR"/>
        </w:rPr>
        <w:t>reglamentaciones</w:t>
      </w:r>
      <w:r w:rsidRPr="001160D6">
        <w:rPr>
          <w:lang w:val="es-AR"/>
        </w:rPr>
        <w:t xml:space="preserve"> nacionales de </w:t>
      </w:r>
      <w:r w:rsidR="003B1B3F" w:rsidRPr="001160D6">
        <w:rPr>
          <w:lang w:val="es-AR"/>
        </w:rPr>
        <w:t>desempeño</w:t>
      </w:r>
      <w:r w:rsidRPr="001160D6">
        <w:rPr>
          <w:lang w:val="es-AR"/>
        </w:rPr>
        <w:t xml:space="preserve"> energético también </w:t>
      </w:r>
      <w:r w:rsidR="00D34F54" w:rsidRPr="001160D6">
        <w:rPr>
          <w:lang w:val="es-AR"/>
        </w:rPr>
        <w:t xml:space="preserve">aceleran la eliminación de </w:t>
      </w:r>
      <w:r w:rsidR="007120E8" w:rsidRPr="001160D6">
        <w:rPr>
          <w:lang w:val="es-AR"/>
        </w:rPr>
        <w:t>los HCFC</w:t>
      </w:r>
      <w:r w:rsidRPr="001160D6">
        <w:rPr>
          <w:lang w:val="es-AR"/>
        </w:rPr>
        <w:t xml:space="preserve"> en la</w:t>
      </w:r>
      <w:r w:rsidR="00240A87" w:rsidRPr="001160D6">
        <w:rPr>
          <w:lang w:val="es-AR"/>
        </w:rPr>
        <w:t xml:space="preserve"> climatización </w:t>
      </w:r>
      <w:r w:rsidRPr="001160D6">
        <w:rPr>
          <w:lang w:val="es-AR"/>
        </w:rPr>
        <w:t xml:space="preserve">residencial y comercial, </w:t>
      </w:r>
      <w:r w:rsidR="0056197B" w:rsidRPr="001160D6">
        <w:rPr>
          <w:lang w:val="es-AR"/>
        </w:rPr>
        <w:t xml:space="preserve">lo que da por resultado </w:t>
      </w:r>
      <w:r w:rsidRPr="001160D6">
        <w:rPr>
          <w:lang w:val="es-AR"/>
        </w:rPr>
        <w:t xml:space="preserve">la adopción de tecnologías </w:t>
      </w:r>
      <w:r w:rsidR="0056197B" w:rsidRPr="001160D6">
        <w:rPr>
          <w:lang w:val="es-AR"/>
        </w:rPr>
        <w:t>que utilizan HFC</w:t>
      </w:r>
      <w:r w:rsidRPr="001160D6">
        <w:rPr>
          <w:lang w:val="es-AR"/>
        </w:rPr>
        <w:t>, basada</w:t>
      </w:r>
      <w:r w:rsidR="0056197B" w:rsidRPr="001160D6">
        <w:rPr>
          <w:lang w:val="es-AR"/>
        </w:rPr>
        <w:t>s</w:t>
      </w:r>
      <w:r w:rsidRPr="001160D6">
        <w:rPr>
          <w:lang w:val="es-AR"/>
        </w:rPr>
        <w:t xml:space="preserve"> principalmente en los refrigerantes R-410A, R-407C y HFC-32. </w:t>
      </w:r>
    </w:p>
    <w:p w14:paraId="78BADB13" w14:textId="36AA4829" w:rsidR="00DB1F86" w:rsidRPr="001160D6" w:rsidRDefault="00DB1F86" w:rsidP="00DB1F86">
      <w:pPr>
        <w:pStyle w:val="Heading1"/>
        <w:rPr>
          <w:lang w:val="es-AR"/>
        </w:rPr>
      </w:pPr>
      <w:r w:rsidRPr="001160D6">
        <w:rPr>
          <w:lang w:val="es-AR"/>
        </w:rPr>
        <w:t xml:space="preserve">Actualmente, algunos países del </w:t>
      </w:r>
      <w:r w:rsidR="007120E8" w:rsidRPr="001160D6">
        <w:rPr>
          <w:lang w:val="es-AR"/>
        </w:rPr>
        <w:t>Artículo</w:t>
      </w:r>
      <w:r w:rsidRPr="001160D6">
        <w:rPr>
          <w:lang w:val="es-AR"/>
        </w:rPr>
        <w:t xml:space="preserve"> 5 </w:t>
      </w:r>
      <w:r w:rsidR="002A4A46" w:rsidRPr="001160D6">
        <w:rPr>
          <w:lang w:val="es-AR"/>
        </w:rPr>
        <w:t xml:space="preserve">se enfrentan con </w:t>
      </w:r>
      <w:r w:rsidRPr="001160D6">
        <w:rPr>
          <w:lang w:val="es-AR"/>
        </w:rPr>
        <w:t xml:space="preserve">obstáculos importantes en la ejecución de sus conversiones a refrigerantes alternativos </w:t>
      </w:r>
      <w:r w:rsidR="005826BD" w:rsidRPr="001160D6">
        <w:rPr>
          <w:lang w:val="es-AR"/>
        </w:rPr>
        <w:t>con bajo potencial de calentamiento atmosférico</w:t>
      </w:r>
      <w:r w:rsidRPr="001160D6">
        <w:rPr>
          <w:lang w:val="es-AR"/>
        </w:rPr>
        <w:t xml:space="preserve">. El uso de R-410A en la </w:t>
      </w:r>
      <w:r w:rsidR="00D34F54" w:rsidRPr="001160D6">
        <w:rPr>
          <w:lang w:val="es-AR"/>
        </w:rPr>
        <w:t>fabricación de equipos de climatización residenciales</w:t>
      </w:r>
      <w:r w:rsidRPr="001160D6">
        <w:rPr>
          <w:lang w:val="es-AR"/>
        </w:rPr>
        <w:t xml:space="preserve"> </w:t>
      </w:r>
      <w:r w:rsidR="00944DE1" w:rsidRPr="001160D6">
        <w:rPr>
          <w:lang w:val="es-AR"/>
        </w:rPr>
        <w:t>sigue</w:t>
      </w:r>
      <w:r w:rsidRPr="001160D6">
        <w:rPr>
          <w:lang w:val="es-AR"/>
        </w:rPr>
        <w:t xml:space="preserve"> creciendo, </w:t>
      </w:r>
      <w:r w:rsidR="0056197B" w:rsidRPr="001160D6">
        <w:rPr>
          <w:lang w:val="es-AR"/>
        </w:rPr>
        <w:t xml:space="preserve">dado que </w:t>
      </w:r>
      <w:r w:rsidRPr="001160D6">
        <w:rPr>
          <w:lang w:val="es-AR"/>
        </w:rPr>
        <w:t xml:space="preserve">ésta es una tecnología experimentada </w:t>
      </w:r>
      <w:r w:rsidR="0056197B" w:rsidRPr="001160D6">
        <w:rPr>
          <w:lang w:val="es-AR"/>
        </w:rPr>
        <w:t xml:space="preserve">y ya aceptada, </w:t>
      </w:r>
      <w:r w:rsidRPr="001160D6">
        <w:rPr>
          <w:lang w:val="es-AR"/>
        </w:rPr>
        <w:t>donde</w:t>
      </w:r>
      <w:r w:rsidR="0056197B" w:rsidRPr="001160D6">
        <w:rPr>
          <w:lang w:val="es-AR"/>
        </w:rPr>
        <w:t xml:space="preserve"> se fabrican equipos </w:t>
      </w:r>
      <w:r w:rsidRPr="001160D6">
        <w:rPr>
          <w:lang w:val="es-AR"/>
        </w:rPr>
        <w:t>con</w:t>
      </w:r>
      <w:r w:rsidR="0056197B" w:rsidRPr="001160D6">
        <w:rPr>
          <w:lang w:val="es-AR"/>
        </w:rPr>
        <w:t xml:space="preserve"> mejor</w:t>
      </w:r>
      <w:r w:rsidRPr="001160D6">
        <w:rPr>
          <w:lang w:val="es-AR"/>
        </w:rPr>
        <w:t xml:space="preserve"> </w:t>
      </w:r>
      <w:r w:rsidR="003B1B3F" w:rsidRPr="001160D6">
        <w:rPr>
          <w:lang w:val="es-AR"/>
        </w:rPr>
        <w:t>desempeño</w:t>
      </w:r>
      <w:r w:rsidRPr="001160D6">
        <w:rPr>
          <w:lang w:val="es-AR"/>
        </w:rPr>
        <w:t xml:space="preserve"> energético con respecto a</w:t>
      </w:r>
      <w:r w:rsidR="0056197B" w:rsidRPr="001160D6">
        <w:rPr>
          <w:lang w:val="es-AR"/>
        </w:rPr>
        <w:t xml:space="preserve"> </w:t>
      </w:r>
      <w:r w:rsidR="007120E8" w:rsidRPr="001160D6">
        <w:rPr>
          <w:lang w:val="es-AR"/>
        </w:rPr>
        <w:t xml:space="preserve">los </w:t>
      </w:r>
      <w:r w:rsidR="00137206" w:rsidRPr="001160D6">
        <w:rPr>
          <w:lang w:val="es-AR"/>
        </w:rPr>
        <w:t>que utilizan HCFC-22</w:t>
      </w:r>
      <w:r w:rsidRPr="001160D6">
        <w:rPr>
          <w:lang w:val="es-AR"/>
        </w:rPr>
        <w:t>.</w:t>
      </w:r>
    </w:p>
    <w:p w14:paraId="33737033" w14:textId="43DD1771" w:rsidR="00DB1F86" w:rsidRPr="001160D6" w:rsidRDefault="00DB1F86" w:rsidP="00DB1F86">
      <w:pPr>
        <w:pStyle w:val="Heading1"/>
        <w:rPr>
          <w:lang w:val="es-AR"/>
        </w:rPr>
      </w:pPr>
      <w:r w:rsidRPr="001160D6">
        <w:rPr>
          <w:lang w:val="es-AR"/>
        </w:rPr>
        <w:t xml:space="preserve">Durante el </w:t>
      </w:r>
      <w:r w:rsidR="0056197B" w:rsidRPr="001160D6">
        <w:rPr>
          <w:lang w:val="es-AR"/>
        </w:rPr>
        <w:t xml:space="preserve">examen </w:t>
      </w:r>
      <w:r w:rsidRPr="001160D6">
        <w:rPr>
          <w:lang w:val="es-AR"/>
        </w:rPr>
        <w:t xml:space="preserve">de planes de gestión de eliminación de </w:t>
      </w:r>
      <w:r w:rsidR="007120E8" w:rsidRPr="001160D6">
        <w:rPr>
          <w:lang w:val="es-AR"/>
        </w:rPr>
        <w:t>los HCFC</w:t>
      </w:r>
      <w:r w:rsidRPr="001160D6">
        <w:rPr>
          <w:lang w:val="es-AR"/>
        </w:rPr>
        <w:t xml:space="preserve">, la </w:t>
      </w:r>
      <w:r w:rsidR="00FF4D54" w:rsidRPr="001160D6">
        <w:rPr>
          <w:lang w:val="es-AR"/>
        </w:rPr>
        <w:t>Secretaría</w:t>
      </w:r>
      <w:r w:rsidRPr="001160D6">
        <w:rPr>
          <w:lang w:val="es-AR"/>
        </w:rPr>
        <w:t xml:space="preserve"> observó que ciertas empresas fabricaban </w:t>
      </w:r>
      <w:r w:rsidR="007120E8" w:rsidRPr="001160D6">
        <w:rPr>
          <w:lang w:val="es-AR"/>
        </w:rPr>
        <w:t>equipos</w:t>
      </w:r>
      <w:r w:rsidRPr="001160D6">
        <w:rPr>
          <w:rStyle w:val="FootnoteReference"/>
          <w:lang w:val="es-AR"/>
        </w:rPr>
        <w:footnoteReference w:id="30"/>
      </w:r>
      <w:r w:rsidRPr="001160D6">
        <w:rPr>
          <w:lang w:val="es-AR"/>
        </w:rPr>
        <w:t xml:space="preserve"> </w:t>
      </w:r>
      <w:r w:rsidR="0056197B" w:rsidRPr="001160D6">
        <w:rPr>
          <w:lang w:val="es-AR"/>
        </w:rPr>
        <w:t xml:space="preserve">de climatización </w:t>
      </w:r>
      <w:r w:rsidRPr="001160D6">
        <w:rPr>
          <w:lang w:val="es-AR"/>
        </w:rPr>
        <w:t>residencial</w:t>
      </w:r>
      <w:r w:rsidR="0056197B" w:rsidRPr="001160D6">
        <w:rPr>
          <w:lang w:val="es-AR"/>
        </w:rPr>
        <w:t>es</w:t>
      </w:r>
      <w:r w:rsidRPr="001160D6">
        <w:rPr>
          <w:lang w:val="es-AR"/>
        </w:rPr>
        <w:t xml:space="preserve"> y/o comercial</w:t>
      </w:r>
      <w:r w:rsidR="0056197B" w:rsidRPr="001160D6">
        <w:rPr>
          <w:lang w:val="es-AR"/>
        </w:rPr>
        <w:t>es</w:t>
      </w:r>
      <w:r w:rsidRPr="001160D6">
        <w:rPr>
          <w:lang w:val="es-AR"/>
        </w:rPr>
        <w:t xml:space="preserve"> en países del </w:t>
      </w:r>
      <w:r w:rsidR="007120E8" w:rsidRPr="001160D6">
        <w:rPr>
          <w:lang w:val="es-AR"/>
        </w:rPr>
        <w:t>Artículo</w:t>
      </w:r>
      <w:r w:rsidRPr="001160D6">
        <w:rPr>
          <w:lang w:val="es-AR"/>
        </w:rPr>
        <w:t xml:space="preserve"> 5 con líneas basadas en</w:t>
      </w:r>
      <w:r w:rsidR="002A4A46" w:rsidRPr="001160D6">
        <w:rPr>
          <w:lang w:val="es-AR"/>
        </w:rPr>
        <w:t xml:space="preserve"> el</w:t>
      </w:r>
      <w:r w:rsidRPr="001160D6">
        <w:rPr>
          <w:lang w:val="es-AR"/>
        </w:rPr>
        <w:t xml:space="preserve"> </w:t>
      </w:r>
      <w:r w:rsidR="007120E8" w:rsidRPr="001160D6">
        <w:rPr>
          <w:lang w:val="es-AR"/>
        </w:rPr>
        <w:t>HCFC</w:t>
      </w:r>
      <w:r w:rsidRPr="001160D6">
        <w:rPr>
          <w:lang w:val="es-AR"/>
        </w:rPr>
        <w:t xml:space="preserve">-22 y R-410A, y que esas líneas podrían </w:t>
      </w:r>
      <w:r w:rsidR="0056197B" w:rsidRPr="001160D6">
        <w:rPr>
          <w:lang w:val="es-AR"/>
        </w:rPr>
        <w:t xml:space="preserve">cambiar </w:t>
      </w:r>
      <w:r w:rsidRPr="001160D6">
        <w:rPr>
          <w:lang w:val="es-AR"/>
        </w:rPr>
        <w:t xml:space="preserve">entre esas tecnologías. </w:t>
      </w:r>
      <w:r w:rsidR="0056197B" w:rsidRPr="001160D6">
        <w:rPr>
          <w:lang w:val="es-AR"/>
        </w:rPr>
        <w:t xml:space="preserve">Agregar la </w:t>
      </w:r>
      <w:r w:rsidR="00B63879" w:rsidRPr="001160D6">
        <w:rPr>
          <w:lang w:val="es-AR"/>
        </w:rPr>
        <w:t>conversión</w:t>
      </w:r>
      <w:r w:rsidRPr="001160D6">
        <w:rPr>
          <w:lang w:val="es-AR"/>
        </w:rPr>
        <w:t xml:space="preserve"> de las líneas de R-410A a</w:t>
      </w:r>
      <w:r w:rsidR="0056197B" w:rsidRPr="001160D6">
        <w:rPr>
          <w:lang w:val="es-AR"/>
        </w:rPr>
        <w:t xml:space="preserve"> </w:t>
      </w:r>
      <w:r w:rsidRPr="001160D6">
        <w:rPr>
          <w:lang w:val="es-AR"/>
        </w:rPr>
        <w:t>l</w:t>
      </w:r>
      <w:r w:rsidR="0056197B" w:rsidRPr="001160D6">
        <w:rPr>
          <w:lang w:val="es-AR"/>
        </w:rPr>
        <w:t>a</w:t>
      </w:r>
      <w:r w:rsidRPr="001160D6">
        <w:rPr>
          <w:lang w:val="es-AR"/>
        </w:rPr>
        <w:t xml:space="preserve"> </w:t>
      </w:r>
      <w:r w:rsidR="00B63879" w:rsidRPr="001160D6">
        <w:rPr>
          <w:lang w:val="es-AR"/>
        </w:rPr>
        <w:t>conversión</w:t>
      </w:r>
      <w:r w:rsidR="0056197B" w:rsidRPr="001160D6">
        <w:rPr>
          <w:lang w:val="es-AR"/>
        </w:rPr>
        <w:t xml:space="preserve"> en curso </w:t>
      </w:r>
      <w:r w:rsidRPr="001160D6">
        <w:rPr>
          <w:lang w:val="es-AR"/>
        </w:rPr>
        <w:t xml:space="preserve">de las líneas </w:t>
      </w:r>
      <w:r w:rsidR="00F958CF" w:rsidRPr="001160D6">
        <w:rPr>
          <w:lang w:val="es-AR"/>
        </w:rPr>
        <w:t>de</w:t>
      </w:r>
      <w:r w:rsidR="0056197B" w:rsidRPr="001160D6">
        <w:rPr>
          <w:lang w:val="es-AR"/>
        </w:rPr>
        <w:t xml:space="preserve"> </w:t>
      </w:r>
      <w:r w:rsidR="007120E8" w:rsidRPr="001160D6">
        <w:rPr>
          <w:lang w:val="es-AR"/>
        </w:rPr>
        <w:t>HCFC</w:t>
      </w:r>
      <w:r w:rsidRPr="001160D6">
        <w:rPr>
          <w:lang w:val="es-AR"/>
        </w:rPr>
        <w:t xml:space="preserve">-22 ayudaría a asegurar </w:t>
      </w:r>
      <w:r w:rsidR="0056197B" w:rsidRPr="001160D6">
        <w:rPr>
          <w:lang w:val="es-AR"/>
        </w:rPr>
        <w:t xml:space="preserve">la eliminación </w:t>
      </w:r>
      <w:r w:rsidRPr="001160D6">
        <w:rPr>
          <w:lang w:val="es-AR"/>
        </w:rPr>
        <w:t xml:space="preserve">de ambas sustancias en estas empresas. Sin embargo, como se ve en algunos de los planes de gestión de eliminación de </w:t>
      </w:r>
      <w:r w:rsidR="007120E8" w:rsidRPr="001160D6">
        <w:rPr>
          <w:lang w:val="es-AR"/>
        </w:rPr>
        <w:t>los HCFC</w:t>
      </w:r>
      <w:r w:rsidRPr="001160D6">
        <w:rPr>
          <w:lang w:val="es-AR"/>
        </w:rPr>
        <w:t xml:space="preserve"> </w:t>
      </w:r>
      <w:r w:rsidR="0056197B" w:rsidRPr="001160D6">
        <w:rPr>
          <w:lang w:val="es-AR"/>
        </w:rPr>
        <w:t>que se están ejecutando</w:t>
      </w:r>
      <w:r w:rsidRPr="001160D6">
        <w:rPr>
          <w:lang w:val="es-AR"/>
        </w:rPr>
        <w:t xml:space="preserve">, </w:t>
      </w:r>
      <w:r w:rsidR="0056197B" w:rsidRPr="001160D6">
        <w:rPr>
          <w:lang w:val="es-AR"/>
        </w:rPr>
        <w:t xml:space="preserve">esto </w:t>
      </w:r>
      <w:r w:rsidRPr="001160D6">
        <w:rPr>
          <w:lang w:val="es-AR"/>
        </w:rPr>
        <w:t xml:space="preserve">puede no ser </w:t>
      </w:r>
      <w:r w:rsidR="0056197B" w:rsidRPr="001160D6">
        <w:rPr>
          <w:lang w:val="es-AR"/>
        </w:rPr>
        <w:t xml:space="preserve">suficiente para </w:t>
      </w:r>
      <w:r w:rsidRPr="001160D6">
        <w:rPr>
          <w:lang w:val="es-AR"/>
        </w:rPr>
        <w:t>asegurar que la sustentabilidad de</w:t>
      </w:r>
      <w:r w:rsidR="0056197B" w:rsidRPr="001160D6">
        <w:rPr>
          <w:lang w:val="es-AR"/>
        </w:rPr>
        <w:t xml:space="preserve"> la eliminación</w:t>
      </w:r>
      <w:r w:rsidR="00F958CF" w:rsidRPr="001160D6">
        <w:rPr>
          <w:lang w:val="es-AR"/>
        </w:rPr>
        <w:t>,</w:t>
      </w:r>
      <w:r w:rsidR="0056197B" w:rsidRPr="001160D6">
        <w:rPr>
          <w:lang w:val="es-AR"/>
        </w:rPr>
        <w:t xml:space="preserve"> </w:t>
      </w:r>
      <w:r w:rsidRPr="001160D6">
        <w:rPr>
          <w:lang w:val="es-AR"/>
        </w:rPr>
        <w:t xml:space="preserve">si otros fabricantes todavía </w:t>
      </w:r>
      <w:r w:rsidR="0056197B" w:rsidRPr="001160D6">
        <w:rPr>
          <w:lang w:val="es-AR"/>
        </w:rPr>
        <w:t xml:space="preserve">utilizan </w:t>
      </w:r>
      <w:r w:rsidRPr="001160D6">
        <w:rPr>
          <w:lang w:val="es-AR"/>
        </w:rPr>
        <w:t xml:space="preserve">R-410A u otros refrigerantes </w:t>
      </w:r>
      <w:r w:rsidR="0056197B" w:rsidRPr="001160D6">
        <w:rPr>
          <w:lang w:val="es-AR"/>
        </w:rPr>
        <w:t xml:space="preserve">con </w:t>
      </w:r>
      <w:r w:rsidR="00944DE1" w:rsidRPr="001160D6">
        <w:rPr>
          <w:lang w:val="es-AR"/>
        </w:rPr>
        <w:t>HFC</w:t>
      </w:r>
      <w:r w:rsidRPr="001160D6">
        <w:rPr>
          <w:lang w:val="es-AR"/>
        </w:rPr>
        <w:t xml:space="preserve"> </w:t>
      </w:r>
      <w:r w:rsidR="0056197B" w:rsidRPr="001160D6">
        <w:rPr>
          <w:lang w:val="es-AR"/>
        </w:rPr>
        <w:t>y</w:t>
      </w:r>
      <w:r w:rsidRPr="001160D6">
        <w:rPr>
          <w:lang w:val="es-AR"/>
        </w:rPr>
        <w:t xml:space="preserve"> </w:t>
      </w:r>
      <w:r w:rsidR="00092A32" w:rsidRPr="001160D6">
        <w:rPr>
          <w:lang w:val="es-AR"/>
        </w:rPr>
        <w:t>alto potencial de calentamiento atmosférico</w:t>
      </w:r>
      <w:r w:rsidRPr="001160D6">
        <w:rPr>
          <w:lang w:val="es-AR"/>
        </w:rPr>
        <w:t xml:space="preserve"> (</w:t>
      </w:r>
      <w:r w:rsidR="009A618F" w:rsidRPr="001160D6">
        <w:rPr>
          <w:lang w:val="es-AR"/>
        </w:rPr>
        <w:t xml:space="preserve">por ej., </w:t>
      </w:r>
      <w:r w:rsidRPr="001160D6">
        <w:rPr>
          <w:lang w:val="es-AR"/>
        </w:rPr>
        <w:t>R-407C), o importan</w:t>
      </w:r>
      <w:r w:rsidR="0056197B" w:rsidRPr="001160D6">
        <w:rPr>
          <w:lang w:val="es-AR"/>
        </w:rPr>
        <w:t xml:space="preserve"> equipos con </w:t>
      </w:r>
      <w:r w:rsidRPr="001160D6">
        <w:rPr>
          <w:lang w:val="es-AR"/>
        </w:rPr>
        <w:t>alto</w:t>
      </w:r>
      <w:r w:rsidR="0056197B" w:rsidRPr="001160D6">
        <w:rPr>
          <w:lang w:val="es-AR"/>
        </w:rPr>
        <w:t xml:space="preserve"> potencial de calentamiento atmosférico</w:t>
      </w:r>
      <w:r w:rsidRPr="001160D6">
        <w:rPr>
          <w:lang w:val="es-AR"/>
        </w:rPr>
        <w:t xml:space="preserve">. </w:t>
      </w:r>
      <w:r w:rsidR="0056197B" w:rsidRPr="001160D6">
        <w:rPr>
          <w:lang w:val="es-AR"/>
        </w:rPr>
        <w:t xml:space="preserve">Para asegurar la adopción sostenida de tecnologías alternativas con bajo potencial de calentamiento atmosférico </w:t>
      </w:r>
      <w:r w:rsidR="00F958CF" w:rsidRPr="001160D6">
        <w:rPr>
          <w:lang w:val="es-AR"/>
        </w:rPr>
        <w:t xml:space="preserve">es necesario tener </w:t>
      </w:r>
      <w:r w:rsidR="0056197B" w:rsidRPr="001160D6">
        <w:rPr>
          <w:lang w:val="es-AR"/>
        </w:rPr>
        <w:t>u</w:t>
      </w:r>
      <w:r w:rsidRPr="001160D6">
        <w:rPr>
          <w:lang w:val="es-AR"/>
        </w:rPr>
        <w:t xml:space="preserve">n </w:t>
      </w:r>
      <w:r w:rsidR="007120E8" w:rsidRPr="001160D6">
        <w:rPr>
          <w:lang w:val="es-AR"/>
        </w:rPr>
        <w:t>enfoque</w:t>
      </w:r>
      <w:r w:rsidRPr="001160D6">
        <w:rPr>
          <w:lang w:val="es-AR"/>
        </w:rPr>
        <w:t xml:space="preserve"> sectorial.</w:t>
      </w:r>
    </w:p>
    <w:p w14:paraId="6EA41796" w14:textId="63DB4F09" w:rsidR="00DB1F86" w:rsidRPr="001160D6" w:rsidRDefault="00DB1F86" w:rsidP="00DB1F86">
      <w:pPr>
        <w:pStyle w:val="Heading1"/>
        <w:rPr>
          <w:lang w:val="es-AR"/>
        </w:rPr>
      </w:pPr>
      <w:r w:rsidRPr="001160D6">
        <w:rPr>
          <w:lang w:val="es-AR"/>
        </w:rPr>
        <w:t xml:space="preserve">En relación con el sector </w:t>
      </w:r>
      <w:r w:rsidR="00591FCB" w:rsidRPr="001160D6">
        <w:rPr>
          <w:lang w:val="es-AR"/>
        </w:rPr>
        <w:t>de fabricación</w:t>
      </w:r>
      <w:r w:rsidRPr="001160D6">
        <w:rPr>
          <w:lang w:val="es-AR"/>
        </w:rPr>
        <w:t xml:space="preserve"> </w:t>
      </w:r>
      <w:r w:rsidR="00F958CF" w:rsidRPr="001160D6">
        <w:rPr>
          <w:lang w:val="es-AR"/>
        </w:rPr>
        <w:t xml:space="preserve">de </w:t>
      </w:r>
      <w:r w:rsidR="00E06AA4" w:rsidRPr="001160D6">
        <w:rPr>
          <w:lang w:val="es-AR"/>
        </w:rPr>
        <w:t>equipos</w:t>
      </w:r>
      <w:r w:rsidRPr="001160D6">
        <w:rPr>
          <w:lang w:val="es-AR"/>
        </w:rPr>
        <w:t xml:space="preserve"> de </w:t>
      </w:r>
      <w:r w:rsidR="00240A87" w:rsidRPr="001160D6">
        <w:rPr>
          <w:lang w:val="es-AR"/>
        </w:rPr>
        <w:t>acondicionamiento de aire</w:t>
      </w:r>
      <w:r w:rsidRPr="001160D6">
        <w:rPr>
          <w:lang w:val="es-AR"/>
        </w:rPr>
        <w:t xml:space="preserve"> para vehículos, cuatro países </w:t>
      </w:r>
      <w:r w:rsidR="00FF4D54" w:rsidRPr="001160D6">
        <w:rPr>
          <w:lang w:val="es-AR"/>
        </w:rPr>
        <w:t>inform</w:t>
      </w:r>
      <w:r w:rsidRPr="001160D6">
        <w:rPr>
          <w:lang w:val="es-AR"/>
        </w:rPr>
        <w:t xml:space="preserve">aron el uso de </w:t>
      </w:r>
      <w:r w:rsidR="007120E8" w:rsidRPr="001160D6">
        <w:rPr>
          <w:lang w:val="es-AR"/>
        </w:rPr>
        <w:t>7 362</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Pr="001160D6">
        <w:rPr>
          <w:lang w:val="es-AR"/>
        </w:rPr>
        <w:t xml:space="preserve">de HFC-134a en 2019, </w:t>
      </w:r>
      <w:r w:rsidR="00A13B99" w:rsidRPr="001160D6">
        <w:rPr>
          <w:lang w:val="es-AR"/>
        </w:rPr>
        <w:t xml:space="preserve">de las cuales </w:t>
      </w:r>
      <w:r w:rsidR="007120E8" w:rsidRPr="001160D6">
        <w:rPr>
          <w:lang w:val="es-AR"/>
        </w:rPr>
        <w:t>7 350</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Pr="001160D6">
        <w:rPr>
          <w:lang w:val="es-AR"/>
        </w:rPr>
        <w:t>pertenec</w:t>
      </w:r>
      <w:r w:rsidR="00A13B99" w:rsidRPr="001160D6">
        <w:rPr>
          <w:lang w:val="es-AR"/>
        </w:rPr>
        <w:t xml:space="preserve">ían </w:t>
      </w:r>
      <w:r w:rsidRPr="001160D6">
        <w:rPr>
          <w:lang w:val="es-AR"/>
        </w:rPr>
        <w:t>a dos países. Este consumo podría estar</w:t>
      </w:r>
      <w:r w:rsidR="00F958CF" w:rsidRPr="001160D6">
        <w:rPr>
          <w:lang w:val="es-AR"/>
        </w:rPr>
        <w:t>,</w:t>
      </w:r>
      <w:r w:rsidRPr="001160D6">
        <w:rPr>
          <w:lang w:val="es-AR"/>
        </w:rPr>
        <w:t xml:space="preserve"> parcialmente </w:t>
      </w:r>
      <w:r w:rsidR="00F958CF" w:rsidRPr="001160D6">
        <w:rPr>
          <w:lang w:val="es-AR"/>
        </w:rPr>
        <w:t xml:space="preserve">al menos, </w:t>
      </w:r>
      <w:r w:rsidRPr="001160D6">
        <w:rPr>
          <w:lang w:val="es-AR"/>
        </w:rPr>
        <w:t xml:space="preserve">en el sector de </w:t>
      </w:r>
      <w:r w:rsidR="00E06AA4" w:rsidRPr="001160D6">
        <w:rPr>
          <w:lang w:val="es-AR"/>
        </w:rPr>
        <w:t>equipos</w:t>
      </w:r>
      <w:r w:rsidRPr="001160D6">
        <w:rPr>
          <w:lang w:val="es-AR"/>
        </w:rPr>
        <w:t xml:space="preserve"> de </w:t>
      </w:r>
      <w:r w:rsidR="00240A87" w:rsidRPr="001160D6">
        <w:rPr>
          <w:lang w:val="es-AR"/>
        </w:rPr>
        <w:t>acondicionamiento de aire</w:t>
      </w:r>
      <w:r w:rsidRPr="001160D6">
        <w:rPr>
          <w:lang w:val="es-AR"/>
        </w:rPr>
        <w:t xml:space="preserve"> para vehículos, para el cual una </w:t>
      </w:r>
      <w:r w:rsidR="002300DB" w:rsidRPr="001160D6">
        <w:rPr>
          <w:lang w:val="es-AR"/>
        </w:rPr>
        <w:t>ejecución</w:t>
      </w:r>
      <w:r w:rsidR="00A13B99" w:rsidRPr="001160D6">
        <w:rPr>
          <w:lang w:val="es-AR"/>
        </w:rPr>
        <w:t xml:space="preserve"> </w:t>
      </w:r>
      <w:r w:rsidRPr="001160D6">
        <w:rPr>
          <w:lang w:val="es-AR"/>
        </w:rPr>
        <w:t xml:space="preserve">integrada con </w:t>
      </w:r>
      <w:r w:rsidR="001D29D0" w:rsidRPr="001160D6">
        <w:rPr>
          <w:lang w:val="es-AR"/>
        </w:rPr>
        <w:t>la eliminación de los HCFC</w:t>
      </w:r>
      <w:r w:rsidRPr="001160D6">
        <w:rPr>
          <w:lang w:val="es-AR"/>
        </w:rPr>
        <w:t xml:space="preserve"> es </w:t>
      </w:r>
      <w:r w:rsidR="00A13B99" w:rsidRPr="001160D6">
        <w:rPr>
          <w:lang w:val="es-AR"/>
        </w:rPr>
        <w:t xml:space="preserve">improbable ya </w:t>
      </w:r>
      <w:r w:rsidRPr="001160D6">
        <w:rPr>
          <w:lang w:val="es-AR"/>
        </w:rPr>
        <w:t xml:space="preserve">que no hay </w:t>
      </w:r>
      <w:r w:rsidR="00A13B99" w:rsidRPr="001160D6">
        <w:rPr>
          <w:lang w:val="es-AR"/>
        </w:rPr>
        <w:t xml:space="preserve">consumo de </w:t>
      </w:r>
      <w:r w:rsidR="007120E8" w:rsidRPr="001160D6">
        <w:rPr>
          <w:lang w:val="es-AR"/>
        </w:rPr>
        <w:t>HCFC</w:t>
      </w:r>
      <w:r w:rsidRPr="001160D6">
        <w:rPr>
          <w:lang w:val="es-AR"/>
        </w:rPr>
        <w:t xml:space="preserve"> en este sector.</w:t>
      </w:r>
    </w:p>
    <w:p w14:paraId="2829C523" w14:textId="436095F2" w:rsidR="00DB1F86" w:rsidRPr="001160D6" w:rsidRDefault="00DB1F86" w:rsidP="00A2155A">
      <w:pPr>
        <w:pStyle w:val="Heading1"/>
        <w:keepNext/>
        <w:keepLines/>
        <w:rPr>
          <w:lang w:val="es-AR"/>
        </w:rPr>
      </w:pPr>
      <w:r w:rsidRPr="001160D6">
        <w:rPr>
          <w:lang w:val="es-AR"/>
        </w:rPr>
        <w:lastRenderedPageBreak/>
        <w:t xml:space="preserve">El Comité Ejecutivo </w:t>
      </w:r>
      <w:r w:rsidR="007120E8" w:rsidRPr="001160D6">
        <w:rPr>
          <w:u w:val="single"/>
          <w:lang w:val="es-AR"/>
        </w:rPr>
        <w:t>podría</w:t>
      </w:r>
      <w:r w:rsidR="00A13B99" w:rsidRPr="001160D6">
        <w:rPr>
          <w:u w:val="single"/>
          <w:lang w:val="es-AR"/>
        </w:rPr>
        <w:t xml:space="preserve"> querer</w:t>
      </w:r>
      <w:r w:rsidRPr="001160D6">
        <w:rPr>
          <w:lang w:val="es-AR"/>
        </w:rPr>
        <w:t>:</w:t>
      </w:r>
    </w:p>
    <w:p w14:paraId="657C9C11" w14:textId="6A3F1C94" w:rsidR="00DB1F86" w:rsidRPr="001160D6" w:rsidRDefault="00A13B99" w:rsidP="00A2155A">
      <w:pPr>
        <w:pStyle w:val="Heading2"/>
        <w:keepNext/>
        <w:keepLines/>
        <w:rPr>
          <w:lang w:val="es-AR"/>
        </w:rPr>
      </w:pPr>
      <w:r w:rsidRPr="001160D6">
        <w:rPr>
          <w:lang w:val="es-AR"/>
        </w:rPr>
        <w:t>I</w:t>
      </w:r>
      <w:r w:rsidR="00DB1F86" w:rsidRPr="001160D6">
        <w:rPr>
          <w:lang w:val="es-AR"/>
        </w:rPr>
        <w:t xml:space="preserve">nvitar a países del </w:t>
      </w:r>
      <w:r w:rsidR="007120E8" w:rsidRPr="001160D6">
        <w:rPr>
          <w:lang w:val="es-AR"/>
        </w:rPr>
        <w:t>Artículo</w:t>
      </w:r>
      <w:r w:rsidR="00DB1F86" w:rsidRPr="001160D6">
        <w:rPr>
          <w:lang w:val="es-AR"/>
        </w:rPr>
        <w:t xml:space="preserve"> 5</w:t>
      </w:r>
      <w:r w:rsidR="00F958CF" w:rsidRPr="001160D6">
        <w:rPr>
          <w:lang w:val="es-AR"/>
        </w:rPr>
        <w:t>,</w:t>
      </w:r>
      <w:r w:rsidRPr="001160D6">
        <w:rPr>
          <w:lang w:val="es-AR"/>
        </w:rPr>
        <w:t xml:space="preserve"> que fabriquen</w:t>
      </w:r>
      <w:r w:rsidR="00DB1F86" w:rsidRPr="001160D6">
        <w:rPr>
          <w:lang w:val="es-AR"/>
        </w:rPr>
        <w:t xml:space="preserve"> </w:t>
      </w:r>
      <w:r w:rsidR="007120E8" w:rsidRPr="001160D6">
        <w:rPr>
          <w:lang w:val="es-AR"/>
        </w:rPr>
        <w:t>equipos</w:t>
      </w:r>
      <w:r w:rsidRPr="001160D6">
        <w:rPr>
          <w:lang w:val="es-AR"/>
        </w:rPr>
        <w:t xml:space="preserve"> de climatización</w:t>
      </w:r>
      <w:r w:rsidR="00DB1F86" w:rsidRPr="001160D6">
        <w:rPr>
          <w:lang w:val="es-AR"/>
        </w:rPr>
        <w:t xml:space="preserve"> residencial</w:t>
      </w:r>
      <w:r w:rsidRPr="001160D6">
        <w:rPr>
          <w:lang w:val="es-AR"/>
        </w:rPr>
        <w:t>es</w:t>
      </w:r>
      <w:r w:rsidR="00DB1F86" w:rsidRPr="001160D6">
        <w:rPr>
          <w:lang w:val="es-AR"/>
        </w:rPr>
        <w:t xml:space="preserve"> y/o comercial</w:t>
      </w:r>
      <w:r w:rsidRPr="001160D6">
        <w:rPr>
          <w:lang w:val="es-AR"/>
        </w:rPr>
        <w:t>es</w:t>
      </w:r>
      <w:r w:rsidR="00F958CF" w:rsidRPr="001160D6">
        <w:rPr>
          <w:lang w:val="es-AR"/>
        </w:rPr>
        <w:t>,</w:t>
      </w:r>
      <w:r w:rsidR="00DB1F86" w:rsidRPr="001160D6">
        <w:rPr>
          <w:lang w:val="es-AR"/>
        </w:rPr>
        <w:t xml:space="preserve"> </w:t>
      </w:r>
      <w:r w:rsidRPr="001160D6">
        <w:rPr>
          <w:lang w:val="es-AR"/>
        </w:rPr>
        <w:t xml:space="preserve">a </w:t>
      </w:r>
      <w:r w:rsidR="00DB1F86" w:rsidRPr="001160D6">
        <w:rPr>
          <w:lang w:val="es-AR"/>
        </w:rPr>
        <w:t xml:space="preserve">explorar </w:t>
      </w:r>
      <w:r w:rsidR="008F35E9" w:rsidRPr="001160D6">
        <w:rPr>
          <w:lang w:val="es-AR"/>
        </w:rPr>
        <w:t>oportunidades</w:t>
      </w:r>
      <w:r w:rsidR="00DB1F86" w:rsidRPr="001160D6">
        <w:rPr>
          <w:lang w:val="es-AR"/>
        </w:rPr>
        <w:t xml:space="preserve"> </w:t>
      </w:r>
      <w:r w:rsidR="00F958CF" w:rsidRPr="001160D6">
        <w:rPr>
          <w:lang w:val="es-AR"/>
        </w:rPr>
        <w:t xml:space="preserve">para </w:t>
      </w:r>
      <w:r w:rsidR="00DB1F86" w:rsidRPr="001160D6">
        <w:rPr>
          <w:lang w:val="es-AR"/>
        </w:rPr>
        <w:t xml:space="preserve">integrar </w:t>
      </w:r>
      <w:r w:rsidRPr="001160D6">
        <w:rPr>
          <w:lang w:val="es-AR"/>
        </w:rPr>
        <w:t>la eliminación de</w:t>
      </w:r>
      <w:r w:rsidR="00CB2802" w:rsidRPr="001160D6">
        <w:rPr>
          <w:lang w:val="es-AR"/>
        </w:rPr>
        <w:t>l</w:t>
      </w:r>
      <w:r w:rsidRPr="001160D6">
        <w:rPr>
          <w:lang w:val="es-AR"/>
        </w:rPr>
        <w:t xml:space="preserve"> </w:t>
      </w:r>
      <w:r w:rsidR="007120E8" w:rsidRPr="001160D6">
        <w:rPr>
          <w:lang w:val="es-AR"/>
        </w:rPr>
        <w:t>HCFC</w:t>
      </w:r>
      <w:r w:rsidR="00DB1F86" w:rsidRPr="001160D6">
        <w:rPr>
          <w:lang w:val="es-AR"/>
        </w:rPr>
        <w:t xml:space="preserve">-22 y R-410A </w:t>
      </w:r>
      <w:r w:rsidRPr="001160D6">
        <w:rPr>
          <w:lang w:val="es-AR"/>
        </w:rPr>
        <w:t>u</w:t>
      </w:r>
      <w:r w:rsidR="00DB1F86" w:rsidRPr="001160D6">
        <w:rPr>
          <w:lang w:val="es-AR"/>
        </w:rPr>
        <w:t xml:space="preserve"> otro </w:t>
      </w:r>
      <w:r w:rsidRPr="001160D6">
        <w:rPr>
          <w:lang w:val="es-AR"/>
        </w:rPr>
        <w:t xml:space="preserve">HFC con </w:t>
      </w:r>
      <w:r w:rsidR="00092A32" w:rsidRPr="001160D6">
        <w:rPr>
          <w:lang w:val="es-AR"/>
        </w:rPr>
        <w:t>alto potencial de calentamiento atmosférico</w:t>
      </w:r>
      <w:r w:rsidR="00DB1F86" w:rsidRPr="001160D6">
        <w:rPr>
          <w:lang w:val="es-AR"/>
        </w:rPr>
        <w:t xml:space="preserve"> </w:t>
      </w:r>
      <w:r w:rsidR="00CB2802" w:rsidRPr="001160D6">
        <w:rPr>
          <w:lang w:val="es-AR"/>
        </w:rPr>
        <w:t xml:space="preserve">usado </w:t>
      </w:r>
      <w:r w:rsidR="00DB1F86" w:rsidRPr="001160D6">
        <w:rPr>
          <w:lang w:val="es-AR"/>
        </w:rPr>
        <w:t xml:space="preserve">en el sector para asegurar la </w:t>
      </w:r>
      <w:r w:rsidRPr="001160D6">
        <w:rPr>
          <w:lang w:val="es-AR"/>
        </w:rPr>
        <w:t>adopción sostenida</w:t>
      </w:r>
      <w:r w:rsidR="00DB1F86" w:rsidRPr="001160D6">
        <w:rPr>
          <w:lang w:val="es-AR"/>
        </w:rPr>
        <w:t xml:space="preserve"> de alternativas </w:t>
      </w:r>
      <w:r w:rsidR="005826BD" w:rsidRPr="001160D6">
        <w:rPr>
          <w:lang w:val="es-AR"/>
        </w:rPr>
        <w:t>con bajo potencial de calentamiento atmosférico</w:t>
      </w:r>
      <w:r w:rsidR="00DB1F86" w:rsidRPr="001160D6">
        <w:rPr>
          <w:lang w:val="es-AR"/>
        </w:rPr>
        <w:t xml:space="preserve">; </w:t>
      </w:r>
    </w:p>
    <w:p w14:paraId="787C1589" w14:textId="1D83FA6F" w:rsidR="00DB1F86" w:rsidRPr="001160D6" w:rsidRDefault="00A13B99" w:rsidP="00DB1F86">
      <w:pPr>
        <w:pStyle w:val="Heading2"/>
        <w:rPr>
          <w:lang w:val="es-AR"/>
        </w:rPr>
      </w:pPr>
      <w:r w:rsidRPr="001160D6">
        <w:rPr>
          <w:lang w:val="es-AR"/>
        </w:rPr>
        <w:t>A</w:t>
      </w:r>
      <w:r w:rsidR="00DB1F86" w:rsidRPr="001160D6">
        <w:rPr>
          <w:lang w:val="es-AR"/>
        </w:rPr>
        <w:t xml:space="preserve">probar un número limitado de </w:t>
      </w:r>
      <w:r w:rsidR="0072784E" w:rsidRPr="001160D6">
        <w:rPr>
          <w:lang w:val="es-AR"/>
        </w:rPr>
        <w:t>planes sectoriales</w:t>
      </w:r>
      <w:r w:rsidR="00DB1F86" w:rsidRPr="001160D6">
        <w:rPr>
          <w:lang w:val="es-AR"/>
        </w:rPr>
        <w:t xml:space="preserve"> para</w:t>
      </w:r>
      <w:r w:rsidR="0072784E" w:rsidRPr="001160D6">
        <w:rPr>
          <w:lang w:val="es-AR"/>
        </w:rPr>
        <w:t xml:space="preserve"> la eliminación total</w:t>
      </w:r>
      <w:r w:rsidRPr="001160D6">
        <w:rPr>
          <w:lang w:val="es-AR"/>
        </w:rPr>
        <w:t xml:space="preserve"> </w:t>
      </w:r>
      <w:r w:rsidR="00DB1F86" w:rsidRPr="001160D6">
        <w:rPr>
          <w:lang w:val="es-AR"/>
        </w:rPr>
        <w:t xml:space="preserve">de R-410A y otras alternativas </w:t>
      </w:r>
      <w:r w:rsidRPr="001160D6">
        <w:rPr>
          <w:lang w:val="es-AR"/>
        </w:rPr>
        <w:t xml:space="preserve">con </w:t>
      </w:r>
      <w:r w:rsidR="00092A32" w:rsidRPr="001160D6">
        <w:rPr>
          <w:lang w:val="es-AR"/>
        </w:rPr>
        <w:t>alto potencial de calentamiento atmosférico</w:t>
      </w:r>
      <w:r w:rsidR="00DB1F86" w:rsidRPr="001160D6">
        <w:rPr>
          <w:lang w:val="es-AR"/>
        </w:rPr>
        <w:t xml:space="preserve"> usadas en la fabricación de </w:t>
      </w:r>
      <w:r w:rsidR="007120E8" w:rsidRPr="001160D6">
        <w:rPr>
          <w:lang w:val="es-AR"/>
        </w:rPr>
        <w:t>a</w:t>
      </w:r>
      <w:r w:rsidR="002773B0" w:rsidRPr="001160D6">
        <w:rPr>
          <w:lang w:val="es-AR"/>
        </w:rPr>
        <w:t>paratos</w:t>
      </w:r>
      <w:r w:rsidR="00DB1F86" w:rsidRPr="001160D6">
        <w:rPr>
          <w:lang w:val="es-AR"/>
        </w:rPr>
        <w:t xml:space="preserve"> </w:t>
      </w:r>
      <w:r w:rsidRPr="001160D6">
        <w:rPr>
          <w:lang w:val="es-AR"/>
        </w:rPr>
        <w:t xml:space="preserve">de climatización </w:t>
      </w:r>
      <w:r w:rsidR="00DB1F86" w:rsidRPr="001160D6">
        <w:rPr>
          <w:lang w:val="es-AR"/>
        </w:rPr>
        <w:t xml:space="preserve">residenciales y/o comerciales en los países que han eliminado, están eliminando actualmente, o </w:t>
      </w:r>
      <w:r w:rsidRPr="001160D6">
        <w:rPr>
          <w:lang w:val="es-AR"/>
        </w:rPr>
        <w:t xml:space="preserve">tienen la intención de eliminar </w:t>
      </w:r>
      <w:r w:rsidR="00F958CF" w:rsidRPr="001160D6">
        <w:rPr>
          <w:lang w:val="es-AR"/>
        </w:rPr>
        <w:t xml:space="preserve">el </w:t>
      </w:r>
      <w:r w:rsidRPr="001160D6">
        <w:rPr>
          <w:lang w:val="es-AR"/>
        </w:rPr>
        <w:t xml:space="preserve">HCFC-22 </w:t>
      </w:r>
      <w:r w:rsidR="00DB1F86" w:rsidRPr="001160D6">
        <w:rPr>
          <w:lang w:val="es-AR"/>
        </w:rPr>
        <w:t xml:space="preserve">a corto plazo en el sector, </w:t>
      </w:r>
      <w:r w:rsidR="009A0596" w:rsidRPr="001160D6">
        <w:rPr>
          <w:lang w:val="es-AR"/>
        </w:rPr>
        <w:t>quedando entendido</w:t>
      </w:r>
      <w:r w:rsidRPr="001160D6">
        <w:rPr>
          <w:lang w:val="es-AR"/>
        </w:rPr>
        <w:t xml:space="preserve"> que</w:t>
      </w:r>
      <w:r w:rsidR="00DB1F86" w:rsidRPr="001160D6">
        <w:rPr>
          <w:lang w:val="es-AR"/>
        </w:rPr>
        <w:t>:</w:t>
      </w:r>
    </w:p>
    <w:p w14:paraId="4B530F0C" w14:textId="08A7A4C2" w:rsidR="00DB1F86" w:rsidRPr="001160D6" w:rsidRDefault="00F958CF" w:rsidP="00DB1F86">
      <w:pPr>
        <w:pStyle w:val="Heading3"/>
        <w:rPr>
          <w:lang w:val="es-AR"/>
        </w:rPr>
      </w:pPr>
      <w:r w:rsidRPr="001160D6">
        <w:rPr>
          <w:lang w:val="es-AR"/>
        </w:rPr>
        <w:t>Todo país del Artículo 5 que presente un proyecto habrá ratificado la Enmienda de Kigali o presentado una carta oficial que indique la intención del gobierno de ratificar dicha Enmienda</w:t>
      </w:r>
      <w:r w:rsidR="00DB1F86" w:rsidRPr="001160D6">
        <w:rPr>
          <w:lang w:val="es-AR"/>
        </w:rPr>
        <w:t>;</w:t>
      </w:r>
    </w:p>
    <w:p w14:paraId="4C7516F3" w14:textId="3AB2AE5C" w:rsidR="00DB1F86" w:rsidRPr="001160D6" w:rsidRDefault="00383B29" w:rsidP="00DB1F86">
      <w:pPr>
        <w:pStyle w:val="Heading3"/>
        <w:rPr>
          <w:lang w:val="es-AR"/>
        </w:rPr>
      </w:pPr>
      <w:r w:rsidRPr="001160D6">
        <w:rPr>
          <w:lang w:val="es-AR"/>
        </w:rPr>
        <w:t>El plan sectorial se integrará en la etapa I del plan de reducción de HFC</w:t>
      </w:r>
      <w:r w:rsidR="00F958CF" w:rsidRPr="001160D6">
        <w:rPr>
          <w:lang w:val="es-AR"/>
        </w:rPr>
        <w:t>,</w:t>
      </w:r>
      <w:r w:rsidRPr="001160D6">
        <w:rPr>
          <w:lang w:val="es-AR"/>
        </w:rPr>
        <w:t xml:space="preserve"> una vez formulado el plan de reducción de HFC</w:t>
      </w:r>
      <w:r w:rsidR="00DB1F86" w:rsidRPr="001160D6">
        <w:rPr>
          <w:lang w:val="es-AR"/>
        </w:rPr>
        <w:t>;</w:t>
      </w:r>
    </w:p>
    <w:p w14:paraId="42FE4F14" w14:textId="45EF85DD" w:rsidR="00DB1F86" w:rsidRPr="001160D6" w:rsidRDefault="00F958CF" w:rsidP="00DB1F86">
      <w:pPr>
        <w:pStyle w:val="Heading3"/>
        <w:rPr>
          <w:lang w:val="es-AR"/>
        </w:rPr>
      </w:pPr>
      <w:r w:rsidRPr="001160D6">
        <w:rPr>
          <w:lang w:val="es-AR"/>
        </w:rPr>
        <w:t>La cantidad de HFC eliminada por el plan sectorial se deducirá del punto de partida para las reducciones sostenidas del consumo de HFC, una vez establecido el punto de partida</w:t>
      </w:r>
      <w:r w:rsidR="00DB1F86" w:rsidRPr="001160D6">
        <w:rPr>
          <w:lang w:val="es-AR"/>
        </w:rPr>
        <w:t>; y</w:t>
      </w:r>
    </w:p>
    <w:p w14:paraId="312C9433" w14:textId="37152902" w:rsidR="00DB1F86" w:rsidRPr="001160D6" w:rsidRDefault="00383B29" w:rsidP="00DB1F86">
      <w:pPr>
        <w:pStyle w:val="Heading3"/>
        <w:rPr>
          <w:lang w:val="es-AR"/>
        </w:rPr>
      </w:pPr>
      <w:r w:rsidRPr="001160D6">
        <w:rPr>
          <w:lang w:val="es-AR"/>
        </w:rPr>
        <w:t xml:space="preserve">El país establecerá las medidas reguladoras necesarias para asegurar la sustentabilidad de la eliminación de </w:t>
      </w:r>
      <w:r w:rsidRPr="001160D6">
        <w:rPr>
          <w:lang w:val="es-MX"/>
        </w:rPr>
        <w:t xml:space="preserve">R-410A y otras alternativas con alto potencial de calentamiento atmosférico </w:t>
      </w:r>
      <w:r w:rsidRPr="001160D6">
        <w:rPr>
          <w:lang w:val="es-AR"/>
        </w:rPr>
        <w:t xml:space="preserve">en el/los </w:t>
      </w:r>
      <w:proofErr w:type="spellStart"/>
      <w:r w:rsidRPr="001160D6">
        <w:rPr>
          <w:lang w:val="es-AR"/>
        </w:rPr>
        <w:t>sectore</w:t>
      </w:r>
      <w:proofErr w:type="spellEnd"/>
      <w:r w:rsidRPr="001160D6">
        <w:rPr>
          <w:lang w:val="es-AR"/>
        </w:rPr>
        <w:t>(s) de climatización específicos convertidos</w:t>
      </w:r>
      <w:r w:rsidR="00DB1F86" w:rsidRPr="001160D6">
        <w:rPr>
          <w:lang w:val="es-AR"/>
        </w:rPr>
        <w:t>; y</w:t>
      </w:r>
    </w:p>
    <w:p w14:paraId="163E2B84" w14:textId="408185D9" w:rsidR="00DB1F86" w:rsidRPr="001160D6" w:rsidRDefault="00383B29" w:rsidP="00DB1F86">
      <w:pPr>
        <w:pStyle w:val="Heading2"/>
        <w:rPr>
          <w:lang w:val="es-AR"/>
        </w:rPr>
      </w:pPr>
      <w:r w:rsidRPr="001160D6">
        <w:rPr>
          <w:lang w:val="es-AR"/>
        </w:rPr>
        <w:t>Aprobar, cuando así se requiera, la financiación preparatoria para la formulación de estos planes sectoriales</w:t>
      </w:r>
      <w:r w:rsidR="00CA59BE" w:rsidRPr="001160D6">
        <w:rPr>
          <w:lang w:val="es-AR"/>
        </w:rPr>
        <w:t xml:space="preserve">, caso por caso </w:t>
      </w:r>
      <w:r w:rsidRPr="001160D6">
        <w:rPr>
          <w:lang w:val="es-AR"/>
        </w:rPr>
        <w:t>y conforme al directrices del proyecto para la preparación de los planes de reducción de HFC para los países del Artículo 5 que figuran en el documento UNEP/OzL.Pro/ExCom/86/88</w:t>
      </w:r>
      <w:r w:rsidR="00DB1F86" w:rsidRPr="001160D6">
        <w:rPr>
          <w:lang w:val="es-AR"/>
        </w:rPr>
        <w:t>.</w:t>
      </w:r>
    </w:p>
    <w:p w14:paraId="6A182943" w14:textId="6031AC17" w:rsidR="00DB1F86" w:rsidRPr="001160D6" w:rsidRDefault="00DB1F86" w:rsidP="00DB1F86">
      <w:pPr>
        <w:pStyle w:val="Heading1"/>
        <w:widowControl w:val="0"/>
        <w:numPr>
          <w:ilvl w:val="0"/>
          <w:numId w:val="0"/>
        </w:numPr>
        <w:rPr>
          <w:i/>
          <w:lang w:val="es-AR"/>
        </w:rPr>
      </w:pPr>
      <w:r w:rsidRPr="001160D6">
        <w:rPr>
          <w:i/>
          <w:lang w:val="es-AR"/>
        </w:rPr>
        <w:t xml:space="preserve">Otros sectores </w:t>
      </w:r>
      <w:r w:rsidR="00591FCB" w:rsidRPr="001160D6">
        <w:rPr>
          <w:i/>
          <w:lang w:val="es-AR"/>
        </w:rPr>
        <w:t>de fabricación</w:t>
      </w:r>
    </w:p>
    <w:p w14:paraId="3BF3E607" w14:textId="228A0DAB" w:rsidR="00DB1F86" w:rsidRPr="001160D6" w:rsidRDefault="00DB1F86" w:rsidP="00DB1F86">
      <w:pPr>
        <w:pStyle w:val="Heading1"/>
        <w:widowControl w:val="0"/>
        <w:rPr>
          <w:lang w:val="es-AR"/>
        </w:rPr>
      </w:pPr>
      <w:r w:rsidRPr="001160D6">
        <w:rPr>
          <w:lang w:val="es-AR"/>
        </w:rPr>
        <w:t>A excepción de un país,</w:t>
      </w:r>
      <w:r w:rsidRPr="001160D6">
        <w:rPr>
          <w:rStyle w:val="FootnoteReference"/>
          <w:lang w:val="es-AR"/>
        </w:rPr>
        <w:footnoteReference w:id="31"/>
      </w:r>
      <w:r w:rsidRPr="001160D6">
        <w:rPr>
          <w:lang w:val="es-AR"/>
        </w:rPr>
        <w:t xml:space="preserve"> </w:t>
      </w:r>
      <w:r w:rsidR="00F958CF" w:rsidRPr="001160D6">
        <w:rPr>
          <w:lang w:val="es-AR"/>
        </w:rPr>
        <w:t xml:space="preserve">los HCFC </w:t>
      </w:r>
      <w:r w:rsidRPr="001160D6">
        <w:rPr>
          <w:lang w:val="es-AR"/>
        </w:rPr>
        <w:t>actualmente</w:t>
      </w:r>
      <w:r w:rsidR="00383B29" w:rsidRPr="001160D6">
        <w:rPr>
          <w:lang w:val="es-AR"/>
        </w:rPr>
        <w:t xml:space="preserve"> no se utilizan </w:t>
      </w:r>
      <w:r w:rsidRPr="001160D6">
        <w:rPr>
          <w:lang w:val="es-AR"/>
        </w:rPr>
        <w:t xml:space="preserve">en el </w:t>
      </w:r>
      <w:r w:rsidR="00FF4D54" w:rsidRPr="001160D6">
        <w:rPr>
          <w:lang w:val="es-AR"/>
        </w:rPr>
        <w:t>sector de aerosoles</w:t>
      </w:r>
      <w:r w:rsidRPr="001160D6">
        <w:rPr>
          <w:lang w:val="es-AR"/>
        </w:rPr>
        <w:t xml:space="preserve"> en países del </w:t>
      </w:r>
      <w:r w:rsidR="007120E8" w:rsidRPr="001160D6">
        <w:rPr>
          <w:lang w:val="es-AR"/>
        </w:rPr>
        <w:t>Artículo</w:t>
      </w:r>
      <w:r w:rsidRPr="001160D6">
        <w:rPr>
          <w:lang w:val="es-AR"/>
        </w:rPr>
        <w:t xml:space="preserve"> 5. En relación con </w:t>
      </w:r>
      <w:r w:rsidR="00944DE1" w:rsidRPr="001160D6">
        <w:rPr>
          <w:lang w:val="es-AR"/>
        </w:rPr>
        <w:t>los HFC</w:t>
      </w:r>
      <w:r w:rsidRPr="001160D6">
        <w:rPr>
          <w:lang w:val="es-AR"/>
        </w:rPr>
        <w:t xml:space="preserve">, de los 84 países del </w:t>
      </w:r>
      <w:r w:rsidR="007120E8" w:rsidRPr="001160D6">
        <w:rPr>
          <w:lang w:val="es-AR"/>
        </w:rPr>
        <w:t>Artículo</w:t>
      </w:r>
      <w:r w:rsidRPr="001160D6">
        <w:rPr>
          <w:lang w:val="es-AR"/>
        </w:rPr>
        <w:t xml:space="preserve"> 5 que </w:t>
      </w:r>
      <w:r w:rsidR="00FF4D54" w:rsidRPr="001160D6">
        <w:rPr>
          <w:lang w:val="es-AR"/>
        </w:rPr>
        <w:t>inform</w:t>
      </w:r>
      <w:r w:rsidRPr="001160D6">
        <w:rPr>
          <w:lang w:val="es-AR"/>
        </w:rPr>
        <w:t>aron datos de</w:t>
      </w:r>
      <w:r w:rsidR="00F958CF" w:rsidRPr="001160D6">
        <w:rPr>
          <w:lang w:val="es-AR"/>
        </w:rPr>
        <w:t xml:space="preserve"> </w:t>
      </w:r>
      <w:r w:rsidRPr="001160D6">
        <w:rPr>
          <w:lang w:val="es-AR"/>
        </w:rPr>
        <w:t xml:space="preserve">consumo en 2019 bajo sus informes de </w:t>
      </w:r>
      <w:r w:rsidR="00FF4D54" w:rsidRPr="001160D6">
        <w:rPr>
          <w:lang w:val="es-AR"/>
        </w:rPr>
        <w:t>ejecución del programa</w:t>
      </w:r>
      <w:r w:rsidRPr="001160D6">
        <w:rPr>
          <w:lang w:val="es-AR"/>
        </w:rPr>
        <w:t xml:space="preserve"> de país, nueve países (seis</w:t>
      </w:r>
      <w:r w:rsidR="00B321BA" w:rsidRPr="001160D6">
        <w:rPr>
          <w:lang w:val="es-AR"/>
        </w:rPr>
        <w:t xml:space="preserve"> países sin bajo consumo</w:t>
      </w:r>
      <w:r w:rsidRPr="001160D6">
        <w:rPr>
          <w:lang w:val="es-AR"/>
        </w:rPr>
        <w:t xml:space="preserve"> y tres países de </w:t>
      </w:r>
      <w:r w:rsidR="00B321BA" w:rsidRPr="001160D6">
        <w:rPr>
          <w:lang w:val="es-AR"/>
        </w:rPr>
        <w:t>países con bajo consumo</w:t>
      </w:r>
      <w:r w:rsidRPr="001160D6">
        <w:rPr>
          <w:lang w:val="es-AR"/>
        </w:rPr>
        <w:t xml:space="preserve">) identificaron un uso total de </w:t>
      </w:r>
      <w:r w:rsidR="007120E8" w:rsidRPr="001160D6">
        <w:rPr>
          <w:lang w:val="es-AR"/>
        </w:rPr>
        <w:t>4 291</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Pr="001160D6">
        <w:rPr>
          <w:lang w:val="es-AR"/>
        </w:rPr>
        <w:t xml:space="preserve">de </w:t>
      </w:r>
      <w:r w:rsidR="00944DE1" w:rsidRPr="001160D6">
        <w:rPr>
          <w:lang w:val="es-AR"/>
        </w:rPr>
        <w:t>HFC</w:t>
      </w:r>
      <w:r w:rsidRPr="001160D6">
        <w:rPr>
          <w:lang w:val="es-AR"/>
        </w:rPr>
        <w:t xml:space="preserve"> en el </w:t>
      </w:r>
      <w:r w:rsidR="00FF4D54" w:rsidRPr="001160D6">
        <w:rPr>
          <w:lang w:val="es-AR"/>
        </w:rPr>
        <w:t>sector de aerosoles</w:t>
      </w:r>
      <w:r w:rsidRPr="001160D6">
        <w:rPr>
          <w:lang w:val="es-AR"/>
        </w:rPr>
        <w:t xml:space="preserve">. </w:t>
      </w:r>
      <w:r w:rsidR="00383B29" w:rsidRPr="001160D6">
        <w:rPr>
          <w:lang w:val="es-AR"/>
        </w:rPr>
        <w:t>A</w:t>
      </w:r>
      <w:r w:rsidRPr="001160D6">
        <w:rPr>
          <w:lang w:val="es-AR"/>
        </w:rPr>
        <w:t>lrededor</w:t>
      </w:r>
      <w:r w:rsidR="00383B29" w:rsidRPr="001160D6">
        <w:rPr>
          <w:lang w:val="es-AR"/>
        </w:rPr>
        <w:t xml:space="preserve"> del</w:t>
      </w:r>
      <w:r w:rsidRPr="001160D6">
        <w:rPr>
          <w:lang w:val="es-AR"/>
        </w:rPr>
        <w:t xml:space="preserve"> 63 por ciento de esto corresponde al consumo de</w:t>
      </w:r>
      <w:r w:rsidR="001769C5" w:rsidRPr="001160D6">
        <w:rPr>
          <w:lang w:val="es-AR"/>
        </w:rPr>
        <w:t>l</w:t>
      </w:r>
      <w:r w:rsidRPr="001160D6">
        <w:rPr>
          <w:lang w:val="es-AR"/>
        </w:rPr>
        <w:t xml:space="preserve"> HFC-152a en un país; el consumo restante corresponde a</w:t>
      </w:r>
      <w:r w:rsidR="001769C5" w:rsidRPr="001160D6">
        <w:rPr>
          <w:lang w:val="es-AR"/>
        </w:rPr>
        <w:t>l</w:t>
      </w:r>
      <w:r w:rsidRPr="001160D6">
        <w:rPr>
          <w:lang w:val="es-AR"/>
        </w:rPr>
        <w:t xml:space="preserve"> HFC-134a, parte de</w:t>
      </w:r>
      <w:r w:rsidR="00383B29" w:rsidRPr="001160D6">
        <w:rPr>
          <w:lang w:val="es-AR"/>
        </w:rPr>
        <w:t xml:space="preserve">l cual </w:t>
      </w:r>
      <w:r w:rsidRPr="001160D6">
        <w:rPr>
          <w:lang w:val="es-AR"/>
        </w:rPr>
        <w:t xml:space="preserve">en los </w:t>
      </w:r>
      <w:r w:rsidR="00383B29" w:rsidRPr="001160D6">
        <w:rPr>
          <w:lang w:val="es-AR"/>
        </w:rPr>
        <w:t>inhaladores de dosis medida</w:t>
      </w:r>
      <w:r w:rsidRPr="001160D6">
        <w:rPr>
          <w:lang w:val="es-AR"/>
        </w:rPr>
        <w:t xml:space="preserve">, donde </w:t>
      </w:r>
      <w:r w:rsidR="00383B29" w:rsidRPr="001160D6">
        <w:rPr>
          <w:lang w:val="es-AR"/>
        </w:rPr>
        <w:t>se</w:t>
      </w:r>
      <w:r w:rsidR="001769C5" w:rsidRPr="001160D6">
        <w:rPr>
          <w:lang w:val="es-AR"/>
        </w:rPr>
        <w:t xml:space="preserve">rá necesario contar con más tiempo </w:t>
      </w:r>
      <w:proofErr w:type="spellStart"/>
      <w:r w:rsidR="00383B29" w:rsidRPr="001160D6">
        <w:rPr>
          <w:lang w:val="es-AR"/>
        </w:rPr>
        <w:t>tiempo</w:t>
      </w:r>
      <w:proofErr w:type="spellEnd"/>
      <w:r w:rsidR="00383B29" w:rsidRPr="001160D6">
        <w:rPr>
          <w:lang w:val="es-AR"/>
        </w:rPr>
        <w:t xml:space="preserve"> para </w:t>
      </w:r>
      <w:r w:rsidRPr="001160D6">
        <w:rPr>
          <w:lang w:val="es-AR"/>
        </w:rPr>
        <w:t>desarrollar una tecnología alternativa.</w:t>
      </w:r>
    </w:p>
    <w:p w14:paraId="16CC6998" w14:textId="1F54E1A9" w:rsidR="00DB1F86" w:rsidRPr="001160D6" w:rsidRDefault="00DB1F86" w:rsidP="00DB1F86">
      <w:pPr>
        <w:pStyle w:val="Heading1"/>
        <w:rPr>
          <w:lang w:val="es-AR"/>
        </w:rPr>
      </w:pPr>
      <w:r w:rsidRPr="001160D6">
        <w:rPr>
          <w:lang w:val="es-AR"/>
        </w:rPr>
        <w:t>Además, nueve países (seis</w:t>
      </w:r>
      <w:r w:rsidR="00B321BA" w:rsidRPr="001160D6">
        <w:rPr>
          <w:lang w:val="es-AR"/>
        </w:rPr>
        <w:t xml:space="preserve"> países sin bajo consumo</w:t>
      </w:r>
      <w:r w:rsidRPr="001160D6">
        <w:rPr>
          <w:lang w:val="es-AR"/>
        </w:rPr>
        <w:t xml:space="preserve"> y tres países de </w:t>
      </w:r>
      <w:r w:rsidR="00B321BA" w:rsidRPr="001160D6">
        <w:rPr>
          <w:lang w:val="es-AR"/>
        </w:rPr>
        <w:t>países con bajo consumo</w:t>
      </w:r>
      <w:r w:rsidRPr="001160D6">
        <w:rPr>
          <w:lang w:val="es-AR"/>
        </w:rPr>
        <w:t xml:space="preserve">) </w:t>
      </w:r>
      <w:r w:rsidR="00FF4D54" w:rsidRPr="001160D6">
        <w:rPr>
          <w:lang w:val="es-AR"/>
        </w:rPr>
        <w:t>inform</w:t>
      </w:r>
      <w:r w:rsidRPr="001160D6">
        <w:rPr>
          <w:lang w:val="es-AR"/>
        </w:rPr>
        <w:t xml:space="preserve">aron el uso de </w:t>
      </w:r>
      <w:r w:rsidR="007120E8" w:rsidRPr="001160D6">
        <w:rPr>
          <w:lang w:val="es-AR"/>
        </w:rPr>
        <w:t>6 381</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Pr="001160D6">
        <w:rPr>
          <w:lang w:val="es-AR"/>
        </w:rPr>
        <w:t xml:space="preserve">de </w:t>
      </w:r>
      <w:r w:rsidR="00944DE1" w:rsidRPr="001160D6">
        <w:rPr>
          <w:lang w:val="es-AR"/>
        </w:rPr>
        <w:t>HFC</w:t>
      </w:r>
      <w:r w:rsidRPr="001160D6">
        <w:rPr>
          <w:lang w:val="es-AR"/>
        </w:rPr>
        <w:t xml:space="preserve"> en el </w:t>
      </w:r>
      <w:r w:rsidR="002E0F2D" w:rsidRPr="001160D6">
        <w:rPr>
          <w:lang w:val="es-AR"/>
        </w:rPr>
        <w:t>sector de extinción de incendios</w:t>
      </w:r>
      <w:r w:rsidRPr="001160D6">
        <w:rPr>
          <w:lang w:val="es-AR"/>
        </w:rPr>
        <w:t xml:space="preserve">, </w:t>
      </w:r>
      <w:r w:rsidR="00FF4D54" w:rsidRPr="001160D6">
        <w:rPr>
          <w:lang w:val="es-AR"/>
        </w:rPr>
        <w:t>inclusive</w:t>
      </w:r>
      <w:r w:rsidRPr="001160D6">
        <w:rPr>
          <w:lang w:val="es-AR"/>
        </w:rPr>
        <w:t xml:space="preserve"> </w:t>
      </w:r>
      <w:r w:rsidR="007120E8" w:rsidRPr="001160D6">
        <w:rPr>
          <w:lang w:val="es-AR"/>
        </w:rPr>
        <w:t>6 087</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2F286D">
        <w:rPr>
          <w:lang w:val="es-AR"/>
        </w:rPr>
        <w:t>de HFC</w:t>
      </w:r>
      <w:r w:rsidR="002F286D">
        <w:rPr>
          <w:lang w:val="es-AR"/>
        </w:rPr>
        <w:noBreakHyphen/>
      </w:r>
      <w:r w:rsidRPr="001160D6">
        <w:rPr>
          <w:lang w:val="es-AR"/>
        </w:rPr>
        <w:t xml:space="preserve">227ea por </w:t>
      </w:r>
      <w:r w:rsidR="002E0F2D" w:rsidRPr="001160D6">
        <w:rPr>
          <w:lang w:val="es-AR"/>
        </w:rPr>
        <w:t>solo</w:t>
      </w:r>
      <w:r w:rsidR="001769C5" w:rsidRPr="001160D6">
        <w:rPr>
          <w:lang w:val="es-AR"/>
        </w:rPr>
        <w:t xml:space="preserve"> un</w:t>
      </w:r>
      <w:r w:rsidRPr="001160D6">
        <w:rPr>
          <w:lang w:val="es-AR"/>
        </w:rPr>
        <w:t xml:space="preserve"> país. Es</w:t>
      </w:r>
      <w:r w:rsidR="002E0F2D" w:rsidRPr="001160D6">
        <w:rPr>
          <w:lang w:val="es-AR"/>
        </w:rPr>
        <w:t xml:space="preserve"> posible que est</w:t>
      </w:r>
      <w:r w:rsidRPr="001160D6">
        <w:rPr>
          <w:lang w:val="es-AR"/>
        </w:rPr>
        <w:t xml:space="preserve">e uso </w:t>
      </w:r>
      <w:r w:rsidR="002E0F2D" w:rsidRPr="001160D6">
        <w:rPr>
          <w:lang w:val="es-AR"/>
        </w:rPr>
        <w:t xml:space="preserve">requiera un examen </w:t>
      </w:r>
      <w:r w:rsidRPr="001160D6">
        <w:rPr>
          <w:lang w:val="es-AR"/>
        </w:rPr>
        <w:t>más a fondo</w:t>
      </w:r>
      <w:r w:rsidR="002E0F2D" w:rsidRPr="001160D6">
        <w:rPr>
          <w:lang w:val="es-AR"/>
        </w:rPr>
        <w:t xml:space="preserve">, cuando se recopilen </w:t>
      </w:r>
      <w:r w:rsidRPr="001160D6">
        <w:rPr>
          <w:lang w:val="es-AR"/>
        </w:rPr>
        <w:t xml:space="preserve">más datos. </w:t>
      </w:r>
    </w:p>
    <w:p w14:paraId="3AFBB7E6" w14:textId="55003746" w:rsidR="00DB1F86" w:rsidRPr="001160D6" w:rsidRDefault="007120E8" w:rsidP="00DB1F86">
      <w:pPr>
        <w:pStyle w:val="Heading1"/>
        <w:rPr>
          <w:lang w:val="es-AR"/>
        </w:rPr>
      </w:pPr>
      <w:r w:rsidRPr="001160D6">
        <w:rPr>
          <w:lang w:val="es-AR"/>
        </w:rPr>
        <w:lastRenderedPageBreak/>
        <w:t>Si bien</w:t>
      </w:r>
      <w:r w:rsidR="002E0F2D" w:rsidRPr="001160D6">
        <w:rPr>
          <w:lang w:val="es-AR"/>
        </w:rPr>
        <w:t xml:space="preserve"> el</w:t>
      </w:r>
      <w:r w:rsidR="00DB1F86" w:rsidRPr="001160D6">
        <w:rPr>
          <w:lang w:val="es-AR"/>
        </w:rPr>
        <w:t xml:space="preserve"> HFC-23 es principalmente un subproducto generado durante la producción de</w:t>
      </w:r>
      <w:r w:rsidR="001769C5" w:rsidRPr="001160D6">
        <w:rPr>
          <w:lang w:val="es-AR"/>
        </w:rPr>
        <w:t>l</w:t>
      </w:r>
      <w:r w:rsidR="00DB1F86" w:rsidRPr="001160D6">
        <w:rPr>
          <w:lang w:val="es-AR"/>
        </w:rPr>
        <w:t xml:space="preserve"> </w:t>
      </w:r>
      <w:r w:rsidRPr="001160D6">
        <w:rPr>
          <w:lang w:val="es-AR"/>
        </w:rPr>
        <w:t>HCFC</w:t>
      </w:r>
      <w:r w:rsidR="00DB1F86" w:rsidRPr="001160D6">
        <w:rPr>
          <w:lang w:val="es-AR"/>
        </w:rPr>
        <w:t>-22 en comparación con un HFC importado y utiliz</w:t>
      </w:r>
      <w:r w:rsidR="002E0F2D" w:rsidRPr="001160D6">
        <w:rPr>
          <w:lang w:val="es-AR"/>
        </w:rPr>
        <w:t>ado</w:t>
      </w:r>
      <w:r w:rsidR="00DB1F86" w:rsidRPr="001160D6">
        <w:rPr>
          <w:lang w:val="es-AR"/>
        </w:rPr>
        <w:t xml:space="preserve"> por los países del </w:t>
      </w:r>
      <w:r w:rsidRPr="001160D6">
        <w:rPr>
          <w:lang w:val="es-AR"/>
        </w:rPr>
        <w:t>Artículo</w:t>
      </w:r>
      <w:r w:rsidR="00DB1F86" w:rsidRPr="001160D6">
        <w:rPr>
          <w:lang w:val="es-AR"/>
        </w:rPr>
        <w:t xml:space="preserve"> 5, en 2019 diez países del </w:t>
      </w:r>
      <w:r w:rsidRPr="001160D6">
        <w:rPr>
          <w:lang w:val="es-AR"/>
        </w:rPr>
        <w:t>Artículo</w:t>
      </w:r>
      <w:r w:rsidR="00DB1F86" w:rsidRPr="001160D6">
        <w:rPr>
          <w:lang w:val="es-AR"/>
        </w:rPr>
        <w:t xml:space="preserve"> 5 identificaron el uso de </w:t>
      </w:r>
      <w:r w:rsidRPr="001160D6">
        <w:rPr>
          <w:lang w:val="es-AR"/>
        </w:rPr>
        <w:t>7,9</w:t>
      </w:r>
      <w:r w:rsidR="00DB1F86" w:rsidRPr="001160D6">
        <w:rPr>
          <w:lang w:val="es-AR"/>
        </w:rPr>
        <w:t>4</w:t>
      </w:r>
      <w:r w:rsidR="00FF4D54" w:rsidRPr="001160D6">
        <w:rPr>
          <w:lang w:val="es-AR"/>
        </w:rPr>
        <w:t xml:space="preserve"> </w:t>
      </w:r>
      <w:proofErr w:type="spellStart"/>
      <w:r w:rsidR="00FF4D54" w:rsidRPr="001160D6">
        <w:rPr>
          <w:lang w:val="es-AR"/>
        </w:rPr>
        <w:t>tm</w:t>
      </w:r>
      <w:proofErr w:type="spellEnd"/>
      <w:r w:rsidR="00FF4D54" w:rsidRPr="001160D6">
        <w:rPr>
          <w:lang w:val="es-AR"/>
        </w:rPr>
        <w:t xml:space="preserve"> </w:t>
      </w:r>
      <w:r w:rsidR="00DB1F86" w:rsidRPr="001160D6">
        <w:rPr>
          <w:lang w:val="es-AR"/>
        </w:rPr>
        <w:t>de HFC-23 en divers</w:t>
      </w:r>
      <w:r w:rsidR="002E0F2D" w:rsidRPr="001160D6">
        <w:rPr>
          <w:lang w:val="es-AR"/>
        </w:rPr>
        <w:t>a</w:t>
      </w:r>
      <w:r w:rsidR="00DB1F86" w:rsidRPr="001160D6">
        <w:rPr>
          <w:lang w:val="es-AR"/>
        </w:rPr>
        <w:t xml:space="preserve">s </w:t>
      </w:r>
      <w:r w:rsidR="002E0F2D" w:rsidRPr="001160D6">
        <w:rPr>
          <w:lang w:val="es-AR"/>
        </w:rPr>
        <w:t>aplicaciones</w:t>
      </w:r>
      <w:r w:rsidR="00DB1F86" w:rsidRPr="001160D6">
        <w:rPr>
          <w:lang w:val="es-AR"/>
        </w:rPr>
        <w:t xml:space="preserve">, </w:t>
      </w:r>
      <w:r w:rsidR="002E0F2D" w:rsidRPr="001160D6">
        <w:rPr>
          <w:lang w:val="es-AR"/>
        </w:rPr>
        <w:t xml:space="preserve">como </w:t>
      </w:r>
      <w:r w:rsidR="00DB1F86" w:rsidRPr="001160D6">
        <w:rPr>
          <w:lang w:val="es-AR"/>
        </w:rPr>
        <w:t xml:space="preserve">la </w:t>
      </w:r>
      <w:r w:rsidR="008E7FD2" w:rsidRPr="001160D6">
        <w:rPr>
          <w:lang w:val="es-AR"/>
        </w:rPr>
        <w:t>fabricación de equipos de refrigeración</w:t>
      </w:r>
      <w:r w:rsidR="00DB1F86" w:rsidRPr="001160D6">
        <w:rPr>
          <w:lang w:val="es-AR"/>
        </w:rPr>
        <w:t xml:space="preserve">, </w:t>
      </w:r>
      <w:r w:rsidR="001769C5" w:rsidRPr="001160D6">
        <w:rPr>
          <w:lang w:val="es-AR"/>
        </w:rPr>
        <w:t xml:space="preserve">servicio y </w:t>
      </w:r>
      <w:r w:rsidR="00DB1F86" w:rsidRPr="001160D6">
        <w:rPr>
          <w:lang w:val="es-AR"/>
        </w:rPr>
        <w:t xml:space="preserve">mantenimiento y </w:t>
      </w:r>
      <w:r w:rsidR="002E0F2D" w:rsidRPr="001160D6">
        <w:rPr>
          <w:lang w:val="es-AR"/>
        </w:rPr>
        <w:t>extinción de incendios</w:t>
      </w:r>
      <w:r w:rsidR="00DB1F86" w:rsidRPr="001160D6">
        <w:rPr>
          <w:lang w:val="es-AR"/>
        </w:rPr>
        <w:t>. Aunque el consumo</w:t>
      </w:r>
      <w:r w:rsidR="002E0F2D" w:rsidRPr="001160D6">
        <w:rPr>
          <w:lang w:val="es-AR"/>
        </w:rPr>
        <w:t xml:space="preserve"> es limitado</w:t>
      </w:r>
      <w:r w:rsidR="00DB1F86" w:rsidRPr="001160D6">
        <w:rPr>
          <w:lang w:val="es-AR"/>
        </w:rPr>
        <w:t xml:space="preserve">, el </w:t>
      </w:r>
      <w:r w:rsidR="002E0F2D" w:rsidRPr="001160D6">
        <w:rPr>
          <w:lang w:val="es-AR"/>
        </w:rPr>
        <w:t xml:space="preserve">muy alto </w:t>
      </w:r>
      <w:r w:rsidR="00DB1F86" w:rsidRPr="001160D6">
        <w:rPr>
          <w:lang w:val="es-AR"/>
        </w:rPr>
        <w:t>potencial de calentamiento atmosférico (1</w:t>
      </w:r>
      <w:r w:rsidRPr="001160D6">
        <w:rPr>
          <w:lang w:val="es-AR"/>
        </w:rPr>
        <w:t>4 800</w:t>
      </w:r>
      <w:r w:rsidR="00DB1F86" w:rsidRPr="001160D6">
        <w:rPr>
          <w:lang w:val="es-AR"/>
        </w:rPr>
        <w:t>) de HFC-23 p</w:t>
      </w:r>
      <w:r w:rsidR="002E0F2D" w:rsidRPr="001160D6">
        <w:rPr>
          <w:lang w:val="es-AR"/>
        </w:rPr>
        <w:t xml:space="preserve">odría </w:t>
      </w:r>
      <w:r w:rsidR="00DB1F86" w:rsidRPr="001160D6">
        <w:rPr>
          <w:lang w:val="es-AR"/>
        </w:rPr>
        <w:t>justificar</w:t>
      </w:r>
      <w:r w:rsidR="001769C5" w:rsidRPr="001160D6">
        <w:rPr>
          <w:lang w:val="es-AR"/>
        </w:rPr>
        <w:t xml:space="preserve"> que</w:t>
      </w:r>
      <w:r w:rsidR="00DB1F86" w:rsidRPr="001160D6">
        <w:rPr>
          <w:lang w:val="es-AR"/>
        </w:rPr>
        <w:t xml:space="preserve"> </w:t>
      </w:r>
      <w:r w:rsidR="002E0F2D" w:rsidRPr="001160D6">
        <w:rPr>
          <w:lang w:val="es-AR"/>
        </w:rPr>
        <w:t xml:space="preserve">su eliminación </w:t>
      </w:r>
      <w:r w:rsidR="001769C5" w:rsidRPr="001160D6">
        <w:rPr>
          <w:lang w:val="es-AR"/>
        </w:rPr>
        <w:t xml:space="preserve">fuese </w:t>
      </w:r>
      <w:r w:rsidR="002E0F2D" w:rsidRPr="001160D6">
        <w:rPr>
          <w:lang w:val="es-AR"/>
        </w:rPr>
        <w:t xml:space="preserve">una </w:t>
      </w:r>
      <w:r w:rsidR="00DB1F86" w:rsidRPr="001160D6">
        <w:rPr>
          <w:lang w:val="es-AR"/>
        </w:rPr>
        <w:t xml:space="preserve">prioridad. Para evitar un </w:t>
      </w:r>
      <w:r w:rsidR="002E0F2D" w:rsidRPr="001160D6">
        <w:rPr>
          <w:lang w:val="es-AR"/>
        </w:rPr>
        <w:t xml:space="preserve">posible </w:t>
      </w:r>
      <w:r w:rsidR="00DB1F86" w:rsidRPr="001160D6">
        <w:rPr>
          <w:lang w:val="es-AR"/>
        </w:rPr>
        <w:t xml:space="preserve">aumento </w:t>
      </w:r>
      <w:r w:rsidR="00240A87" w:rsidRPr="001160D6">
        <w:rPr>
          <w:lang w:val="es-AR"/>
        </w:rPr>
        <w:t>del consumo</w:t>
      </w:r>
      <w:r w:rsidR="00DB1F86" w:rsidRPr="001160D6">
        <w:rPr>
          <w:lang w:val="es-AR"/>
        </w:rPr>
        <w:t xml:space="preserve"> de</w:t>
      </w:r>
      <w:r w:rsidR="001769C5" w:rsidRPr="001160D6">
        <w:rPr>
          <w:lang w:val="es-AR"/>
        </w:rPr>
        <w:t>l</w:t>
      </w:r>
      <w:r w:rsidR="00DB1F86" w:rsidRPr="001160D6">
        <w:rPr>
          <w:lang w:val="es-AR"/>
        </w:rPr>
        <w:t xml:space="preserve"> HFC-23 en los países que no lo </w:t>
      </w:r>
      <w:r w:rsidR="002E0F2D" w:rsidRPr="001160D6">
        <w:rPr>
          <w:lang w:val="es-AR"/>
        </w:rPr>
        <w:t xml:space="preserve">consumen </w:t>
      </w:r>
      <w:r w:rsidR="00DB1F86" w:rsidRPr="001160D6">
        <w:rPr>
          <w:lang w:val="es-AR"/>
        </w:rPr>
        <w:t xml:space="preserve">actualmente, el Comité Ejecutivo </w:t>
      </w:r>
      <w:r w:rsidRPr="001160D6">
        <w:rPr>
          <w:u w:val="single"/>
          <w:lang w:val="es-AR"/>
        </w:rPr>
        <w:t>podría</w:t>
      </w:r>
      <w:r w:rsidR="002E0F2D" w:rsidRPr="001160D6">
        <w:rPr>
          <w:u w:val="single"/>
          <w:lang w:val="es-AR"/>
        </w:rPr>
        <w:t xml:space="preserve"> querer</w:t>
      </w:r>
      <w:r w:rsidR="00DB1F86" w:rsidRPr="001160D6">
        <w:rPr>
          <w:lang w:val="es-AR"/>
        </w:rPr>
        <w:t>:</w:t>
      </w:r>
    </w:p>
    <w:p w14:paraId="65CAB790" w14:textId="5B594F36" w:rsidR="00DB1F86" w:rsidRPr="001160D6" w:rsidRDefault="002E0F2D" w:rsidP="00DB1F86">
      <w:pPr>
        <w:pStyle w:val="Heading2"/>
        <w:rPr>
          <w:lang w:val="es-AR"/>
        </w:rPr>
      </w:pPr>
      <w:r w:rsidRPr="001160D6">
        <w:rPr>
          <w:lang w:val="es-AR"/>
        </w:rPr>
        <w:t xml:space="preserve">Alentar a </w:t>
      </w:r>
      <w:r w:rsidR="00DB1F86" w:rsidRPr="001160D6">
        <w:rPr>
          <w:lang w:val="es-AR"/>
        </w:rPr>
        <w:t xml:space="preserve">los países del </w:t>
      </w:r>
      <w:r w:rsidR="007120E8" w:rsidRPr="001160D6">
        <w:rPr>
          <w:lang w:val="es-AR"/>
        </w:rPr>
        <w:t>Artículo</w:t>
      </w:r>
      <w:r w:rsidR="00DB1F86" w:rsidRPr="001160D6">
        <w:rPr>
          <w:lang w:val="es-AR"/>
        </w:rPr>
        <w:t xml:space="preserve"> 5 que no </w:t>
      </w:r>
      <w:r w:rsidRPr="001160D6">
        <w:rPr>
          <w:lang w:val="es-AR"/>
        </w:rPr>
        <w:t xml:space="preserve">consumen </w:t>
      </w:r>
      <w:r w:rsidR="00DB1F86" w:rsidRPr="001160D6">
        <w:rPr>
          <w:lang w:val="es-AR"/>
        </w:rPr>
        <w:t xml:space="preserve">HFC-23 a considerar </w:t>
      </w:r>
      <w:r w:rsidRPr="001160D6">
        <w:rPr>
          <w:lang w:val="es-AR"/>
        </w:rPr>
        <w:t xml:space="preserve">el establecimiento de </w:t>
      </w:r>
      <w:r w:rsidR="00DB1F86" w:rsidRPr="001160D6">
        <w:rPr>
          <w:lang w:val="es-AR"/>
        </w:rPr>
        <w:t xml:space="preserve">medidas reguladoras para evitar su introducción </w:t>
      </w:r>
      <w:r w:rsidR="001769C5" w:rsidRPr="001160D6">
        <w:rPr>
          <w:lang w:val="es-AR"/>
        </w:rPr>
        <w:t>en e</w:t>
      </w:r>
      <w:r w:rsidR="00DB1F86" w:rsidRPr="001160D6">
        <w:rPr>
          <w:lang w:val="es-AR"/>
        </w:rPr>
        <w:t>l país; y</w:t>
      </w:r>
    </w:p>
    <w:p w14:paraId="2CF0F451" w14:textId="17FB0318" w:rsidR="00DB1F86" w:rsidRPr="001160D6" w:rsidRDefault="002E0F2D" w:rsidP="00DB1F86">
      <w:pPr>
        <w:pStyle w:val="Heading2"/>
        <w:rPr>
          <w:lang w:val="es-AR"/>
        </w:rPr>
      </w:pPr>
      <w:r w:rsidRPr="001160D6">
        <w:rPr>
          <w:lang w:val="es-AR"/>
        </w:rPr>
        <w:t xml:space="preserve">Alentar </w:t>
      </w:r>
      <w:r w:rsidR="00DB1F86" w:rsidRPr="001160D6">
        <w:rPr>
          <w:lang w:val="es-AR"/>
        </w:rPr>
        <w:t xml:space="preserve">a los países del </w:t>
      </w:r>
      <w:r w:rsidR="007120E8" w:rsidRPr="001160D6">
        <w:rPr>
          <w:lang w:val="es-AR"/>
        </w:rPr>
        <w:t>Artículo</w:t>
      </w:r>
      <w:r w:rsidR="00DB1F86" w:rsidRPr="001160D6">
        <w:rPr>
          <w:lang w:val="es-AR"/>
        </w:rPr>
        <w:t xml:space="preserve"> 5 que </w:t>
      </w:r>
      <w:r w:rsidRPr="001160D6">
        <w:rPr>
          <w:lang w:val="es-AR"/>
        </w:rPr>
        <w:t xml:space="preserve">informaron </w:t>
      </w:r>
      <w:r w:rsidR="00DB1F86" w:rsidRPr="001160D6">
        <w:rPr>
          <w:lang w:val="es-AR"/>
        </w:rPr>
        <w:t>el consumo de HFC-23 en</w:t>
      </w:r>
      <w:r w:rsidR="00CA59BE" w:rsidRPr="001160D6">
        <w:rPr>
          <w:lang w:val="es-AR"/>
        </w:rPr>
        <w:t xml:space="preserve"> la</w:t>
      </w:r>
      <w:r w:rsidR="00DB1F86" w:rsidRPr="001160D6">
        <w:rPr>
          <w:lang w:val="es-AR"/>
        </w:rPr>
        <w:t xml:space="preserve"> </w:t>
      </w:r>
      <w:r w:rsidRPr="001160D6">
        <w:rPr>
          <w:lang w:val="es-AR"/>
        </w:rPr>
        <w:t>extinción de incendios</w:t>
      </w:r>
      <w:r w:rsidR="00DB1F86" w:rsidRPr="001160D6">
        <w:rPr>
          <w:lang w:val="es-AR"/>
        </w:rPr>
        <w:t xml:space="preserve"> y otros usos </w:t>
      </w:r>
      <w:r w:rsidRPr="001160D6">
        <w:rPr>
          <w:lang w:val="es-AR"/>
        </w:rPr>
        <w:t>muy específicos</w:t>
      </w:r>
      <w:r w:rsidR="00DB1F86" w:rsidRPr="001160D6">
        <w:rPr>
          <w:lang w:val="es-AR"/>
        </w:rPr>
        <w:t xml:space="preserve">, que </w:t>
      </w:r>
      <w:r w:rsidRPr="001160D6">
        <w:rPr>
          <w:lang w:val="es-AR"/>
        </w:rPr>
        <w:t xml:space="preserve">aborden </w:t>
      </w:r>
      <w:r w:rsidR="00DB1F86" w:rsidRPr="001160D6">
        <w:rPr>
          <w:lang w:val="es-AR"/>
        </w:rPr>
        <w:t xml:space="preserve">ese consumo como prioridad en sus planes de </w:t>
      </w:r>
      <w:r w:rsidR="008820C8" w:rsidRPr="001160D6">
        <w:rPr>
          <w:lang w:val="es-AR"/>
        </w:rPr>
        <w:t>reducción</w:t>
      </w:r>
      <w:r w:rsidR="00DB1F86" w:rsidRPr="001160D6">
        <w:rPr>
          <w:lang w:val="es-AR"/>
        </w:rPr>
        <w:t xml:space="preserve">, </w:t>
      </w:r>
      <w:r w:rsidRPr="001160D6">
        <w:rPr>
          <w:lang w:val="es-AR"/>
        </w:rPr>
        <w:t xml:space="preserve">dado </w:t>
      </w:r>
      <w:r w:rsidR="00DB1F86" w:rsidRPr="001160D6">
        <w:rPr>
          <w:lang w:val="es-AR"/>
        </w:rPr>
        <w:t xml:space="preserve">el </w:t>
      </w:r>
      <w:r w:rsidRPr="001160D6">
        <w:rPr>
          <w:lang w:val="es-AR"/>
        </w:rPr>
        <w:t xml:space="preserve">muy alto </w:t>
      </w:r>
      <w:r w:rsidR="00DB1F86" w:rsidRPr="001160D6">
        <w:rPr>
          <w:lang w:val="es-AR"/>
        </w:rPr>
        <w:t>potencial de calentamiento atmosférico de</w:t>
      </w:r>
      <w:r w:rsidRPr="001160D6">
        <w:rPr>
          <w:lang w:val="es-AR"/>
        </w:rPr>
        <w:t>l</w:t>
      </w:r>
      <w:r w:rsidR="00DB1F86" w:rsidRPr="001160D6">
        <w:rPr>
          <w:lang w:val="es-AR"/>
        </w:rPr>
        <w:t xml:space="preserve"> </w:t>
      </w:r>
      <w:r w:rsidR="004D42DC">
        <w:rPr>
          <w:lang w:val="es-AR"/>
        </w:rPr>
        <w:br/>
      </w:r>
      <w:r w:rsidR="00DB1F86" w:rsidRPr="001160D6">
        <w:rPr>
          <w:lang w:val="es-AR"/>
        </w:rPr>
        <w:t>HFC-23.</w:t>
      </w:r>
    </w:p>
    <w:p w14:paraId="32D99B92" w14:textId="65CA8F3A" w:rsidR="00DB1F86" w:rsidRPr="001160D6" w:rsidRDefault="00DB1F86" w:rsidP="00DB1F86">
      <w:pPr>
        <w:widowControl w:val="0"/>
        <w:spacing w:after="240"/>
        <w:outlineLvl w:val="0"/>
        <w:rPr>
          <w:i/>
          <w:lang w:val="es-AR"/>
        </w:rPr>
      </w:pPr>
      <w:r w:rsidRPr="001160D6">
        <w:rPr>
          <w:i/>
          <w:lang w:val="es-AR"/>
        </w:rPr>
        <w:t xml:space="preserve">Resumen de sectores </w:t>
      </w:r>
      <w:r w:rsidR="00591FCB" w:rsidRPr="001160D6">
        <w:rPr>
          <w:i/>
          <w:lang w:val="es-AR"/>
        </w:rPr>
        <w:t>de fabricación</w:t>
      </w:r>
    </w:p>
    <w:p w14:paraId="61320934" w14:textId="75023A1B" w:rsidR="00DB1F86" w:rsidRPr="001160D6" w:rsidRDefault="00DB1F86" w:rsidP="00DB1F86">
      <w:pPr>
        <w:widowControl w:val="0"/>
        <w:numPr>
          <w:ilvl w:val="0"/>
          <w:numId w:val="1"/>
        </w:numPr>
        <w:spacing w:after="240"/>
        <w:outlineLvl w:val="0"/>
        <w:rPr>
          <w:lang w:val="es-AR"/>
        </w:rPr>
      </w:pPr>
      <w:r w:rsidRPr="001160D6">
        <w:rPr>
          <w:lang w:val="es-AR"/>
        </w:rPr>
        <w:t xml:space="preserve">El </w:t>
      </w:r>
      <w:r w:rsidR="00446359" w:rsidRPr="001160D6">
        <w:rPr>
          <w:lang w:val="es-AR"/>
        </w:rPr>
        <w:t>Anexo</w:t>
      </w:r>
      <w:r w:rsidRPr="001160D6">
        <w:rPr>
          <w:lang w:val="es-AR"/>
        </w:rPr>
        <w:t xml:space="preserve"> II </w:t>
      </w:r>
      <w:r w:rsidR="007120E8" w:rsidRPr="001160D6">
        <w:rPr>
          <w:lang w:val="es-AR"/>
        </w:rPr>
        <w:t>del presente documento</w:t>
      </w:r>
      <w:r w:rsidRPr="001160D6">
        <w:rPr>
          <w:lang w:val="es-AR"/>
        </w:rPr>
        <w:t xml:space="preserve"> contiene un </w:t>
      </w:r>
      <w:r w:rsidR="002F1329" w:rsidRPr="001160D6">
        <w:rPr>
          <w:lang w:val="es-AR"/>
        </w:rPr>
        <w:t xml:space="preserve">cuadro sinóptico </w:t>
      </w:r>
      <w:r w:rsidRPr="001160D6">
        <w:rPr>
          <w:lang w:val="es-AR"/>
        </w:rPr>
        <w:t xml:space="preserve">que </w:t>
      </w:r>
      <w:r w:rsidR="001769C5" w:rsidRPr="001160D6">
        <w:rPr>
          <w:lang w:val="es-AR"/>
        </w:rPr>
        <w:t xml:space="preserve">contiene </w:t>
      </w:r>
      <w:r w:rsidR="002F1329" w:rsidRPr="001160D6">
        <w:rPr>
          <w:lang w:val="es-AR"/>
        </w:rPr>
        <w:t xml:space="preserve">un panorama </w:t>
      </w:r>
      <w:r w:rsidRPr="001160D6">
        <w:rPr>
          <w:lang w:val="es-AR"/>
        </w:rPr>
        <w:t xml:space="preserve">de las modalidades de </w:t>
      </w:r>
      <w:r w:rsidR="007120E8" w:rsidRPr="001160D6">
        <w:rPr>
          <w:lang w:val="es-AR"/>
        </w:rPr>
        <w:t>ejecución</w:t>
      </w:r>
      <w:r w:rsidRPr="001160D6">
        <w:rPr>
          <w:lang w:val="es-AR"/>
        </w:rPr>
        <w:t xml:space="preserve"> </w:t>
      </w:r>
      <w:r w:rsidR="007120E8" w:rsidRPr="001160D6">
        <w:rPr>
          <w:lang w:val="es-AR"/>
        </w:rPr>
        <w:t>de</w:t>
      </w:r>
      <w:r w:rsidR="002F1329" w:rsidRPr="001160D6">
        <w:rPr>
          <w:lang w:val="es-AR"/>
        </w:rPr>
        <w:t xml:space="preserve"> los</w:t>
      </w:r>
      <w:r w:rsidR="007120E8" w:rsidRPr="001160D6">
        <w:rPr>
          <w:lang w:val="es-AR"/>
        </w:rPr>
        <w:t xml:space="preserve"> proyecto</w:t>
      </w:r>
      <w:r w:rsidRPr="001160D6">
        <w:rPr>
          <w:lang w:val="es-AR"/>
        </w:rPr>
        <w:t xml:space="preserve">s de inversión durante el período 2021-2030, sobre la base de la información disponible </w:t>
      </w:r>
      <w:r w:rsidR="007120E8" w:rsidRPr="001160D6">
        <w:rPr>
          <w:lang w:val="es-AR"/>
        </w:rPr>
        <w:t>hasta el momento</w:t>
      </w:r>
      <w:r w:rsidRPr="001160D6">
        <w:rPr>
          <w:lang w:val="es-AR"/>
        </w:rPr>
        <w:t xml:space="preserve">. Este análisis podría desarrollarse </w:t>
      </w:r>
      <w:r w:rsidR="002F1329" w:rsidRPr="001160D6">
        <w:rPr>
          <w:lang w:val="es-AR"/>
        </w:rPr>
        <w:t xml:space="preserve">a medida que se disponga de </w:t>
      </w:r>
      <w:r w:rsidRPr="001160D6">
        <w:rPr>
          <w:lang w:val="es-AR"/>
        </w:rPr>
        <w:t xml:space="preserve">más información </w:t>
      </w:r>
      <w:r w:rsidR="002F1329" w:rsidRPr="001160D6">
        <w:rPr>
          <w:lang w:val="es-AR"/>
        </w:rPr>
        <w:t>sobre e</w:t>
      </w:r>
      <w:r w:rsidR="00240A87" w:rsidRPr="001160D6">
        <w:rPr>
          <w:lang w:val="es-AR"/>
        </w:rPr>
        <w:t>l consumo</w:t>
      </w:r>
      <w:r w:rsidRPr="001160D6">
        <w:rPr>
          <w:lang w:val="es-AR"/>
        </w:rPr>
        <w:t xml:space="preserve"> de </w:t>
      </w:r>
      <w:r w:rsidR="00944DE1" w:rsidRPr="001160D6">
        <w:rPr>
          <w:lang w:val="es-AR"/>
        </w:rPr>
        <w:t>los HFC</w:t>
      </w:r>
      <w:r w:rsidRPr="001160D6">
        <w:rPr>
          <w:lang w:val="es-AR"/>
        </w:rPr>
        <w:t xml:space="preserve"> y la disponibilidad de alternativas en diversos sectores.</w:t>
      </w:r>
    </w:p>
    <w:p w14:paraId="5797EF93" w14:textId="55CB817C" w:rsidR="00DB1F86" w:rsidRPr="001160D6" w:rsidRDefault="00DB1F86" w:rsidP="00DB1F86">
      <w:pPr>
        <w:rPr>
          <w:b/>
          <w:lang w:val="es-AR"/>
        </w:rPr>
      </w:pPr>
      <w:r w:rsidRPr="001160D6">
        <w:rPr>
          <w:b/>
          <w:lang w:val="es-AR"/>
        </w:rPr>
        <w:t>Integra</w:t>
      </w:r>
      <w:r w:rsidR="002F1329" w:rsidRPr="001160D6">
        <w:rPr>
          <w:b/>
          <w:lang w:val="es-AR"/>
        </w:rPr>
        <w:t xml:space="preserve">ción de </w:t>
      </w:r>
      <w:r w:rsidR="001769C5" w:rsidRPr="001160D6">
        <w:rPr>
          <w:b/>
          <w:lang w:val="es-AR"/>
        </w:rPr>
        <w:t xml:space="preserve">la </w:t>
      </w:r>
      <w:r w:rsidR="002F1329" w:rsidRPr="001160D6">
        <w:rPr>
          <w:b/>
          <w:lang w:val="es-AR"/>
        </w:rPr>
        <w:t xml:space="preserve">eliminación de </w:t>
      </w:r>
      <w:r w:rsidR="007120E8" w:rsidRPr="001160D6">
        <w:rPr>
          <w:b/>
          <w:lang w:val="es-AR"/>
        </w:rPr>
        <w:t>los HCFC</w:t>
      </w:r>
      <w:r w:rsidRPr="001160D6">
        <w:rPr>
          <w:b/>
          <w:lang w:val="es-AR"/>
        </w:rPr>
        <w:t xml:space="preserve"> y </w:t>
      </w:r>
      <w:r w:rsidR="001769C5" w:rsidRPr="001160D6">
        <w:rPr>
          <w:b/>
          <w:lang w:val="es-AR"/>
        </w:rPr>
        <w:t xml:space="preserve">la </w:t>
      </w:r>
      <w:r w:rsidR="002300DB" w:rsidRPr="001160D6">
        <w:rPr>
          <w:b/>
          <w:lang w:val="es-AR"/>
        </w:rPr>
        <w:t>reducción de HFC</w:t>
      </w:r>
      <w:r w:rsidRPr="001160D6">
        <w:rPr>
          <w:b/>
          <w:lang w:val="es-AR"/>
        </w:rPr>
        <w:t xml:space="preserve"> en el </w:t>
      </w:r>
      <w:r w:rsidR="007120E8" w:rsidRPr="001160D6">
        <w:rPr>
          <w:b/>
          <w:lang w:val="es-AR"/>
        </w:rPr>
        <w:t xml:space="preserve">sector de </w:t>
      </w:r>
      <w:r w:rsidR="00C817F9" w:rsidRPr="001160D6">
        <w:rPr>
          <w:b/>
          <w:lang w:val="es-AR"/>
        </w:rPr>
        <w:t>servicios</w:t>
      </w:r>
      <w:r w:rsidR="002F1329" w:rsidRPr="001160D6">
        <w:rPr>
          <w:b/>
          <w:lang w:val="es-AR"/>
        </w:rPr>
        <w:t xml:space="preserve"> y mantenimiento</w:t>
      </w:r>
      <w:r w:rsidR="00C817F9" w:rsidRPr="001160D6">
        <w:rPr>
          <w:b/>
          <w:lang w:val="es-AR"/>
        </w:rPr>
        <w:t xml:space="preserve"> de equipos de refrigeración</w:t>
      </w:r>
    </w:p>
    <w:p w14:paraId="7ACEB284" w14:textId="77777777" w:rsidR="00DB1F86" w:rsidRPr="001160D6" w:rsidRDefault="00DB1F86" w:rsidP="00DB1F86">
      <w:pPr>
        <w:rPr>
          <w:lang w:val="es-AR"/>
        </w:rPr>
      </w:pPr>
    </w:p>
    <w:p w14:paraId="66A3632B" w14:textId="2AD90C7C" w:rsidR="00DB1F86" w:rsidRPr="001160D6" w:rsidRDefault="001769C5" w:rsidP="00DB1F86">
      <w:pPr>
        <w:pStyle w:val="Heading1"/>
        <w:rPr>
          <w:lang w:val="es-AR"/>
        </w:rPr>
      </w:pPr>
      <w:r w:rsidRPr="001160D6">
        <w:rPr>
          <w:lang w:val="es-AR"/>
        </w:rPr>
        <w:t xml:space="preserve">La mayoría de actividades ya ejecutadas por </w:t>
      </w:r>
      <w:r w:rsidR="00DB1F86" w:rsidRPr="001160D6">
        <w:rPr>
          <w:lang w:val="es-AR"/>
        </w:rPr>
        <w:t xml:space="preserve">los países del </w:t>
      </w:r>
      <w:r w:rsidR="007120E8" w:rsidRPr="001160D6">
        <w:rPr>
          <w:lang w:val="es-AR"/>
        </w:rPr>
        <w:t>Artículo</w:t>
      </w:r>
      <w:r w:rsidR="00DB1F86" w:rsidRPr="001160D6">
        <w:rPr>
          <w:lang w:val="es-AR"/>
        </w:rPr>
        <w:t xml:space="preserve"> 5 en el </w:t>
      </w:r>
      <w:r w:rsidR="007120E8" w:rsidRPr="001160D6">
        <w:rPr>
          <w:lang w:val="es-AR"/>
        </w:rPr>
        <w:t xml:space="preserve">sector de </w:t>
      </w:r>
      <w:r w:rsidR="00C817F9" w:rsidRPr="001160D6">
        <w:rPr>
          <w:lang w:val="es-AR"/>
        </w:rPr>
        <w:t>servicios</w:t>
      </w:r>
      <w:r w:rsidR="00A16F79" w:rsidRPr="001160D6">
        <w:rPr>
          <w:lang w:val="es-AR"/>
        </w:rPr>
        <w:t xml:space="preserve"> y mantenimiento</w:t>
      </w:r>
      <w:r w:rsidR="00C817F9" w:rsidRPr="001160D6">
        <w:rPr>
          <w:lang w:val="es-AR"/>
        </w:rPr>
        <w:t xml:space="preserve"> de equipos de refrigeración</w:t>
      </w:r>
      <w:r w:rsidR="00DB1F86" w:rsidRPr="001160D6">
        <w:rPr>
          <w:rStyle w:val="FootnoteReference"/>
          <w:lang w:val="es-AR"/>
        </w:rPr>
        <w:footnoteReference w:id="32"/>
      </w:r>
      <w:r w:rsidR="00DB1F86" w:rsidRPr="001160D6">
        <w:rPr>
          <w:lang w:val="es-AR"/>
        </w:rPr>
        <w:t xml:space="preserve"> </w:t>
      </w:r>
      <w:r w:rsidR="00A16F79" w:rsidRPr="001160D6">
        <w:rPr>
          <w:lang w:val="es-AR"/>
        </w:rPr>
        <w:t xml:space="preserve">repercutirá </w:t>
      </w:r>
      <w:r w:rsidR="00DB1F86" w:rsidRPr="001160D6">
        <w:rPr>
          <w:lang w:val="es-AR"/>
        </w:rPr>
        <w:t xml:space="preserve">en la reducción del consumo de </w:t>
      </w:r>
      <w:r w:rsidR="007120E8" w:rsidRPr="001160D6">
        <w:rPr>
          <w:lang w:val="es-AR"/>
        </w:rPr>
        <w:t>los HCFC</w:t>
      </w:r>
      <w:r w:rsidR="00DB1F86" w:rsidRPr="001160D6">
        <w:rPr>
          <w:lang w:val="es-AR"/>
        </w:rPr>
        <w:t xml:space="preserve"> y </w:t>
      </w:r>
      <w:r w:rsidR="00944DE1" w:rsidRPr="001160D6">
        <w:rPr>
          <w:lang w:val="es-AR"/>
        </w:rPr>
        <w:t>HFC</w:t>
      </w:r>
      <w:r w:rsidR="00DB1F86" w:rsidRPr="001160D6">
        <w:rPr>
          <w:lang w:val="es-AR"/>
        </w:rPr>
        <w:t xml:space="preserve">. Los </w:t>
      </w:r>
      <w:r w:rsidR="00FF4D54" w:rsidRPr="001160D6">
        <w:rPr>
          <w:lang w:val="es-AR"/>
        </w:rPr>
        <w:t>calendario</w:t>
      </w:r>
      <w:r w:rsidR="00A16F79" w:rsidRPr="001160D6">
        <w:rPr>
          <w:lang w:val="es-AR"/>
        </w:rPr>
        <w:t>s</w:t>
      </w:r>
      <w:r w:rsidR="00DB1F86" w:rsidRPr="001160D6">
        <w:rPr>
          <w:lang w:val="es-AR"/>
        </w:rPr>
        <w:t xml:space="preserve"> traslapados de </w:t>
      </w:r>
      <w:r w:rsidR="001D29D0" w:rsidRPr="001160D6">
        <w:rPr>
          <w:lang w:val="es-AR"/>
        </w:rPr>
        <w:t>eliminación de HCFC</w:t>
      </w:r>
      <w:r w:rsidR="00DB1F86" w:rsidRPr="001160D6">
        <w:rPr>
          <w:lang w:val="es-AR"/>
        </w:rPr>
        <w:t xml:space="preserve"> y </w:t>
      </w:r>
      <w:r w:rsidR="002300DB" w:rsidRPr="001160D6">
        <w:rPr>
          <w:lang w:val="es-AR"/>
        </w:rPr>
        <w:t>reducción de HFC</w:t>
      </w:r>
      <w:r w:rsidR="00DB1F86" w:rsidRPr="001160D6">
        <w:rPr>
          <w:lang w:val="es-AR"/>
        </w:rPr>
        <w:t xml:space="preserve"> presenta</w:t>
      </w:r>
      <w:r w:rsidRPr="001160D6">
        <w:rPr>
          <w:lang w:val="es-AR"/>
        </w:rPr>
        <w:t>n</w:t>
      </w:r>
      <w:r w:rsidR="00DB1F86" w:rsidRPr="001160D6">
        <w:rPr>
          <w:lang w:val="es-AR"/>
        </w:rPr>
        <w:t xml:space="preserve"> una </w:t>
      </w:r>
      <w:r w:rsidR="00A16F79" w:rsidRPr="001160D6">
        <w:rPr>
          <w:lang w:val="es-AR"/>
        </w:rPr>
        <w:t>oportunidad</w:t>
      </w:r>
      <w:r w:rsidR="00DB1F86" w:rsidRPr="001160D6">
        <w:rPr>
          <w:lang w:val="es-AR"/>
        </w:rPr>
        <w:t xml:space="preserve"> para que los países del </w:t>
      </w:r>
      <w:r w:rsidR="007120E8" w:rsidRPr="001160D6">
        <w:rPr>
          <w:lang w:val="es-AR"/>
        </w:rPr>
        <w:t>Artículo</w:t>
      </w:r>
      <w:r w:rsidR="00DB1F86" w:rsidRPr="001160D6">
        <w:rPr>
          <w:lang w:val="es-AR"/>
        </w:rPr>
        <w:t xml:space="preserve"> 5 desarrollen una estrategia </w:t>
      </w:r>
      <w:r w:rsidR="00A16F79" w:rsidRPr="001160D6">
        <w:rPr>
          <w:lang w:val="es-AR"/>
        </w:rPr>
        <w:t xml:space="preserve">integrada y </w:t>
      </w:r>
      <w:r w:rsidR="00DB1F86" w:rsidRPr="001160D6">
        <w:rPr>
          <w:lang w:val="es-AR"/>
        </w:rPr>
        <w:t xml:space="preserve">eficaz en función de los costos que </w:t>
      </w:r>
      <w:r w:rsidR="00A16F79" w:rsidRPr="001160D6">
        <w:rPr>
          <w:lang w:val="es-AR"/>
        </w:rPr>
        <w:t xml:space="preserve">aborde </w:t>
      </w:r>
      <w:r w:rsidR="00DB1F86" w:rsidRPr="001160D6">
        <w:rPr>
          <w:lang w:val="es-AR"/>
        </w:rPr>
        <w:t xml:space="preserve">la reducción de ambos grupos de sustancias en el </w:t>
      </w:r>
      <w:r w:rsidR="007120E8" w:rsidRPr="001160D6">
        <w:rPr>
          <w:lang w:val="es-AR"/>
        </w:rPr>
        <w:t xml:space="preserve">sector de </w:t>
      </w:r>
      <w:r w:rsidR="00C817F9" w:rsidRPr="001160D6">
        <w:rPr>
          <w:lang w:val="es-AR"/>
        </w:rPr>
        <w:t>servicios</w:t>
      </w:r>
      <w:r w:rsidR="00A16F79" w:rsidRPr="001160D6">
        <w:rPr>
          <w:lang w:val="es-AR"/>
        </w:rPr>
        <w:t xml:space="preserve"> y mantenimiento</w:t>
      </w:r>
      <w:r w:rsidR="00C817F9" w:rsidRPr="001160D6">
        <w:rPr>
          <w:lang w:val="es-AR"/>
        </w:rPr>
        <w:t xml:space="preserve"> de equipos de refrigeración</w:t>
      </w:r>
      <w:r w:rsidR="00DB1F86" w:rsidRPr="001160D6">
        <w:rPr>
          <w:lang w:val="es-AR"/>
        </w:rPr>
        <w:t xml:space="preserve">, </w:t>
      </w:r>
      <w:r w:rsidRPr="001160D6">
        <w:rPr>
          <w:lang w:val="es-AR"/>
        </w:rPr>
        <w:t xml:space="preserve">lo que </w:t>
      </w:r>
      <w:r w:rsidR="00DB1F86" w:rsidRPr="001160D6">
        <w:rPr>
          <w:lang w:val="es-AR"/>
        </w:rPr>
        <w:t>exigiría, entre otras cosas:</w:t>
      </w:r>
      <w:r w:rsidR="00DB1F86" w:rsidRPr="001160D6">
        <w:rPr>
          <w:rStyle w:val="FootnoteReference"/>
          <w:lang w:val="es-AR"/>
        </w:rPr>
        <w:footnoteReference w:id="33"/>
      </w:r>
    </w:p>
    <w:p w14:paraId="25205425" w14:textId="3E3A33D1" w:rsidR="00DB1F86" w:rsidRPr="001160D6" w:rsidRDefault="00DB1F86" w:rsidP="00DB1F86">
      <w:pPr>
        <w:pStyle w:val="Heading2"/>
        <w:rPr>
          <w:lang w:val="es-AR"/>
        </w:rPr>
      </w:pPr>
      <w:r w:rsidRPr="001160D6">
        <w:rPr>
          <w:lang w:val="es-AR"/>
        </w:rPr>
        <w:t>Desarroll</w:t>
      </w:r>
      <w:r w:rsidR="00A16F79" w:rsidRPr="001160D6">
        <w:rPr>
          <w:lang w:val="es-AR"/>
        </w:rPr>
        <w:t>o</w:t>
      </w:r>
      <w:r w:rsidRPr="001160D6">
        <w:rPr>
          <w:lang w:val="es-AR"/>
        </w:rPr>
        <w:t>, revis</w:t>
      </w:r>
      <w:r w:rsidR="00A16F79" w:rsidRPr="001160D6">
        <w:rPr>
          <w:lang w:val="es-AR"/>
        </w:rPr>
        <w:t>ión o adopción de estándares</w:t>
      </w:r>
      <w:r w:rsidRPr="001160D6">
        <w:rPr>
          <w:lang w:val="es-AR"/>
        </w:rPr>
        <w:t xml:space="preserve">, códigos y normas que podrían facilitar la adopción, </w:t>
      </w:r>
      <w:r w:rsidR="001769C5" w:rsidRPr="001160D6">
        <w:rPr>
          <w:lang w:val="es-AR"/>
        </w:rPr>
        <w:t xml:space="preserve">la </w:t>
      </w:r>
      <w:r w:rsidRPr="001160D6">
        <w:rPr>
          <w:lang w:val="es-AR"/>
        </w:rPr>
        <w:t xml:space="preserve">operación y el </w:t>
      </w:r>
      <w:r w:rsidR="00A16F79" w:rsidRPr="001160D6">
        <w:rPr>
          <w:lang w:val="es-AR"/>
        </w:rPr>
        <w:t xml:space="preserve">servicio y </w:t>
      </w:r>
      <w:r w:rsidRPr="001160D6">
        <w:rPr>
          <w:lang w:val="es-AR"/>
        </w:rPr>
        <w:t xml:space="preserve">mantenimiento de tecnologías de refrigeración basadas en refrigerantes </w:t>
      </w:r>
      <w:r w:rsidR="005826BD" w:rsidRPr="001160D6">
        <w:rPr>
          <w:lang w:val="es-AR"/>
        </w:rPr>
        <w:t>con bajo potencial de calentamiento atmosférico</w:t>
      </w:r>
      <w:r w:rsidRPr="001160D6">
        <w:rPr>
          <w:lang w:val="es-AR"/>
        </w:rPr>
        <w:t>;</w:t>
      </w:r>
    </w:p>
    <w:p w14:paraId="6448DC04" w14:textId="230F3BEF" w:rsidR="00DB1F86" w:rsidRPr="001160D6" w:rsidRDefault="002F7DF6" w:rsidP="00DB1F86">
      <w:pPr>
        <w:pStyle w:val="Heading2"/>
        <w:rPr>
          <w:lang w:val="es-AR"/>
        </w:rPr>
      </w:pPr>
      <w:r w:rsidRPr="001160D6">
        <w:rPr>
          <w:lang w:val="es-AR"/>
        </w:rPr>
        <w:t xml:space="preserve">Fortalecimiento </w:t>
      </w:r>
      <w:r w:rsidR="00DB1F86" w:rsidRPr="001160D6">
        <w:rPr>
          <w:lang w:val="es-AR"/>
        </w:rPr>
        <w:t xml:space="preserve">de marcos reglamentarios para la gestión </w:t>
      </w:r>
      <w:r w:rsidRPr="001160D6">
        <w:rPr>
          <w:lang w:val="es-AR"/>
        </w:rPr>
        <w:t xml:space="preserve">de </w:t>
      </w:r>
      <w:r w:rsidR="00DB1F86" w:rsidRPr="001160D6">
        <w:rPr>
          <w:lang w:val="es-AR"/>
        </w:rPr>
        <w:t>refrigerante</w:t>
      </w:r>
      <w:r w:rsidRPr="001160D6">
        <w:rPr>
          <w:lang w:val="es-AR"/>
        </w:rPr>
        <w:t>s,</w:t>
      </w:r>
      <w:r w:rsidR="00DB1F86" w:rsidRPr="001160D6">
        <w:rPr>
          <w:lang w:val="es-AR"/>
        </w:rPr>
        <w:t xml:space="preserve"> entre otras cosas</w:t>
      </w:r>
      <w:r w:rsidRPr="001160D6">
        <w:rPr>
          <w:i/>
          <w:lang w:val="es-AR"/>
        </w:rPr>
        <w:t xml:space="preserve">, </w:t>
      </w:r>
      <w:r w:rsidRPr="001160D6">
        <w:rPr>
          <w:lang w:val="es-AR"/>
        </w:rPr>
        <w:t>mediante</w:t>
      </w:r>
      <w:r w:rsidR="00DB1F86" w:rsidRPr="001160D6">
        <w:rPr>
          <w:i/>
          <w:lang w:val="es-AR"/>
        </w:rPr>
        <w:t xml:space="preserve"> </w:t>
      </w:r>
      <w:r w:rsidR="00DB1F86" w:rsidRPr="001160D6">
        <w:rPr>
          <w:lang w:val="es-AR"/>
        </w:rPr>
        <w:t xml:space="preserve">la </w:t>
      </w:r>
      <w:r w:rsidR="007120E8" w:rsidRPr="001160D6">
        <w:rPr>
          <w:lang w:val="es-AR"/>
        </w:rPr>
        <w:t>acreditación</w:t>
      </w:r>
      <w:r w:rsidR="00DB1F86" w:rsidRPr="001160D6">
        <w:rPr>
          <w:lang w:val="es-AR"/>
        </w:rPr>
        <w:t xml:space="preserve"> de técnicos; acceso a </w:t>
      </w:r>
      <w:r w:rsidRPr="001160D6">
        <w:rPr>
          <w:lang w:val="es-AR"/>
        </w:rPr>
        <w:t xml:space="preserve">la compra/venta de </w:t>
      </w:r>
      <w:r w:rsidR="00DB1F86" w:rsidRPr="001160D6">
        <w:rPr>
          <w:lang w:val="es-AR"/>
        </w:rPr>
        <w:t xml:space="preserve">refrigerantes </w:t>
      </w:r>
      <w:r w:rsidRPr="001160D6">
        <w:rPr>
          <w:lang w:val="es-AR"/>
        </w:rPr>
        <w:t xml:space="preserve">por </w:t>
      </w:r>
      <w:r w:rsidR="00DB1F86" w:rsidRPr="001160D6">
        <w:rPr>
          <w:lang w:val="es-AR"/>
        </w:rPr>
        <w:t xml:space="preserve">técnicos </w:t>
      </w:r>
      <w:r w:rsidRPr="001160D6">
        <w:rPr>
          <w:lang w:val="es-AR"/>
        </w:rPr>
        <w:t>capacitados</w:t>
      </w:r>
      <w:r w:rsidR="00DB1F86" w:rsidRPr="001160D6">
        <w:rPr>
          <w:lang w:val="es-AR"/>
        </w:rPr>
        <w:t>/</w:t>
      </w:r>
      <w:r w:rsidRPr="001160D6">
        <w:rPr>
          <w:lang w:val="es-AR"/>
        </w:rPr>
        <w:t>acreditados</w:t>
      </w:r>
      <w:r w:rsidR="00DB1F86" w:rsidRPr="001160D6">
        <w:rPr>
          <w:lang w:val="es-AR"/>
        </w:rPr>
        <w:t xml:space="preserve">, </w:t>
      </w:r>
      <w:r w:rsidRPr="001160D6">
        <w:rPr>
          <w:lang w:val="es-AR"/>
        </w:rPr>
        <w:t xml:space="preserve">concesión de licencias para servicios a </w:t>
      </w:r>
      <w:r w:rsidR="00DB1F86" w:rsidRPr="001160D6">
        <w:rPr>
          <w:lang w:val="es-AR"/>
        </w:rPr>
        <w:t xml:space="preserve">empresas/ talleres; etiquetado de refrigerantes, </w:t>
      </w:r>
      <w:r w:rsidRPr="001160D6">
        <w:rPr>
          <w:lang w:val="es-AR"/>
        </w:rPr>
        <w:t>mantenimiento de registros</w:t>
      </w:r>
      <w:r w:rsidR="00DB1F86" w:rsidRPr="001160D6">
        <w:rPr>
          <w:lang w:val="es-AR"/>
        </w:rPr>
        <w:t xml:space="preserve">, supervisión y </w:t>
      </w:r>
      <w:r w:rsidRPr="001160D6">
        <w:rPr>
          <w:lang w:val="es-AR"/>
        </w:rPr>
        <w:t xml:space="preserve">presentación de </w:t>
      </w:r>
      <w:r w:rsidR="00DB1F86" w:rsidRPr="001160D6">
        <w:rPr>
          <w:lang w:val="es-AR"/>
        </w:rPr>
        <w:t xml:space="preserve">información; y </w:t>
      </w:r>
      <w:r w:rsidRPr="001160D6">
        <w:rPr>
          <w:lang w:val="es-AR"/>
        </w:rPr>
        <w:t xml:space="preserve">creación </w:t>
      </w:r>
      <w:r w:rsidR="00DB1F86" w:rsidRPr="001160D6">
        <w:rPr>
          <w:lang w:val="es-AR"/>
        </w:rPr>
        <w:t xml:space="preserve">de capacidad para autoridades y </w:t>
      </w:r>
      <w:r w:rsidR="007120E8" w:rsidRPr="001160D6">
        <w:rPr>
          <w:lang w:val="es-AR"/>
        </w:rPr>
        <w:t>partes interesadas</w:t>
      </w:r>
      <w:r w:rsidR="00DB1F86" w:rsidRPr="001160D6">
        <w:rPr>
          <w:lang w:val="es-AR"/>
        </w:rPr>
        <w:t xml:space="preserve">; </w:t>
      </w:r>
    </w:p>
    <w:p w14:paraId="5A2D77B8" w14:textId="709EB1D6" w:rsidR="00DB1F86" w:rsidRPr="001160D6" w:rsidRDefault="00DB1F86" w:rsidP="00DB1F86">
      <w:pPr>
        <w:pStyle w:val="Heading2"/>
        <w:rPr>
          <w:lang w:val="es-AR"/>
        </w:rPr>
      </w:pPr>
      <w:r w:rsidRPr="001160D6">
        <w:rPr>
          <w:lang w:val="es-AR"/>
        </w:rPr>
        <w:t>Revis</w:t>
      </w:r>
      <w:r w:rsidR="002F7DF6" w:rsidRPr="001160D6">
        <w:rPr>
          <w:lang w:val="es-AR"/>
        </w:rPr>
        <w:t xml:space="preserve">ión y actualización </w:t>
      </w:r>
      <w:r w:rsidRPr="001160D6">
        <w:rPr>
          <w:lang w:val="es-AR"/>
        </w:rPr>
        <w:t>periódica</w:t>
      </w:r>
      <w:r w:rsidR="002F7DF6" w:rsidRPr="001160D6">
        <w:rPr>
          <w:lang w:val="es-AR"/>
        </w:rPr>
        <w:t xml:space="preserve"> de</w:t>
      </w:r>
      <w:r w:rsidRPr="001160D6">
        <w:rPr>
          <w:lang w:val="es-AR"/>
        </w:rPr>
        <w:t xml:space="preserve"> los planes de estudios de los programas de </w:t>
      </w:r>
      <w:r w:rsidR="00FF4D54" w:rsidRPr="001160D6">
        <w:rPr>
          <w:lang w:val="es-AR"/>
        </w:rPr>
        <w:t>capacitación</w:t>
      </w:r>
      <w:r w:rsidRPr="001160D6">
        <w:rPr>
          <w:lang w:val="es-AR"/>
        </w:rPr>
        <w:t xml:space="preserve"> para </w:t>
      </w:r>
      <w:r w:rsidR="00086F71" w:rsidRPr="001160D6">
        <w:rPr>
          <w:lang w:val="es-AR"/>
        </w:rPr>
        <w:t xml:space="preserve">oficiales de </w:t>
      </w:r>
      <w:r w:rsidRPr="001160D6">
        <w:rPr>
          <w:lang w:val="es-AR"/>
        </w:rPr>
        <w:t xml:space="preserve">aduanas y </w:t>
      </w:r>
      <w:r w:rsidR="007120E8" w:rsidRPr="001160D6">
        <w:rPr>
          <w:lang w:val="es-AR"/>
        </w:rPr>
        <w:t>responsables de aplicar las reglamentaciones</w:t>
      </w:r>
      <w:r w:rsidRPr="001160D6">
        <w:rPr>
          <w:lang w:val="es-AR"/>
        </w:rPr>
        <w:t xml:space="preserve"> </w:t>
      </w:r>
      <w:r w:rsidR="00086F71" w:rsidRPr="001160D6">
        <w:rPr>
          <w:lang w:val="es-AR"/>
        </w:rPr>
        <w:t xml:space="preserve">relativas a </w:t>
      </w:r>
      <w:r w:rsidRPr="001160D6">
        <w:rPr>
          <w:lang w:val="es-AR"/>
        </w:rPr>
        <w:t xml:space="preserve">las obligaciones </w:t>
      </w:r>
      <w:r w:rsidR="002300DB" w:rsidRPr="001160D6">
        <w:rPr>
          <w:lang w:val="es-AR"/>
        </w:rPr>
        <w:t>bajo el Protocolo</w:t>
      </w:r>
      <w:r w:rsidRPr="001160D6">
        <w:rPr>
          <w:lang w:val="es-AR"/>
        </w:rPr>
        <w:t xml:space="preserve"> de Montreal</w:t>
      </w:r>
      <w:r w:rsidR="002F7DF6" w:rsidRPr="001160D6">
        <w:rPr>
          <w:lang w:val="es-AR"/>
        </w:rPr>
        <w:t>,</w:t>
      </w:r>
      <w:r w:rsidRPr="001160D6">
        <w:rPr>
          <w:lang w:val="es-AR"/>
        </w:rPr>
        <w:t xml:space="preserve"> </w:t>
      </w:r>
      <w:r w:rsidR="00FF4D54" w:rsidRPr="001160D6">
        <w:rPr>
          <w:lang w:val="es-AR"/>
        </w:rPr>
        <w:t>inclu</w:t>
      </w:r>
      <w:r w:rsidR="002F7DF6" w:rsidRPr="001160D6">
        <w:rPr>
          <w:lang w:val="es-AR"/>
        </w:rPr>
        <w:t xml:space="preserve">ido </w:t>
      </w:r>
      <w:r w:rsidRPr="001160D6">
        <w:rPr>
          <w:lang w:val="es-AR"/>
        </w:rPr>
        <w:t xml:space="preserve">su </w:t>
      </w:r>
      <w:r w:rsidR="00FF4D54" w:rsidRPr="001160D6">
        <w:rPr>
          <w:lang w:val="es-AR"/>
        </w:rPr>
        <w:t>Enmienda</w:t>
      </w:r>
      <w:r w:rsidRPr="001160D6">
        <w:rPr>
          <w:lang w:val="es-AR"/>
        </w:rPr>
        <w:t xml:space="preserve"> de Kigali; </w:t>
      </w:r>
    </w:p>
    <w:p w14:paraId="1D56A7C3" w14:textId="45E9E0AE" w:rsidR="00DB1F86" w:rsidRPr="001160D6" w:rsidRDefault="002F7DF6" w:rsidP="00DB1F86">
      <w:pPr>
        <w:pStyle w:val="Heading2"/>
        <w:rPr>
          <w:lang w:val="es-AR"/>
        </w:rPr>
      </w:pPr>
      <w:r w:rsidRPr="001160D6">
        <w:rPr>
          <w:lang w:val="es-AR"/>
        </w:rPr>
        <w:lastRenderedPageBreak/>
        <w:t xml:space="preserve">Fortalecimiento de </w:t>
      </w:r>
      <w:r w:rsidR="00DB1F86" w:rsidRPr="001160D6">
        <w:rPr>
          <w:lang w:val="es-AR"/>
        </w:rPr>
        <w:t>la capacidad de los sistemas de formación profesional y órgano</w:t>
      </w:r>
      <w:r w:rsidR="00D3145F" w:rsidRPr="001160D6">
        <w:rPr>
          <w:lang w:val="es-AR"/>
        </w:rPr>
        <w:t>s</w:t>
      </w:r>
      <w:r w:rsidR="00DB1F86" w:rsidRPr="001160D6">
        <w:rPr>
          <w:lang w:val="es-AR"/>
        </w:rPr>
        <w:t xml:space="preserve"> de </w:t>
      </w:r>
      <w:r w:rsidR="007120E8" w:rsidRPr="001160D6">
        <w:rPr>
          <w:lang w:val="es-AR"/>
        </w:rPr>
        <w:t>acreditación</w:t>
      </w:r>
      <w:r w:rsidR="00CA59BE" w:rsidRPr="001160D6">
        <w:rPr>
          <w:lang w:val="es-AR"/>
        </w:rPr>
        <w:t>,</w:t>
      </w:r>
      <w:r w:rsidR="00DB1F86" w:rsidRPr="001160D6">
        <w:rPr>
          <w:lang w:val="es-AR"/>
        </w:rPr>
        <w:t xml:space="preserve"> </w:t>
      </w:r>
      <w:r w:rsidR="00D3145F" w:rsidRPr="001160D6">
        <w:rPr>
          <w:lang w:val="es-AR"/>
        </w:rPr>
        <w:t xml:space="preserve">mediante la revisión </w:t>
      </w:r>
      <w:r w:rsidR="00DB1F86" w:rsidRPr="001160D6">
        <w:rPr>
          <w:lang w:val="es-AR"/>
        </w:rPr>
        <w:t>periódica</w:t>
      </w:r>
      <w:r w:rsidR="00D3145F" w:rsidRPr="001160D6">
        <w:rPr>
          <w:lang w:val="es-AR"/>
        </w:rPr>
        <w:t xml:space="preserve"> de</w:t>
      </w:r>
      <w:r w:rsidR="00DB1F86" w:rsidRPr="001160D6">
        <w:rPr>
          <w:lang w:val="es-AR"/>
        </w:rPr>
        <w:t xml:space="preserve"> los planes de estudios de los programas de </w:t>
      </w:r>
      <w:r w:rsidR="00FF4D54" w:rsidRPr="001160D6">
        <w:rPr>
          <w:lang w:val="es-AR"/>
        </w:rPr>
        <w:t>capacitación</w:t>
      </w:r>
      <w:r w:rsidR="00CA59BE" w:rsidRPr="001160D6">
        <w:rPr>
          <w:lang w:val="es-AR"/>
        </w:rPr>
        <w:t>,</w:t>
      </w:r>
      <w:r w:rsidR="00DB1F86" w:rsidRPr="001160D6">
        <w:rPr>
          <w:lang w:val="es-AR"/>
        </w:rPr>
        <w:t xml:space="preserve"> para </w:t>
      </w:r>
      <w:r w:rsidR="00D3145F" w:rsidRPr="001160D6">
        <w:rPr>
          <w:lang w:val="es-AR"/>
        </w:rPr>
        <w:t xml:space="preserve">tratar la cuestión de </w:t>
      </w:r>
      <w:r w:rsidR="007120E8" w:rsidRPr="001160D6">
        <w:rPr>
          <w:lang w:val="es-AR"/>
        </w:rPr>
        <w:t>prácticas idóneas</w:t>
      </w:r>
      <w:r w:rsidR="00DB1F86" w:rsidRPr="001160D6">
        <w:rPr>
          <w:lang w:val="es-AR"/>
        </w:rPr>
        <w:t xml:space="preserve"> y las cuestiones de seguridad de </w:t>
      </w:r>
      <w:r w:rsidR="00D3145F" w:rsidRPr="001160D6">
        <w:rPr>
          <w:lang w:val="es-AR"/>
        </w:rPr>
        <w:t xml:space="preserve">servicio y </w:t>
      </w:r>
      <w:r w:rsidR="00DB1F86" w:rsidRPr="001160D6">
        <w:rPr>
          <w:lang w:val="es-AR"/>
        </w:rPr>
        <w:t xml:space="preserve">mantenimiento relacionadas con la inflamabilidad y/o la toxicidad de los refrigerantes que </w:t>
      </w:r>
      <w:r w:rsidR="00D3145F" w:rsidRPr="001160D6">
        <w:rPr>
          <w:lang w:val="es-AR"/>
        </w:rPr>
        <w:t>se agregan</w:t>
      </w:r>
      <w:r w:rsidR="00DB1F86" w:rsidRPr="001160D6">
        <w:rPr>
          <w:lang w:val="es-AR"/>
        </w:rPr>
        <w:t xml:space="preserve">; </w:t>
      </w:r>
    </w:p>
    <w:p w14:paraId="206E961E" w14:textId="26492E43" w:rsidR="00DB1F86" w:rsidRPr="001160D6" w:rsidRDefault="00DB1F86" w:rsidP="00DB1F86">
      <w:pPr>
        <w:pStyle w:val="Heading2"/>
        <w:widowControl/>
        <w:rPr>
          <w:lang w:val="es-AR"/>
        </w:rPr>
      </w:pPr>
      <w:r w:rsidRPr="001160D6">
        <w:rPr>
          <w:lang w:val="es-AR"/>
        </w:rPr>
        <w:t>Desarroll</w:t>
      </w:r>
      <w:r w:rsidR="00D3145F" w:rsidRPr="001160D6">
        <w:rPr>
          <w:lang w:val="es-AR"/>
        </w:rPr>
        <w:t>o</w:t>
      </w:r>
      <w:r w:rsidRPr="001160D6">
        <w:rPr>
          <w:lang w:val="es-AR"/>
        </w:rPr>
        <w:t xml:space="preserve"> o </w:t>
      </w:r>
      <w:r w:rsidR="00D3145F" w:rsidRPr="001160D6">
        <w:rPr>
          <w:lang w:val="es-AR"/>
        </w:rPr>
        <w:t xml:space="preserve">fortalecimiento de </w:t>
      </w:r>
      <w:r w:rsidRPr="001160D6">
        <w:rPr>
          <w:lang w:val="es-AR"/>
        </w:rPr>
        <w:t>estrategias autónomas de confinamiento de refrigerante</w:t>
      </w:r>
      <w:r w:rsidR="00D3145F" w:rsidRPr="001160D6">
        <w:rPr>
          <w:lang w:val="es-AR"/>
        </w:rPr>
        <w:t>s</w:t>
      </w:r>
      <w:r w:rsidRPr="001160D6">
        <w:rPr>
          <w:lang w:val="es-AR"/>
        </w:rPr>
        <w:t xml:space="preserve"> para asegurar que</w:t>
      </w:r>
      <w:r w:rsidR="0056197B" w:rsidRPr="001160D6">
        <w:rPr>
          <w:lang w:val="es-AR"/>
        </w:rPr>
        <w:t xml:space="preserve"> los equipos </w:t>
      </w:r>
      <w:r w:rsidR="00FF4D54" w:rsidRPr="001160D6">
        <w:rPr>
          <w:lang w:val="es-AR"/>
        </w:rPr>
        <w:t>de refrigeración</w:t>
      </w:r>
      <w:r w:rsidRPr="001160D6">
        <w:rPr>
          <w:lang w:val="es-AR"/>
        </w:rPr>
        <w:t xml:space="preserve"> instalado</w:t>
      </w:r>
      <w:r w:rsidR="00D3145F" w:rsidRPr="001160D6">
        <w:rPr>
          <w:lang w:val="es-AR"/>
        </w:rPr>
        <w:t>s</w:t>
      </w:r>
      <w:r w:rsidRPr="001160D6">
        <w:rPr>
          <w:lang w:val="es-AR"/>
        </w:rPr>
        <w:t xml:space="preserve"> pued</w:t>
      </w:r>
      <w:r w:rsidR="00086F71" w:rsidRPr="001160D6">
        <w:rPr>
          <w:lang w:val="es-AR"/>
        </w:rPr>
        <w:t>a</w:t>
      </w:r>
      <w:r w:rsidR="00D3145F" w:rsidRPr="001160D6">
        <w:rPr>
          <w:lang w:val="es-AR"/>
        </w:rPr>
        <w:t>n</w:t>
      </w:r>
      <w:r w:rsidRPr="001160D6">
        <w:rPr>
          <w:lang w:val="es-AR"/>
        </w:rPr>
        <w:t xml:space="preserve"> </w:t>
      </w:r>
      <w:r w:rsidR="00D3145F" w:rsidRPr="001160D6">
        <w:rPr>
          <w:lang w:val="es-AR"/>
        </w:rPr>
        <w:t xml:space="preserve">seguir funcionando </w:t>
      </w:r>
      <w:r w:rsidRPr="001160D6">
        <w:rPr>
          <w:lang w:val="es-AR"/>
        </w:rPr>
        <w:t xml:space="preserve">hasta </w:t>
      </w:r>
      <w:r w:rsidR="00D3145F" w:rsidRPr="001160D6">
        <w:rPr>
          <w:lang w:val="es-AR"/>
        </w:rPr>
        <w:t xml:space="preserve">el final de </w:t>
      </w:r>
      <w:r w:rsidR="00086F71" w:rsidRPr="001160D6">
        <w:rPr>
          <w:lang w:val="es-AR"/>
        </w:rPr>
        <w:t>su</w:t>
      </w:r>
      <w:r w:rsidR="00D3145F" w:rsidRPr="001160D6">
        <w:rPr>
          <w:lang w:val="es-AR"/>
        </w:rPr>
        <w:t xml:space="preserve"> vida útil</w:t>
      </w:r>
      <w:r w:rsidRPr="001160D6">
        <w:rPr>
          <w:lang w:val="es-AR"/>
        </w:rPr>
        <w:t>; evalua</w:t>
      </w:r>
      <w:r w:rsidR="00D3145F" w:rsidRPr="001160D6">
        <w:rPr>
          <w:lang w:val="es-AR"/>
        </w:rPr>
        <w:t xml:space="preserve">ción de </w:t>
      </w:r>
      <w:r w:rsidRPr="001160D6">
        <w:rPr>
          <w:lang w:val="es-AR"/>
        </w:rPr>
        <w:t>l</w:t>
      </w:r>
      <w:r w:rsidR="0083784A" w:rsidRPr="001160D6">
        <w:rPr>
          <w:lang w:val="es-AR"/>
        </w:rPr>
        <w:t>os beneficios</w:t>
      </w:r>
      <w:r w:rsidRPr="001160D6">
        <w:rPr>
          <w:lang w:val="es-AR"/>
        </w:rPr>
        <w:t xml:space="preserve"> y l</w:t>
      </w:r>
      <w:r w:rsidR="00D3145F" w:rsidRPr="001160D6">
        <w:rPr>
          <w:lang w:val="es-AR"/>
        </w:rPr>
        <w:t xml:space="preserve">as dificultades </w:t>
      </w:r>
      <w:r w:rsidRPr="001160D6">
        <w:rPr>
          <w:lang w:val="es-AR"/>
        </w:rPr>
        <w:t>de recuperar, reciclar y regenerar refrigerantes;</w:t>
      </w:r>
    </w:p>
    <w:p w14:paraId="4D81D22B" w14:textId="7DA10125" w:rsidR="00DB1F86" w:rsidRPr="002F286D" w:rsidRDefault="00D3145F" w:rsidP="00DB1F86">
      <w:pPr>
        <w:pStyle w:val="Heading2"/>
        <w:rPr>
          <w:lang w:val="es-AR"/>
        </w:rPr>
      </w:pPr>
      <w:r w:rsidRPr="001160D6">
        <w:rPr>
          <w:lang w:val="es-AR"/>
        </w:rPr>
        <w:t xml:space="preserve">Fortalecimiento </w:t>
      </w:r>
      <w:r w:rsidR="00DB1F86" w:rsidRPr="001160D6">
        <w:rPr>
          <w:lang w:val="es-AR"/>
        </w:rPr>
        <w:t xml:space="preserve">del soporte técnico para el subsector de </w:t>
      </w:r>
      <w:r w:rsidRPr="001160D6">
        <w:rPr>
          <w:lang w:val="es-AR"/>
        </w:rPr>
        <w:t>montaje</w:t>
      </w:r>
      <w:r w:rsidR="00DB1F86" w:rsidRPr="001160D6">
        <w:rPr>
          <w:lang w:val="es-AR"/>
        </w:rPr>
        <w:t xml:space="preserve">, instalación y </w:t>
      </w:r>
      <w:r w:rsidRPr="001160D6">
        <w:rPr>
          <w:lang w:val="es-AR"/>
        </w:rPr>
        <w:t>carga inicial de r</w:t>
      </w:r>
      <w:r w:rsidR="00DB1F86" w:rsidRPr="001160D6">
        <w:rPr>
          <w:lang w:val="es-AR"/>
        </w:rPr>
        <w:t>efrigerante</w:t>
      </w:r>
      <w:r w:rsidRPr="001160D6">
        <w:rPr>
          <w:lang w:val="es-AR"/>
        </w:rPr>
        <w:t xml:space="preserve">s, dado que </w:t>
      </w:r>
      <w:r w:rsidR="00DB1F86" w:rsidRPr="001160D6">
        <w:rPr>
          <w:lang w:val="es-AR"/>
        </w:rPr>
        <w:t>podría influ</w:t>
      </w:r>
      <w:r w:rsidRPr="001160D6">
        <w:rPr>
          <w:lang w:val="es-AR"/>
        </w:rPr>
        <w:t xml:space="preserve">ir en </w:t>
      </w:r>
      <w:r w:rsidR="00DB1F86" w:rsidRPr="001160D6">
        <w:rPr>
          <w:lang w:val="es-AR"/>
        </w:rPr>
        <w:t xml:space="preserve">la introducción de tecnologías en mercados </w:t>
      </w:r>
      <w:r w:rsidR="00DB1F86" w:rsidRPr="002F286D">
        <w:rPr>
          <w:lang w:val="es-AR"/>
        </w:rPr>
        <w:t xml:space="preserve">locales; </w:t>
      </w:r>
    </w:p>
    <w:p w14:paraId="08688A39" w14:textId="2F53C68F" w:rsidR="00DB1F86" w:rsidRPr="002F286D" w:rsidRDefault="00DB1F86" w:rsidP="00DB1F86">
      <w:pPr>
        <w:pStyle w:val="Heading2"/>
        <w:rPr>
          <w:lang w:val="es-AR"/>
        </w:rPr>
      </w:pPr>
      <w:r w:rsidRPr="002F286D">
        <w:rPr>
          <w:lang w:val="es-AR"/>
        </w:rPr>
        <w:t>Ayuda</w:t>
      </w:r>
      <w:r w:rsidR="00D3145F" w:rsidRPr="002F286D">
        <w:rPr>
          <w:lang w:val="es-AR"/>
        </w:rPr>
        <w:t xml:space="preserve"> al desarrollo de </w:t>
      </w:r>
      <w:r w:rsidRPr="002F286D">
        <w:rPr>
          <w:lang w:val="es-AR"/>
        </w:rPr>
        <w:t xml:space="preserve">modelos comerciales que asegurarían la sostenibilidad a largo plazo de las actividades ejecutadas en el </w:t>
      </w:r>
      <w:r w:rsidR="007120E8" w:rsidRPr="002F286D">
        <w:rPr>
          <w:lang w:val="es-AR"/>
        </w:rPr>
        <w:t xml:space="preserve">sector de </w:t>
      </w:r>
      <w:r w:rsidR="00C817F9" w:rsidRPr="002F286D">
        <w:rPr>
          <w:lang w:val="es-AR"/>
        </w:rPr>
        <w:t>servicios</w:t>
      </w:r>
      <w:r w:rsidR="00D3145F" w:rsidRPr="002F286D">
        <w:rPr>
          <w:lang w:val="es-AR"/>
        </w:rPr>
        <w:t xml:space="preserve"> y mantenimiento</w:t>
      </w:r>
      <w:r w:rsidR="00C817F9" w:rsidRPr="002F286D">
        <w:rPr>
          <w:lang w:val="es-AR"/>
        </w:rPr>
        <w:t xml:space="preserve"> de equipos de refrigeración</w:t>
      </w:r>
      <w:r w:rsidRPr="002F286D">
        <w:rPr>
          <w:lang w:val="es-AR"/>
        </w:rPr>
        <w:t xml:space="preserve">, </w:t>
      </w:r>
      <w:r w:rsidR="00D3145F" w:rsidRPr="002F286D">
        <w:rPr>
          <w:lang w:val="es-AR"/>
        </w:rPr>
        <w:t xml:space="preserve">especialmente, lineamientos de </w:t>
      </w:r>
      <w:r w:rsidRPr="002F286D">
        <w:rPr>
          <w:lang w:val="es-AR"/>
        </w:rPr>
        <w:t>recupera</w:t>
      </w:r>
      <w:r w:rsidR="00D3145F" w:rsidRPr="002F286D">
        <w:rPr>
          <w:lang w:val="es-AR"/>
        </w:rPr>
        <w:t>ción</w:t>
      </w:r>
      <w:r w:rsidRPr="002F286D">
        <w:rPr>
          <w:lang w:val="es-AR"/>
        </w:rPr>
        <w:t>, reciclado y regenera</w:t>
      </w:r>
      <w:r w:rsidR="00D3145F" w:rsidRPr="002F286D">
        <w:rPr>
          <w:lang w:val="es-AR"/>
        </w:rPr>
        <w:t xml:space="preserve">ción </w:t>
      </w:r>
      <w:r w:rsidRPr="002F286D">
        <w:rPr>
          <w:lang w:val="es-AR"/>
        </w:rPr>
        <w:t xml:space="preserve">y planes de incentivos </w:t>
      </w:r>
      <w:r w:rsidR="00D3145F" w:rsidRPr="002F286D">
        <w:rPr>
          <w:lang w:val="es-AR"/>
        </w:rPr>
        <w:t xml:space="preserve">para </w:t>
      </w:r>
      <w:r w:rsidRPr="002F286D">
        <w:rPr>
          <w:lang w:val="es-AR"/>
        </w:rPr>
        <w:t>usuario</w:t>
      </w:r>
      <w:r w:rsidR="00D3145F" w:rsidRPr="002F286D">
        <w:rPr>
          <w:lang w:val="es-AR"/>
        </w:rPr>
        <w:t>s</w:t>
      </w:r>
      <w:r w:rsidRPr="002F286D">
        <w:rPr>
          <w:lang w:val="es-AR"/>
        </w:rPr>
        <w:t xml:space="preserve"> final</w:t>
      </w:r>
      <w:r w:rsidR="00D3145F" w:rsidRPr="002F286D">
        <w:rPr>
          <w:lang w:val="es-AR"/>
        </w:rPr>
        <w:t>es</w:t>
      </w:r>
      <w:r w:rsidRPr="002F286D">
        <w:rPr>
          <w:lang w:val="es-AR"/>
        </w:rPr>
        <w:t>; y</w:t>
      </w:r>
    </w:p>
    <w:p w14:paraId="2D8B74F0" w14:textId="0E0676F6" w:rsidR="00DB1F86" w:rsidRPr="002F286D" w:rsidRDefault="00D3145F" w:rsidP="00DB1F86">
      <w:pPr>
        <w:pStyle w:val="Heading2"/>
        <w:rPr>
          <w:lang w:val="es-AR"/>
        </w:rPr>
      </w:pPr>
      <w:r w:rsidRPr="002F286D">
        <w:rPr>
          <w:lang w:val="es-AR"/>
        </w:rPr>
        <w:t xml:space="preserve">Fortalecimiento de </w:t>
      </w:r>
      <w:r w:rsidR="00DB1F86" w:rsidRPr="002F286D">
        <w:rPr>
          <w:lang w:val="es-AR"/>
        </w:rPr>
        <w:t xml:space="preserve">asociaciones </w:t>
      </w:r>
      <w:r w:rsidR="00240A87" w:rsidRPr="002F286D">
        <w:rPr>
          <w:lang w:val="es-AR"/>
        </w:rPr>
        <w:t>de refrigeración y climatización</w:t>
      </w:r>
      <w:r w:rsidR="00DB1F86" w:rsidRPr="002F286D">
        <w:rPr>
          <w:lang w:val="es-AR"/>
        </w:rPr>
        <w:t xml:space="preserve"> y </w:t>
      </w:r>
      <w:r w:rsidRPr="002F286D">
        <w:rPr>
          <w:lang w:val="es-AR"/>
        </w:rPr>
        <w:t xml:space="preserve">mantenimiento de </w:t>
      </w:r>
      <w:r w:rsidR="00DB1F86" w:rsidRPr="002F286D">
        <w:rPr>
          <w:lang w:val="es-AR"/>
        </w:rPr>
        <w:t xml:space="preserve">su compromiso </w:t>
      </w:r>
      <w:r w:rsidRPr="002F286D">
        <w:rPr>
          <w:lang w:val="es-AR"/>
        </w:rPr>
        <w:t xml:space="preserve">de </w:t>
      </w:r>
      <w:r w:rsidR="007120E8" w:rsidRPr="002F286D">
        <w:rPr>
          <w:lang w:val="es-AR"/>
        </w:rPr>
        <w:t>ejecución</w:t>
      </w:r>
      <w:r w:rsidR="00DB1F86" w:rsidRPr="002F286D">
        <w:rPr>
          <w:lang w:val="es-AR"/>
        </w:rPr>
        <w:t xml:space="preserve"> de las actividades relacionadas con el sector. </w:t>
      </w:r>
    </w:p>
    <w:p w14:paraId="5A11F8EC" w14:textId="090C5043" w:rsidR="00DB1F86" w:rsidRPr="002F286D" w:rsidRDefault="00DB1F86" w:rsidP="00DB1F86">
      <w:pPr>
        <w:pStyle w:val="Heading1"/>
        <w:rPr>
          <w:lang w:val="es-AR"/>
        </w:rPr>
      </w:pPr>
      <w:r w:rsidRPr="002F286D">
        <w:rPr>
          <w:lang w:val="es-AR"/>
        </w:rPr>
        <w:t>L</w:t>
      </w:r>
      <w:r w:rsidR="0083784A" w:rsidRPr="002F286D">
        <w:rPr>
          <w:lang w:val="es-AR"/>
        </w:rPr>
        <w:t>os beneficios</w:t>
      </w:r>
      <w:r w:rsidRPr="002F286D">
        <w:rPr>
          <w:lang w:val="es-AR"/>
        </w:rPr>
        <w:t xml:space="preserve"> asociad</w:t>
      </w:r>
      <w:r w:rsidR="00D3145F" w:rsidRPr="002F286D">
        <w:rPr>
          <w:lang w:val="es-AR"/>
        </w:rPr>
        <w:t>o</w:t>
      </w:r>
      <w:r w:rsidRPr="002F286D">
        <w:rPr>
          <w:lang w:val="es-AR"/>
        </w:rPr>
        <w:t xml:space="preserve">s a una estrategia integrada en el </w:t>
      </w:r>
      <w:r w:rsidR="007120E8" w:rsidRPr="002F286D">
        <w:rPr>
          <w:lang w:val="es-AR"/>
        </w:rPr>
        <w:t xml:space="preserve">sector de </w:t>
      </w:r>
      <w:r w:rsidR="00C817F9" w:rsidRPr="002F286D">
        <w:rPr>
          <w:lang w:val="es-AR"/>
        </w:rPr>
        <w:t>servicios</w:t>
      </w:r>
      <w:r w:rsidR="00D3145F" w:rsidRPr="002F286D">
        <w:rPr>
          <w:lang w:val="es-AR"/>
        </w:rPr>
        <w:t xml:space="preserve"> y man</w:t>
      </w:r>
      <w:r w:rsidR="00086F71" w:rsidRPr="002F286D">
        <w:rPr>
          <w:lang w:val="es-AR"/>
        </w:rPr>
        <w:t>t</w:t>
      </w:r>
      <w:r w:rsidR="00D3145F" w:rsidRPr="002F286D">
        <w:rPr>
          <w:lang w:val="es-AR"/>
        </w:rPr>
        <w:t>enimiento</w:t>
      </w:r>
      <w:r w:rsidR="00C817F9" w:rsidRPr="002F286D">
        <w:rPr>
          <w:lang w:val="es-AR"/>
        </w:rPr>
        <w:t xml:space="preserve"> de equipos de refrigeración</w:t>
      </w:r>
      <w:r w:rsidRPr="002F286D">
        <w:rPr>
          <w:lang w:val="es-AR"/>
        </w:rPr>
        <w:t xml:space="preserve"> incluyen:</w:t>
      </w:r>
    </w:p>
    <w:p w14:paraId="7E87587D" w14:textId="3792A0B1" w:rsidR="00DB1F86" w:rsidRPr="002F286D" w:rsidRDefault="00DB1F86" w:rsidP="00DB1F86">
      <w:pPr>
        <w:pStyle w:val="Heading2"/>
        <w:rPr>
          <w:lang w:val="es-AR"/>
        </w:rPr>
      </w:pPr>
      <w:r w:rsidRPr="002F286D">
        <w:rPr>
          <w:lang w:val="es-AR"/>
        </w:rPr>
        <w:t xml:space="preserve">La posibilidad de </w:t>
      </w:r>
      <w:r w:rsidR="00D3145F" w:rsidRPr="002F286D">
        <w:rPr>
          <w:lang w:val="es-AR"/>
        </w:rPr>
        <w:t xml:space="preserve">fortalecer </w:t>
      </w:r>
      <w:r w:rsidRPr="002F286D">
        <w:rPr>
          <w:lang w:val="es-AR"/>
        </w:rPr>
        <w:t xml:space="preserve">la infraestructura existente y ampliarla según las necesidades, para facilitar la adopción de tecnologías </w:t>
      </w:r>
      <w:r w:rsidR="005826BD" w:rsidRPr="002F286D">
        <w:rPr>
          <w:lang w:val="es-AR"/>
        </w:rPr>
        <w:t>con bajo potencial de calentamiento atmosférico</w:t>
      </w:r>
      <w:r w:rsidRPr="002F286D">
        <w:rPr>
          <w:lang w:val="es-AR"/>
        </w:rPr>
        <w:t xml:space="preserve"> de manera </w:t>
      </w:r>
      <w:r w:rsidR="006877DC" w:rsidRPr="002F286D">
        <w:rPr>
          <w:lang w:val="es-AR"/>
        </w:rPr>
        <w:t>sostenida</w:t>
      </w:r>
      <w:r w:rsidR="00CA59BE" w:rsidRPr="002F286D">
        <w:rPr>
          <w:lang w:val="es-AR"/>
        </w:rPr>
        <w:t>,</w:t>
      </w:r>
      <w:r w:rsidR="006877DC" w:rsidRPr="002F286D">
        <w:rPr>
          <w:lang w:val="es-AR"/>
        </w:rPr>
        <w:t xml:space="preserve"> extendiendo </w:t>
      </w:r>
      <w:r w:rsidRPr="002F286D">
        <w:rPr>
          <w:lang w:val="es-AR"/>
        </w:rPr>
        <w:t>el plan durante un largo per</w:t>
      </w:r>
      <w:r w:rsidR="006877DC" w:rsidRPr="002F286D">
        <w:rPr>
          <w:lang w:val="es-AR"/>
        </w:rPr>
        <w:t>í</w:t>
      </w:r>
      <w:r w:rsidRPr="002F286D">
        <w:rPr>
          <w:lang w:val="es-AR"/>
        </w:rPr>
        <w:t xml:space="preserve">odo, </w:t>
      </w:r>
      <w:r w:rsidR="006877DC" w:rsidRPr="002F286D">
        <w:rPr>
          <w:lang w:val="es-AR"/>
        </w:rPr>
        <w:t xml:space="preserve">en lugar de </w:t>
      </w:r>
      <w:r w:rsidRPr="002F286D">
        <w:rPr>
          <w:lang w:val="es-AR"/>
        </w:rPr>
        <w:t>centr</w:t>
      </w:r>
      <w:r w:rsidR="006877DC" w:rsidRPr="002F286D">
        <w:rPr>
          <w:lang w:val="es-AR"/>
        </w:rPr>
        <w:t>arse</w:t>
      </w:r>
      <w:r w:rsidRPr="002F286D">
        <w:rPr>
          <w:lang w:val="es-AR"/>
        </w:rPr>
        <w:t xml:space="preserve"> en proyectos</w:t>
      </w:r>
      <w:r w:rsidR="006877DC" w:rsidRPr="002F286D">
        <w:rPr>
          <w:lang w:val="es-AR"/>
        </w:rPr>
        <w:t xml:space="preserve"> de asistencia</w:t>
      </w:r>
      <w:r w:rsidRPr="002F286D">
        <w:rPr>
          <w:lang w:val="es-AR"/>
        </w:rPr>
        <w:t xml:space="preserve"> aislados para eliminar un</w:t>
      </w:r>
      <w:r w:rsidR="006877DC" w:rsidRPr="002F286D">
        <w:rPr>
          <w:lang w:val="es-AR"/>
        </w:rPr>
        <w:t>a</w:t>
      </w:r>
      <w:r w:rsidRPr="002F286D">
        <w:rPr>
          <w:lang w:val="es-AR"/>
        </w:rPr>
        <w:t xml:space="preserve"> o dos sustancias;</w:t>
      </w:r>
    </w:p>
    <w:p w14:paraId="295A9CB0" w14:textId="741D64D8" w:rsidR="00DB1F86" w:rsidRPr="002F286D" w:rsidRDefault="00DB1F86" w:rsidP="00DB1F86">
      <w:pPr>
        <w:pStyle w:val="Heading2"/>
        <w:rPr>
          <w:lang w:val="es-AR"/>
        </w:rPr>
      </w:pPr>
      <w:r w:rsidRPr="002F286D">
        <w:rPr>
          <w:lang w:val="es-AR"/>
        </w:rPr>
        <w:t xml:space="preserve">La posibilidad de combinar la financiación de </w:t>
      </w:r>
      <w:r w:rsidR="001D29D0" w:rsidRPr="002F286D">
        <w:rPr>
          <w:lang w:val="es-AR"/>
        </w:rPr>
        <w:t>la eliminación de los HCFC</w:t>
      </w:r>
      <w:r w:rsidRPr="002F286D">
        <w:rPr>
          <w:lang w:val="es-AR"/>
        </w:rPr>
        <w:t xml:space="preserve"> y </w:t>
      </w:r>
      <w:r w:rsidR="006877DC" w:rsidRPr="002F286D">
        <w:rPr>
          <w:lang w:val="es-AR"/>
        </w:rPr>
        <w:t xml:space="preserve">la </w:t>
      </w:r>
      <w:r w:rsidR="002300DB" w:rsidRPr="002F286D">
        <w:rPr>
          <w:lang w:val="es-AR"/>
        </w:rPr>
        <w:t>reducción de HFC</w:t>
      </w:r>
      <w:r w:rsidRPr="002F286D">
        <w:rPr>
          <w:lang w:val="es-AR"/>
        </w:rPr>
        <w:t xml:space="preserve"> para ejecutar actividades más </w:t>
      </w:r>
      <w:r w:rsidR="006877DC" w:rsidRPr="002F286D">
        <w:rPr>
          <w:lang w:val="es-AR"/>
        </w:rPr>
        <w:t xml:space="preserve">integrales y </w:t>
      </w:r>
      <w:r w:rsidRPr="002F286D">
        <w:rPr>
          <w:lang w:val="es-AR"/>
        </w:rPr>
        <w:t xml:space="preserve">a largo plazo que </w:t>
      </w:r>
      <w:r w:rsidR="00086F71" w:rsidRPr="002F286D">
        <w:rPr>
          <w:lang w:val="es-AR"/>
        </w:rPr>
        <w:t xml:space="preserve">repercutan </w:t>
      </w:r>
      <w:r w:rsidRPr="002F286D">
        <w:rPr>
          <w:lang w:val="es-AR"/>
        </w:rPr>
        <w:t>más ampli</w:t>
      </w:r>
      <w:r w:rsidR="00086F71" w:rsidRPr="002F286D">
        <w:rPr>
          <w:lang w:val="es-AR"/>
        </w:rPr>
        <w:t>amente</w:t>
      </w:r>
      <w:r w:rsidRPr="002F286D">
        <w:rPr>
          <w:lang w:val="es-AR"/>
        </w:rPr>
        <w:t xml:space="preserve"> </w:t>
      </w:r>
      <w:r w:rsidR="006877DC" w:rsidRPr="002F286D">
        <w:rPr>
          <w:lang w:val="es-AR"/>
        </w:rPr>
        <w:t xml:space="preserve">al mismo tiempo que </w:t>
      </w:r>
      <w:r w:rsidRPr="002F286D">
        <w:rPr>
          <w:lang w:val="es-AR"/>
        </w:rPr>
        <w:t>benefician a ambos planes;</w:t>
      </w:r>
    </w:p>
    <w:p w14:paraId="1439C75C" w14:textId="02A89ACA" w:rsidR="00DB1F86" w:rsidRPr="002F286D" w:rsidRDefault="00DB1F86" w:rsidP="00DB1F86">
      <w:pPr>
        <w:pStyle w:val="Heading2"/>
        <w:rPr>
          <w:lang w:val="es-AR"/>
        </w:rPr>
      </w:pPr>
      <w:r w:rsidRPr="002F286D">
        <w:rPr>
          <w:lang w:val="es-AR"/>
        </w:rPr>
        <w:t xml:space="preserve">Un número más bajo de tramos sincronizados, con </w:t>
      </w:r>
      <w:r w:rsidR="007120E8" w:rsidRPr="002F286D">
        <w:rPr>
          <w:lang w:val="es-AR"/>
        </w:rPr>
        <w:t>costos</w:t>
      </w:r>
      <w:r w:rsidRPr="002F286D">
        <w:rPr>
          <w:lang w:val="es-AR"/>
        </w:rPr>
        <w:t xml:space="preserve"> </w:t>
      </w:r>
      <w:r w:rsidR="006877DC" w:rsidRPr="002F286D">
        <w:rPr>
          <w:lang w:val="es-AR"/>
        </w:rPr>
        <w:t xml:space="preserve">inferiores </w:t>
      </w:r>
      <w:r w:rsidRPr="002F286D">
        <w:rPr>
          <w:lang w:val="es-AR"/>
        </w:rPr>
        <w:t xml:space="preserve">de transacción </w:t>
      </w:r>
      <w:r w:rsidR="006877DC" w:rsidRPr="002F286D">
        <w:rPr>
          <w:lang w:val="es-AR"/>
        </w:rPr>
        <w:t xml:space="preserve">conexos </w:t>
      </w:r>
      <w:r w:rsidRPr="002F286D">
        <w:rPr>
          <w:lang w:val="es-AR"/>
        </w:rPr>
        <w:t xml:space="preserve">para la preparación de informes, </w:t>
      </w:r>
      <w:r w:rsidR="006877DC" w:rsidRPr="002F286D">
        <w:rPr>
          <w:lang w:val="es-AR"/>
        </w:rPr>
        <w:t xml:space="preserve">pedidos de </w:t>
      </w:r>
      <w:r w:rsidRPr="002F286D">
        <w:rPr>
          <w:lang w:val="es-AR"/>
        </w:rPr>
        <w:t>financiación de tramo</w:t>
      </w:r>
      <w:r w:rsidR="006877DC" w:rsidRPr="002F286D">
        <w:rPr>
          <w:lang w:val="es-AR"/>
        </w:rPr>
        <w:t>s</w:t>
      </w:r>
      <w:r w:rsidRPr="002F286D">
        <w:rPr>
          <w:lang w:val="es-AR"/>
        </w:rPr>
        <w:t xml:space="preserve"> y verificaciones;</w:t>
      </w:r>
    </w:p>
    <w:p w14:paraId="07A1C97A" w14:textId="78EFAC82" w:rsidR="00DB1F86" w:rsidRPr="002F286D" w:rsidRDefault="006877DC" w:rsidP="00DB1F86">
      <w:pPr>
        <w:pStyle w:val="Heading2"/>
        <w:rPr>
          <w:lang w:val="es-AR"/>
        </w:rPr>
      </w:pPr>
      <w:r w:rsidRPr="002F286D">
        <w:rPr>
          <w:lang w:val="es-AR"/>
        </w:rPr>
        <w:t xml:space="preserve">Mejores dependencias </w:t>
      </w:r>
      <w:r w:rsidR="00DB1F86" w:rsidRPr="002F286D">
        <w:rPr>
          <w:lang w:val="es-AR"/>
        </w:rPr>
        <w:t>y más eficaces en función de los costos de gestión</w:t>
      </w:r>
      <w:r w:rsidRPr="002F286D">
        <w:rPr>
          <w:lang w:val="es-AR"/>
        </w:rPr>
        <w:t xml:space="preserve"> y ejecución</w:t>
      </w:r>
      <w:r w:rsidR="00DB1F86" w:rsidRPr="002F286D">
        <w:rPr>
          <w:lang w:val="es-AR"/>
        </w:rPr>
        <w:t xml:space="preserve"> de proyecto</w:t>
      </w:r>
      <w:r w:rsidRPr="002F286D">
        <w:rPr>
          <w:lang w:val="es-AR"/>
        </w:rPr>
        <w:t>s</w:t>
      </w:r>
      <w:r w:rsidR="00DB1F86" w:rsidRPr="002F286D">
        <w:rPr>
          <w:lang w:val="es-AR"/>
        </w:rPr>
        <w:t>, d</w:t>
      </w:r>
      <w:r w:rsidR="00086F71" w:rsidRPr="002F286D">
        <w:rPr>
          <w:lang w:val="es-AR"/>
        </w:rPr>
        <w:t>o</w:t>
      </w:r>
      <w:r w:rsidR="00DB1F86" w:rsidRPr="002F286D">
        <w:rPr>
          <w:lang w:val="es-AR"/>
        </w:rPr>
        <w:t xml:space="preserve">nde </w:t>
      </w:r>
      <w:r w:rsidRPr="002F286D">
        <w:rPr>
          <w:lang w:val="es-AR"/>
        </w:rPr>
        <w:t>proceda</w:t>
      </w:r>
      <w:r w:rsidR="00DB1F86" w:rsidRPr="002F286D">
        <w:rPr>
          <w:lang w:val="es-AR"/>
        </w:rPr>
        <w:t>; y</w:t>
      </w:r>
    </w:p>
    <w:p w14:paraId="64BAF182" w14:textId="2D893390" w:rsidR="00DB1F86" w:rsidRPr="002F286D" w:rsidRDefault="00086F71" w:rsidP="00DB1F86">
      <w:pPr>
        <w:pStyle w:val="Heading2"/>
        <w:rPr>
          <w:lang w:val="es-AR"/>
        </w:rPr>
      </w:pPr>
      <w:r w:rsidRPr="002F286D">
        <w:rPr>
          <w:lang w:val="es-AR"/>
        </w:rPr>
        <w:t>P</w:t>
      </w:r>
      <w:r w:rsidR="00DB1F86" w:rsidRPr="002F286D">
        <w:rPr>
          <w:lang w:val="es-AR"/>
        </w:rPr>
        <w:t>osibilidad de formular un más plan exhaustivo que combin</w:t>
      </w:r>
      <w:r w:rsidR="006877DC" w:rsidRPr="002F286D">
        <w:rPr>
          <w:lang w:val="es-AR"/>
        </w:rPr>
        <w:t>e</w:t>
      </w:r>
      <w:r w:rsidR="00DB1F86" w:rsidRPr="002F286D">
        <w:rPr>
          <w:lang w:val="es-AR"/>
        </w:rPr>
        <w:t xml:space="preserve"> l</w:t>
      </w:r>
      <w:r w:rsidR="0083784A" w:rsidRPr="002F286D">
        <w:rPr>
          <w:lang w:val="es-AR"/>
        </w:rPr>
        <w:t>os beneficios</w:t>
      </w:r>
      <w:r w:rsidR="00DB1F86" w:rsidRPr="002F286D">
        <w:rPr>
          <w:lang w:val="es-AR"/>
        </w:rPr>
        <w:t xml:space="preserve"> del </w:t>
      </w:r>
      <w:r w:rsidR="006877DC" w:rsidRPr="002F286D">
        <w:rPr>
          <w:lang w:val="es-AR"/>
        </w:rPr>
        <w:t xml:space="preserve">clima y el </w:t>
      </w:r>
      <w:r w:rsidR="00DB1F86" w:rsidRPr="002F286D">
        <w:rPr>
          <w:lang w:val="es-AR"/>
        </w:rPr>
        <w:t>ozono que tendrán mayor importancia y alcanzar</w:t>
      </w:r>
      <w:r w:rsidR="006877DC" w:rsidRPr="002F286D">
        <w:rPr>
          <w:lang w:val="es-AR"/>
        </w:rPr>
        <w:t>án</w:t>
      </w:r>
      <w:r w:rsidR="00DB1F86" w:rsidRPr="002F286D">
        <w:rPr>
          <w:lang w:val="es-AR"/>
        </w:rPr>
        <w:t xml:space="preserve"> mejor "</w:t>
      </w:r>
      <w:r w:rsidR="006877DC" w:rsidRPr="002F286D">
        <w:rPr>
          <w:lang w:val="es-AR"/>
        </w:rPr>
        <w:t>aceptación</w:t>
      </w:r>
      <w:r w:rsidR="00DB1F86" w:rsidRPr="002F286D">
        <w:rPr>
          <w:lang w:val="es-AR"/>
        </w:rPr>
        <w:t>" dentro del gobierno.</w:t>
      </w:r>
    </w:p>
    <w:p w14:paraId="72CFFE29" w14:textId="6D8E31E4" w:rsidR="00DB1F86" w:rsidRPr="002F286D" w:rsidRDefault="00DB1F86" w:rsidP="00DB1F86">
      <w:pPr>
        <w:pStyle w:val="Heading1"/>
        <w:rPr>
          <w:lang w:val="es-AR"/>
        </w:rPr>
      </w:pPr>
      <w:r w:rsidRPr="002F286D">
        <w:rPr>
          <w:lang w:val="es-AR"/>
        </w:rPr>
        <w:t>El documento UNEP/OzL.Pro</w:t>
      </w:r>
      <w:r w:rsidR="007120E8" w:rsidRPr="002F286D">
        <w:rPr>
          <w:lang w:val="es-AR"/>
        </w:rPr>
        <w:t>/ExCom/</w:t>
      </w:r>
      <w:r w:rsidRPr="002F286D">
        <w:rPr>
          <w:lang w:val="es-AR"/>
        </w:rPr>
        <w:t xml:space="preserve">86/89 </w:t>
      </w:r>
      <w:r w:rsidR="006877DC" w:rsidRPr="002F286D">
        <w:rPr>
          <w:lang w:val="es-AR"/>
        </w:rPr>
        <w:t xml:space="preserve">trata </w:t>
      </w:r>
      <w:r w:rsidRPr="002F286D">
        <w:rPr>
          <w:lang w:val="es-AR"/>
        </w:rPr>
        <w:t xml:space="preserve">el nivel y la modalidad de financiación en el </w:t>
      </w:r>
      <w:r w:rsidR="007120E8" w:rsidRPr="002F286D">
        <w:rPr>
          <w:lang w:val="es-AR"/>
        </w:rPr>
        <w:t xml:space="preserve">sector de </w:t>
      </w:r>
      <w:r w:rsidR="00C817F9" w:rsidRPr="002F286D">
        <w:rPr>
          <w:lang w:val="es-AR"/>
        </w:rPr>
        <w:t>servicios</w:t>
      </w:r>
      <w:r w:rsidR="006877DC" w:rsidRPr="002F286D">
        <w:rPr>
          <w:lang w:val="es-AR"/>
        </w:rPr>
        <w:t xml:space="preserve"> y mantenimiento</w:t>
      </w:r>
      <w:r w:rsidR="00C817F9" w:rsidRPr="002F286D">
        <w:rPr>
          <w:lang w:val="es-AR"/>
        </w:rPr>
        <w:t xml:space="preserve"> de equipos de refrigeración</w:t>
      </w:r>
      <w:r w:rsidRPr="002F286D">
        <w:rPr>
          <w:lang w:val="es-AR"/>
        </w:rPr>
        <w:t xml:space="preserve"> para la </w:t>
      </w:r>
      <w:r w:rsidR="002300DB" w:rsidRPr="002F286D">
        <w:rPr>
          <w:lang w:val="es-AR"/>
        </w:rPr>
        <w:t>reducción de HFC</w:t>
      </w:r>
      <w:r w:rsidRPr="002F286D">
        <w:rPr>
          <w:lang w:val="es-AR"/>
        </w:rPr>
        <w:t xml:space="preserve">, tomando en consideración la necesidad de integrar </w:t>
      </w:r>
      <w:r w:rsidR="007120E8" w:rsidRPr="002F286D">
        <w:rPr>
          <w:lang w:val="es-AR"/>
        </w:rPr>
        <w:t>l</w:t>
      </w:r>
      <w:r w:rsidR="006877DC" w:rsidRPr="002F286D">
        <w:rPr>
          <w:lang w:val="es-AR"/>
        </w:rPr>
        <w:t>a eliminación de l</w:t>
      </w:r>
      <w:r w:rsidR="007120E8" w:rsidRPr="002F286D">
        <w:rPr>
          <w:lang w:val="es-AR"/>
        </w:rPr>
        <w:t>os HCFC</w:t>
      </w:r>
      <w:r w:rsidRPr="002F286D">
        <w:rPr>
          <w:lang w:val="es-AR"/>
        </w:rPr>
        <w:t xml:space="preserve"> y </w:t>
      </w:r>
      <w:r w:rsidR="006877DC" w:rsidRPr="002F286D">
        <w:rPr>
          <w:lang w:val="es-AR"/>
        </w:rPr>
        <w:t xml:space="preserve">la </w:t>
      </w:r>
      <w:r w:rsidR="002300DB" w:rsidRPr="002F286D">
        <w:rPr>
          <w:lang w:val="es-AR"/>
        </w:rPr>
        <w:t>reducción de HFC</w:t>
      </w:r>
      <w:r w:rsidRPr="002F286D">
        <w:rPr>
          <w:lang w:val="es-AR"/>
        </w:rPr>
        <w:t xml:space="preserve"> en el sector </w:t>
      </w:r>
      <w:r w:rsidR="006877DC" w:rsidRPr="002F286D">
        <w:rPr>
          <w:lang w:val="es-AR"/>
        </w:rPr>
        <w:t xml:space="preserve">dentro de </w:t>
      </w:r>
      <w:r w:rsidRPr="002F286D">
        <w:rPr>
          <w:lang w:val="es-AR"/>
        </w:rPr>
        <w:t xml:space="preserve">una sola estrategia que incluya las actividades que benefician a ambos, y que </w:t>
      </w:r>
      <w:r w:rsidR="006877DC" w:rsidRPr="002F286D">
        <w:rPr>
          <w:lang w:val="es-AR"/>
        </w:rPr>
        <w:t xml:space="preserve">ayuden a </w:t>
      </w:r>
      <w:r w:rsidRPr="002F286D">
        <w:rPr>
          <w:lang w:val="es-AR"/>
        </w:rPr>
        <w:t xml:space="preserve">los países del </w:t>
      </w:r>
      <w:r w:rsidR="007120E8" w:rsidRPr="002F286D">
        <w:rPr>
          <w:lang w:val="es-AR"/>
        </w:rPr>
        <w:t>Artículo</w:t>
      </w:r>
      <w:r w:rsidRPr="002F286D">
        <w:rPr>
          <w:lang w:val="es-AR"/>
        </w:rPr>
        <w:t xml:space="preserve"> 5 </w:t>
      </w:r>
      <w:r w:rsidR="00875414" w:rsidRPr="002F286D">
        <w:rPr>
          <w:lang w:val="es-AR"/>
        </w:rPr>
        <w:t xml:space="preserve">a construir </w:t>
      </w:r>
      <w:r w:rsidRPr="002F286D">
        <w:rPr>
          <w:lang w:val="es-AR"/>
        </w:rPr>
        <w:t xml:space="preserve">la infraestructura para la </w:t>
      </w:r>
      <w:r w:rsidR="00A13B99" w:rsidRPr="002F286D">
        <w:rPr>
          <w:lang w:val="es-AR"/>
        </w:rPr>
        <w:t>adopción sostenida</w:t>
      </w:r>
      <w:r w:rsidRPr="002F286D">
        <w:rPr>
          <w:lang w:val="es-AR"/>
        </w:rPr>
        <w:t xml:space="preserve"> de alternativas </w:t>
      </w:r>
      <w:r w:rsidR="005826BD" w:rsidRPr="002F286D">
        <w:rPr>
          <w:lang w:val="es-AR"/>
        </w:rPr>
        <w:t>con bajo potencial de calentamiento atmosférico</w:t>
      </w:r>
      <w:r w:rsidRPr="002F286D">
        <w:rPr>
          <w:lang w:val="es-AR"/>
        </w:rPr>
        <w:t xml:space="preserve">. </w:t>
      </w:r>
    </w:p>
    <w:p w14:paraId="4E9F9F5E" w14:textId="77777777" w:rsidR="002F286D" w:rsidRPr="002F286D" w:rsidRDefault="002F286D" w:rsidP="002F286D">
      <w:pPr>
        <w:pStyle w:val="Heading1"/>
        <w:keepNext/>
        <w:numPr>
          <w:ilvl w:val="0"/>
          <w:numId w:val="35"/>
        </w:numPr>
        <w:ind w:left="720"/>
        <w:rPr>
          <w:rFonts w:ascii="Times New Roman Bold" w:hAnsi="Times New Roman Bold"/>
          <w:caps/>
          <w:lang w:val="es-ES_tradnl"/>
        </w:rPr>
      </w:pPr>
      <w:bookmarkStart w:id="1" w:name="OLE_LINK1"/>
      <w:r w:rsidRPr="002F286D">
        <w:rPr>
          <w:rFonts w:ascii="Times New Roman Bold" w:hAnsi="Times New Roman Bold"/>
          <w:caps/>
          <w:lang w:val="es-ES_tradnl"/>
        </w:rPr>
        <w:lastRenderedPageBreak/>
        <w:t>Cuadro general de las actividades de eliminación de HCFC y reducción de HFC</w:t>
      </w:r>
    </w:p>
    <w:p w14:paraId="5CB1CB43" w14:textId="77777777" w:rsidR="002F286D" w:rsidRPr="002F286D" w:rsidRDefault="002F286D" w:rsidP="002F286D">
      <w:pPr>
        <w:pStyle w:val="Heading1"/>
        <w:rPr>
          <w:lang w:val="es-ES_tradnl"/>
        </w:rPr>
      </w:pPr>
      <w:r w:rsidRPr="002F286D">
        <w:rPr>
          <w:lang w:val="es-ES_tradnl"/>
        </w:rPr>
        <w:t>Dado que la mayoría de los PGEH son posteriores al año 2010, época en que los CFC ya habían sido totalmente eliminados, su coexistencia con los planes nacionales o finales de eliminación de CFC fue breve. En contraste, entre los años 2021 y 2030 los países del artículo 5 deberán elaborar y ejecutar de forma simultánea múltiples etapas de los PGEH más la etapa I de la reducción de HFC. De la preparación y ejecución coordinada de estos planes se espera obtener:</w:t>
      </w:r>
    </w:p>
    <w:p w14:paraId="2BCFBBAF" w14:textId="77777777" w:rsidR="002F286D" w:rsidRPr="002F286D" w:rsidRDefault="002F286D" w:rsidP="002F286D">
      <w:pPr>
        <w:pStyle w:val="Heading2"/>
        <w:numPr>
          <w:ilvl w:val="1"/>
          <w:numId w:val="37"/>
        </w:numPr>
        <w:ind w:left="1417" w:hanging="708"/>
        <w:rPr>
          <w:lang w:val="es-ES_tradnl"/>
        </w:rPr>
      </w:pPr>
      <w:r w:rsidRPr="002F286D">
        <w:rPr>
          <w:lang w:val="es-ES_tradnl"/>
        </w:rPr>
        <w:t>Una estrategia transversal que abarque las áreas de coincidencia e interacción entre la eliminación de HCFC y las actividades de reducción de HFC, de forma que el país evite sistemáticamente que el consumo de HFC se eleve a raíz de las actividades de eliminación de HCFC a ejecutar;</w:t>
      </w:r>
    </w:p>
    <w:p w14:paraId="5B5FE318" w14:textId="77777777" w:rsidR="002F286D" w:rsidRPr="002F286D" w:rsidRDefault="002F286D" w:rsidP="002F286D">
      <w:pPr>
        <w:pStyle w:val="Heading2"/>
        <w:numPr>
          <w:ilvl w:val="1"/>
          <w:numId w:val="37"/>
        </w:numPr>
        <w:ind w:left="1417" w:hanging="708"/>
        <w:rPr>
          <w:lang w:val="es-ES_tradnl"/>
        </w:rPr>
      </w:pPr>
      <w:r w:rsidRPr="002F286D">
        <w:rPr>
          <w:lang w:val="es-ES_tradnl"/>
        </w:rPr>
        <w:t>Un marco de políticas y regulatorio coherente que permita reducir el consumo de HCFC y HFC;</w:t>
      </w:r>
    </w:p>
    <w:p w14:paraId="0897E43E" w14:textId="77777777" w:rsidR="002F286D" w:rsidRPr="002F286D" w:rsidRDefault="002F286D" w:rsidP="002F286D">
      <w:pPr>
        <w:pStyle w:val="Heading2"/>
        <w:numPr>
          <w:ilvl w:val="1"/>
          <w:numId w:val="37"/>
        </w:numPr>
        <w:ind w:left="1417" w:hanging="708"/>
        <w:rPr>
          <w:lang w:val="es-ES_tradnl"/>
        </w:rPr>
      </w:pPr>
      <w:r w:rsidRPr="002F286D">
        <w:rPr>
          <w:lang w:val="es-ES_tradnl"/>
        </w:rPr>
        <w:t>Un uso eficaz de los recursos del Fondo Multilateral al momento de preparar y ejecutar las actividades, especialmente en el sector servicio técnico de equipos de refrigeración, evitando duplicar las actividades del PGEH y aquellas propuestas en el plan de reducción de HFC, otorgando la debida consideración a actividades orientadas a los mismos actores e instituciones (técnicos en refrigeración, distribuidores, asociaciones, instituciones de capacitación); y</w:t>
      </w:r>
    </w:p>
    <w:p w14:paraId="461BCDCE" w14:textId="77777777" w:rsidR="002F286D" w:rsidRPr="002F286D" w:rsidRDefault="002F286D" w:rsidP="002F286D">
      <w:pPr>
        <w:pStyle w:val="Heading2"/>
        <w:numPr>
          <w:ilvl w:val="1"/>
          <w:numId w:val="37"/>
        </w:numPr>
        <w:ind w:left="1417" w:hanging="708"/>
        <w:rPr>
          <w:lang w:val="es-ES_tradnl"/>
        </w:rPr>
      </w:pPr>
      <w:r w:rsidRPr="002F286D">
        <w:rPr>
          <w:lang w:val="es-ES_tradnl"/>
        </w:rPr>
        <w:t>Un sistema administrativo y de notificación, verificación y control más eficaz que permita a los países del artículo 5, a los organismos bilaterales y de ejecución y a la Secretaría y al Comité Ejecutivo evitar la duplicación de informes y reducir el número de presentaciones durante las distintas etapas y tramos que operarán en paralelo.</w:t>
      </w:r>
      <w:r w:rsidRPr="002F286D">
        <w:rPr>
          <w:rStyle w:val="FootnoteReference"/>
          <w:lang w:val="es-ES_tradnl"/>
        </w:rPr>
        <w:footnoteReference w:id="34"/>
      </w:r>
    </w:p>
    <w:p w14:paraId="33B322EA" w14:textId="77777777" w:rsidR="002F286D" w:rsidRPr="002F286D" w:rsidRDefault="002F286D" w:rsidP="002F286D">
      <w:pPr>
        <w:pStyle w:val="Heading1"/>
        <w:rPr>
          <w:lang w:val="es-ES_tradnl"/>
        </w:rPr>
      </w:pPr>
      <w:r w:rsidRPr="002F286D">
        <w:rPr>
          <w:lang w:val="es-ES_tradnl"/>
        </w:rPr>
        <w:t>Lo anterior demuestra las claras ventajas de contar con una estrategia integral de cumplimiento que permita consolidar la eliminación de los HCFC remanentes y la reducción de los HFC. Dicha estrategia permitirá distinguir actividades de manera unificada, reducir la duplicación de las tareas de ejecución, hacer un uso más eficaz de los recursos por medio de simplificar las labores de notificación y supervisión, y finalmente optimizar la entrega de servicios.</w:t>
      </w:r>
    </w:p>
    <w:p w14:paraId="7A4F44FE" w14:textId="77777777" w:rsidR="002F286D" w:rsidRPr="002F286D" w:rsidRDefault="002F286D" w:rsidP="002F286D">
      <w:pPr>
        <w:pStyle w:val="Heading1"/>
        <w:rPr>
          <w:lang w:val="es-ES_tradnl"/>
        </w:rPr>
      </w:pPr>
      <w:r w:rsidRPr="002F286D">
        <w:rPr>
          <w:lang w:val="es-ES_tradnl"/>
        </w:rPr>
        <w:t>En países del artículo 5 donde la totalidad del consumo de HCFC y HFC se produce en el sector servicio técnico de equipos de refrigeración, una estrategia integrada constituye un método ideal para cumplir con las metas establecidas en el Protocolo de Montreal, siendo igualmente ventajosa en países donde el consumo se produce además en otros sectores. En la sección siguiente se entregan algunas ideas para materializar dicha integración de forma eficaz.</w:t>
      </w:r>
    </w:p>
    <w:p w14:paraId="4E16CA3F" w14:textId="77777777" w:rsidR="002F286D" w:rsidRPr="002F286D" w:rsidRDefault="002F286D" w:rsidP="002F286D">
      <w:pPr>
        <w:pStyle w:val="Heading1"/>
        <w:numPr>
          <w:ilvl w:val="0"/>
          <w:numId w:val="0"/>
        </w:numPr>
        <w:rPr>
          <w:b/>
          <w:lang w:val="es-ES_tradnl"/>
        </w:rPr>
      </w:pPr>
      <w:r w:rsidRPr="002F286D">
        <w:rPr>
          <w:b/>
          <w:lang w:val="es-ES_tradnl"/>
        </w:rPr>
        <w:t>Estrategia integral de cumplimiento de metas en materia de HCFC y HFC</w:t>
      </w:r>
    </w:p>
    <w:p w14:paraId="5B59A408" w14:textId="77777777" w:rsidR="002F286D" w:rsidRPr="002F286D" w:rsidRDefault="002F286D" w:rsidP="002F286D">
      <w:pPr>
        <w:pStyle w:val="Heading1"/>
        <w:rPr>
          <w:lang w:val="es-ES_tradnl"/>
        </w:rPr>
      </w:pPr>
      <w:r w:rsidRPr="002F286D">
        <w:rPr>
          <w:lang w:val="es-ES_tradnl"/>
        </w:rPr>
        <w:t>Los países del artículo 5 se encuentran actualmente implementando distintas etapas de sus PGEH,</w:t>
      </w:r>
      <w:r w:rsidRPr="002F286D">
        <w:rPr>
          <w:rStyle w:val="FootnoteReference"/>
          <w:lang w:val="es-ES_tradnl"/>
        </w:rPr>
        <w:footnoteReference w:id="35"/>
      </w:r>
      <w:r w:rsidRPr="002F286D">
        <w:rPr>
          <w:lang w:val="es-ES_tradnl"/>
        </w:rPr>
        <w:t xml:space="preserve"> estimándose que al año 2030 todos habrán eliminado el consumo de HCFC, con excepción del volumen </w:t>
      </w:r>
      <w:r w:rsidRPr="002F286D">
        <w:rPr>
          <w:lang w:val="es-ES_tradnl"/>
        </w:rPr>
        <w:lastRenderedPageBreak/>
        <w:t>designado como reserva para servicio técnico.</w:t>
      </w:r>
      <w:r w:rsidRPr="002F286D">
        <w:rPr>
          <w:rStyle w:val="FootnoteReference"/>
          <w:lang w:val="es-ES_tradnl"/>
        </w:rPr>
        <w:footnoteReference w:id="36"/>
      </w:r>
      <w:r w:rsidRPr="002F286D">
        <w:rPr>
          <w:lang w:val="es-ES_tradnl"/>
        </w:rPr>
        <w:t xml:space="preserve"> Por consiguiente, existen altas probabilidades de que en el período 2021-2030 la mayoría de estos países implementen de forma simultánea tanto los PGEH como la etapa I de los planes de reducción de HFC. Posterior al año 2030, los países del artículo 5 se abocarán exclusivamente a la ejecución de actividades de reducción de HFC durante otros 15 años y a velar por la sustentabilidad de la eliminación de HCFC, en especial el cumplimiento de las condiciones de uso de la reserva de HCFC para servicio técnico, en los casos en que corresponda. Ahora bien, el período inicial de transición 2021-2030 posee especial importancia debido al nexo existente entre HCFC y HFC.</w:t>
      </w:r>
    </w:p>
    <w:p w14:paraId="18F6BC3F" w14:textId="77777777" w:rsidR="002F286D" w:rsidRPr="002F286D" w:rsidRDefault="002F286D" w:rsidP="002F286D">
      <w:pPr>
        <w:pStyle w:val="Heading1"/>
        <w:keepNext/>
        <w:keepLines/>
        <w:widowControl w:val="0"/>
        <w:rPr>
          <w:lang w:val="es-ES_tradnl"/>
        </w:rPr>
      </w:pPr>
      <w:r w:rsidRPr="002F286D">
        <w:rPr>
          <w:lang w:val="es-ES_tradnl"/>
        </w:rPr>
        <w:t>La preparación de la etapa I de los planes de reducción de HFC deberá considerar actividades similares a las realizadas para el desarrollo de los PGEH; entre ellas fijar medidas regulatorias, efectuar detallados estudios de consumo sectorial de HFC, diseñar una estrategia transversal de reducción de los HFC y disponer una serie de actividades concretas para la primera etapa. Durante la elaboración de los planes de reducción de los HFC los países del artículo 5 deberán considerar cuidadosamente el nexo existente entre eliminación de HCFC y reducción de HFC, en especial la infraestructura de los PGEH que pueda servir para la reducción de HFC; la forma en que las actividades de eliminación de HCFC afectan el consumo de HFC y las actividades que puedan aporten a ambos objetivos.</w:t>
      </w:r>
    </w:p>
    <w:p w14:paraId="4CA08198" w14:textId="77777777" w:rsidR="002F286D" w:rsidRPr="002F286D" w:rsidRDefault="002F286D" w:rsidP="002F286D">
      <w:pPr>
        <w:pStyle w:val="Heading1"/>
        <w:rPr>
          <w:lang w:val="es-ES_tradnl"/>
        </w:rPr>
      </w:pPr>
      <w:r w:rsidRPr="002F286D">
        <w:rPr>
          <w:lang w:val="es-ES_tradnl"/>
        </w:rPr>
        <w:t>A la creación del Fondo Multilateral, los países del artículo 5 tuvieron la oportunidad de elaborar programas país</w:t>
      </w:r>
      <w:r w:rsidRPr="002F286D">
        <w:rPr>
          <w:rStyle w:val="FootnoteReference"/>
          <w:lang w:val="es-ES_tradnl"/>
        </w:rPr>
        <w:footnoteReference w:id="37"/>
      </w:r>
      <w:r w:rsidRPr="002F286D">
        <w:rPr>
          <w:lang w:val="es-ES_tradnl"/>
        </w:rPr>
        <w:t xml:space="preserve"> que contenían una detallada estrategia nacional para la eliminación de distintos grupos de sustancias químicas en cada sector. Posteriormente, el concepto de “programa país” fue reemplazado por el de plan de gestión para la eliminación de HCFC (PGEH) a medida que en dichos países los HCFC pasaron a ser la única sustancia controlada. La principal diferencia entre los programas país y el PGEH es que los primeros eran básicamente documentos estratégicos, en tanto que los segundos pasaron a ser tanto documentos estratégicos como de financiamiento plurianual sustentados en acuerdos sujetos a resultados para apoyar proyectos y actividades destinadas a eliminar un determinado volumen de HCFC. Los proyectos contemplados en los programas país debían ser sometidos igualmente a aprobación y se financiaban como proyectos autónomos o en calidad de planes sectoriales o </w:t>
      </w:r>
      <w:proofErr w:type="spellStart"/>
      <w:r w:rsidRPr="002F286D">
        <w:rPr>
          <w:lang w:val="es-ES_tradnl"/>
        </w:rPr>
        <w:t>subsectoriales</w:t>
      </w:r>
      <w:proofErr w:type="spellEnd"/>
      <w:r w:rsidRPr="002F286D">
        <w:rPr>
          <w:lang w:val="es-ES_tradnl"/>
        </w:rPr>
        <w:t>.</w:t>
      </w:r>
    </w:p>
    <w:p w14:paraId="449893B6" w14:textId="77777777" w:rsidR="002F286D" w:rsidRPr="002F286D" w:rsidRDefault="002F286D" w:rsidP="002F286D">
      <w:pPr>
        <w:pStyle w:val="Heading1"/>
        <w:rPr>
          <w:lang w:val="es-ES_tradnl"/>
        </w:rPr>
      </w:pPr>
      <w:r w:rsidRPr="002F286D">
        <w:rPr>
          <w:lang w:val="es-ES_tradnl"/>
        </w:rPr>
        <w:t>Hoy por hoy es cada vez más necesario contar con una estrategia integral de cumplimiento que defina la hoja de ruta del país para alcanzar las metas de producción y consumo de dos grupos de sustancias relacionadas entre sí (HCFC y HFC) y proponga actividades que tengan efectos sobre ambos, sea de manera integrada, en lo posible, o bien en paralelo.</w:t>
      </w:r>
    </w:p>
    <w:p w14:paraId="2C6791BF" w14:textId="77777777" w:rsidR="002F286D" w:rsidRPr="002F286D" w:rsidRDefault="002F286D" w:rsidP="002F286D">
      <w:pPr>
        <w:pStyle w:val="Heading1"/>
        <w:rPr>
          <w:lang w:val="es-ES_tradnl"/>
        </w:rPr>
      </w:pPr>
      <w:r w:rsidRPr="002F286D">
        <w:rPr>
          <w:lang w:val="es-ES_tradnl"/>
        </w:rPr>
        <w:t>Una estrategia integral de cumplimiento (con elementos de los programas país y de las estrategias transversales de los PGEH) permitirá a los países del artículo 5 eliminar HCFC y reducir HFC de manera eficaz y coordinada según sus respectivas circunstancias y prioridades. Una estrategia integral permitirá evitar la duplicación o descoordinación de actividades apuntadas al logro de ambos objetivos; integrar los recursos del PGEH y de los planes de reducción de HFC a fin de ejecutar actividades relevantes y de mayor impacto en cada área donde ello sea factible (p. ej., sector servicio técnico de equipos de refrigeración), y planificar los Acuerdos de reducción de HFC en base a los Acuerdos PGEH vigentes a fin de evitar un aumento innecesario en la carga administrativa y de supervisión, notificación y verificación que genera el ejecutar simultáneamente dos acuerdos plurianuales.</w:t>
      </w:r>
    </w:p>
    <w:p w14:paraId="1C4F240E" w14:textId="77777777" w:rsidR="002F286D" w:rsidRPr="002F286D" w:rsidRDefault="002F286D" w:rsidP="002F286D">
      <w:pPr>
        <w:pStyle w:val="Heading1"/>
        <w:rPr>
          <w:lang w:val="es-ES_tradnl"/>
        </w:rPr>
      </w:pPr>
      <w:r w:rsidRPr="002F286D">
        <w:rPr>
          <w:lang w:val="es-ES_tradnl"/>
        </w:rPr>
        <w:t xml:space="preserve">Se propone que la estrategia integral de cumplimiento sea un documento breve que se adjunte a la etapa I del plan de reducción de HFC, que contenga el compromiso del Gobierno de armonizar, en la medida de lo posible, la eliminación de HCFC y la reducción del consumo de HFC, y que proponga el calendario </w:t>
      </w:r>
      <w:r w:rsidRPr="002F286D">
        <w:rPr>
          <w:lang w:val="es-ES_tradnl"/>
        </w:rPr>
        <w:lastRenderedPageBreak/>
        <w:t>de reducción de HCFC (según el Acuerdo en vigor) y de reducción de HFC hasta el año 2030; los tramos del plan de reducción de HFC sincronizados con los tramos del PGEH hasta el año 2030; la metodología, medidas y actividades para evitar aumentos en el consumo de HFC a raíz de la ejecución del PGEH, y un plan para complementar las actividades del PGEH en curso con el plan de reducción de HFC en sectores donde sea posible integrar la eliminación de HCFC y la reducción de HFC.</w:t>
      </w:r>
    </w:p>
    <w:p w14:paraId="2326F47F" w14:textId="77777777" w:rsidR="002F286D" w:rsidRPr="002F286D" w:rsidRDefault="002F286D" w:rsidP="002F286D">
      <w:pPr>
        <w:pStyle w:val="Heading1"/>
        <w:rPr>
          <w:lang w:val="es-ES_tradnl"/>
        </w:rPr>
      </w:pPr>
      <w:r w:rsidRPr="002F286D">
        <w:rPr>
          <w:lang w:val="es-ES_tradnl"/>
        </w:rPr>
        <w:t>En específico, para el sector servicio técnico de equipos de refrigeración, y habida cuenta de que muchas de las actividades debiesen aportar tanto a la eliminación de HCFC como a la reducción de HFC y que las labores de reducción debiesen planificarse a la luz de las actividades del PGEH, la estrategia integral de cumplimiento deberá incluir un cuadro general de la forma en que se pretende evitar la duplicación de esfuerzos, complementar las actividades de eliminación de HCFC y reducción de HFC y utilizar y/o combinar ambas fuentes de financiamiento (PGEH y plan de reducción de HFC) durante la ejecución de las actividades.</w:t>
      </w:r>
    </w:p>
    <w:p w14:paraId="287E6396" w14:textId="77777777" w:rsidR="002F286D" w:rsidRPr="002F286D" w:rsidRDefault="002F286D" w:rsidP="002F286D">
      <w:pPr>
        <w:pStyle w:val="Heading1"/>
        <w:rPr>
          <w:lang w:val="es-ES_tradnl"/>
        </w:rPr>
      </w:pPr>
      <w:r w:rsidRPr="002F286D">
        <w:rPr>
          <w:lang w:val="es-ES_tradnl"/>
        </w:rPr>
        <w:t>Además de presentar un cuadro general de la forma en que se coordinarán la eliminación de HCFC y la reducción de los HFC, la estrategia integral de cumplimiento se considerará también como una guía que permita al Comité Ejecutivo evaluar el plan de reducción de HFC a la luz de las actividades del PGEH en curso y entender de mejor manera la forma en que estas actividades</w:t>
      </w:r>
      <w:r w:rsidRPr="002F286D">
        <w:rPr>
          <w:lang w:val="es-419"/>
        </w:rPr>
        <w:t xml:space="preserve"> </w:t>
      </w:r>
      <w:r w:rsidRPr="002F286D">
        <w:rPr>
          <w:lang w:val="es-ES_tradnl"/>
        </w:rPr>
        <w:t>se complementarán, de ser posible, o bien se ejecutarán en paralelo. La ejecución de las actividades del PGEH seguirá regulada por el Acuerdo entre el Gobierno y el Comité Ejecutivo (en base a la plantilla aprobada en la 76ª reunión). Aunque el Acuerdo de reducción de HFC aún no se redacta, éste se distinguirá del Acuerdo PGEH, entre otras cosas, en términos del calendario de consumo, de la medición del desempeño (toneladas PAO vs CO</w:t>
      </w:r>
      <w:r w:rsidRPr="002F286D">
        <w:rPr>
          <w:vertAlign w:val="subscript"/>
          <w:lang w:val="es-ES_tradnl"/>
        </w:rPr>
        <w:t xml:space="preserve">2 </w:t>
      </w:r>
      <w:r w:rsidRPr="002F286D">
        <w:rPr>
          <w:lang w:val="es-ES_tradnl"/>
        </w:rPr>
        <w:t>equivalente), de los requisitos de verificación y de las políticas que el Comité Ejecutivo pudiere adoptar al respecto. Por ende, por ahora es prematuro hablar de la posible unificación de estos acuerdos. Aun así, la estrategia integral de cumplimiento podría permitir a los países del artículo 5 planificarse de forma tal de sincronizar la operación de los acuerdos hasta donde sea posible, de presentar los tramos del PGEH y de reducción de HFC de manera simultánea, de que las verificaciones abarquen tanto los HCFC como los HFC y de racionalizar las labores administrativas y de presentación de informes. Para elaborar los planes de reducción de los HFC, los países del artículo 5 podrán hacer uso del formato de estrategia integral de cumplimiento que se presenta en el Anexo III al presente documento.</w:t>
      </w:r>
    </w:p>
    <w:p w14:paraId="13BF34DB" w14:textId="77777777" w:rsidR="002F286D" w:rsidRPr="002F286D" w:rsidRDefault="002F286D" w:rsidP="002F286D">
      <w:pPr>
        <w:pStyle w:val="Heading1"/>
        <w:rPr>
          <w:lang w:val="es-ES_tradnl"/>
        </w:rPr>
      </w:pPr>
      <w:r w:rsidRPr="002F286D">
        <w:rPr>
          <w:lang w:val="es-ES_tradnl"/>
        </w:rPr>
        <w:t>Como se indica en la Sección I del presente documento, además de integrar las actividades del sector servicio técnico de equipos de refrigeración, la Secretaría propone considerar la preparación y ejecución de proyectos de inversión en sectores donde existan alternativas probadas a fin de limitar el aumento y/o lograr reducciones sostenidas en el consumo de HFC mientras se elaboran y ponen en marcha los planes de reducción de HFC, en el entendido de que dichos proyectos se integrarán a la etapa I de los planes de reducción de HFC una vez presentados y aprobados por el Comité Ejecutivo.</w:t>
      </w:r>
    </w:p>
    <w:p w14:paraId="295B745A" w14:textId="77777777" w:rsidR="002F286D" w:rsidRPr="002F286D" w:rsidRDefault="002F286D" w:rsidP="002F286D">
      <w:pPr>
        <w:pStyle w:val="Heading1"/>
        <w:rPr>
          <w:lang w:val="es-ES_tradnl"/>
        </w:rPr>
      </w:pPr>
      <w:r w:rsidRPr="002F286D">
        <w:rPr>
          <w:lang w:val="es-ES_tradnl"/>
        </w:rPr>
        <w:t>El Comité Ejecutivo podrá estimar oportuno solicitar a los países del artículo 5 que adjunten a sus planes de reducción de HFC una estrategia integral de cumplimiento que fije la estrategia transversal para integrar la eliminación de HCFC y la reducción de HFC hasta el año 2030 y que incluya:</w:t>
      </w:r>
    </w:p>
    <w:p w14:paraId="348B5C6A" w14:textId="77777777" w:rsidR="002F286D" w:rsidRPr="002F286D" w:rsidRDefault="002F286D" w:rsidP="002F286D">
      <w:pPr>
        <w:pStyle w:val="Heading2"/>
        <w:numPr>
          <w:ilvl w:val="1"/>
          <w:numId w:val="38"/>
        </w:numPr>
        <w:ind w:left="1417" w:hanging="567"/>
        <w:rPr>
          <w:lang w:val="es-ES_tradnl"/>
        </w:rPr>
      </w:pPr>
      <w:r w:rsidRPr="002F286D">
        <w:rPr>
          <w:lang w:val="es-ES_tradnl"/>
        </w:rPr>
        <w:t>El compromiso del Gobierno en cuanto a armonizar la eliminación de HCFC y la reducción en el consumo de HFC;</w:t>
      </w:r>
    </w:p>
    <w:p w14:paraId="61651F6E" w14:textId="77777777" w:rsidR="002F286D" w:rsidRPr="002F286D" w:rsidRDefault="002F286D" w:rsidP="002F286D">
      <w:pPr>
        <w:pStyle w:val="Heading2"/>
        <w:numPr>
          <w:ilvl w:val="1"/>
          <w:numId w:val="38"/>
        </w:numPr>
        <w:ind w:left="1417" w:hanging="567"/>
        <w:rPr>
          <w:lang w:val="es-ES_tradnl"/>
        </w:rPr>
      </w:pPr>
      <w:r w:rsidRPr="002F286D">
        <w:rPr>
          <w:lang w:val="es-ES_tradnl"/>
        </w:rPr>
        <w:t>Una propuesta de calendarización del consumo máximo de HCFC y HFC permitido hasta el año 2030;</w:t>
      </w:r>
    </w:p>
    <w:p w14:paraId="7F739F64" w14:textId="77777777" w:rsidR="002F286D" w:rsidRPr="002F286D" w:rsidRDefault="002F286D" w:rsidP="002F286D">
      <w:pPr>
        <w:pStyle w:val="Heading2"/>
        <w:numPr>
          <w:ilvl w:val="1"/>
          <w:numId w:val="38"/>
        </w:numPr>
        <w:ind w:left="1417" w:hanging="567"/>
        <w:rPr>
          <w:lang w:val="es-ES_tradnl"/>
        </w:rPr>
      </w:pPr>
      <w:r w:rsidRPr="002F286D">
        <w:rPr>
          <w:lang w:val="es-ES_tradnl"/>
        </w:rPr>
        <w:t>Una propuesta de sincronización de los tramos del PGEH y del plan de reducción de HFC hasta el año 2030;</w:t>
      </w:r>
    </w:p>
    <w:p w14:paraId="11B6B6C4" w14:textId="77777777" w:rsidR="002F286D" w:rsidRPr="002F286D" w:rsidRDefault="002F286D" w:rsidP="002F286D">
      <w:pPr>
        <w:pStyle w:val="Heading2"/>
        <w:numPr>
          <w:ilvl w:val="1"/>
          <w:numId w:val="38"/>
        </w:numPr>
        <w:ind w:left="1417" w:hanging="567"/>
        <w:rPr>
          <w:lang w:val="es-ES_tradnl"/>
        </w:rPr>
      </w:pPr>
      <w:r w:rsidRPr="002F286D">
        <w:rPr>
          <w:lang w:val="es-ES_tradnl"/>
        </w:rPr>
        <w:t>La metodología y las medidas y actividades específicas que se proponen para controlar el aumento en el consumo de HFC, incluyendo el resultante de la ejecución del PGEH; y</w:t>
      </w:r>
    </w:p>
    <w:p w14:paraId="298E455C" w14:textId="77777777" w:rsidR="002F286D" w:rsidRPr="002F286D" w:rsidRDefault="002F286D" w:rsidP="002F286D">
      <w:pPr>
        <w:pStyle w:val="Heading2"/>
        <w:numPr>
          <w:ilvl w:val="1"/>
          <w:numId w:val="38"/>
        </w:numPr>
        <w:ind w:left="1417" w:hanging="567"/>
        <w:rPr>
          <w:lang w:val="es-ES_tradnl"/>
        </w:rPr>
      </w:pPr>
      <w:r w:rsidRPr="002F286D">
        <w:rPr>
          <w:lang w:val="es-ES_tradnl"/>
        </w:rPr>
        <w:lastRenderedPageBreak/>
        <w:t>Determinar las aplicaciones o sectores del país en que:</w:t>
      </w:r>
    </w:p>
    <w:p w14:paraId="5207B130" w14:textId="77777777" w:rsidR="002F286D" w:rsidRPr="002F286D" w:rsidRDefault="002F286D" w:rsidP="002F286D">
      <w:pPr>
        <w:pStyle w:val="Heading3"/>
        <w:numPr>
          <w:ilvl w:val="2"/>
          <w:numId w:val="39"/>
        </w:numPr>
        <w:ind w:left="1985" w:hanging="567"/>
        <w:rPr>
          <w:lang w:val="es-ES_tradnl"/>
        </w:rPr>
      </w:pPr>
      <w:r w:rsidRPr="002F286D">
        <w:rPr>
          <w:lang w:val="es-ES_tradnl"/>
        </w:rPr>
        <w:t>Sea posible ejecutar de forma integrada la eliminación de HCFC y la reducción de HFC, tales como el sector servicio técnico de equipos de refrigeración, agregando un plan para combinar las actividades del PGEH en curso con el plan de reducción de HFC que se propone; y</w:t>
      </w:r>
    </w:p>
    <w:p w14:paraId="0C256551" w14:textId="77777777" w:rsidR="002F286D" w:rsidRPr="002F286D" w:rsidRDefault="002F286D" w:rsidP="002F286D">
      <w:pPr>
        <w:pStyle w:val="Heading3"/>
        <w:widowControl/>
        <w:numPr>
          <w:ilvl w:val="2"/>
          <w:numId w:val="39"/>
        </w:numPr>
        <w:ind w:left="1985" w:hanging="567"/>
        <w:rPr>
          <w:lang w:val="es-ES_tradnl"/>
        </w:rPr>
      </w:pPr>
      <w:r w:rsidRPr="002F286D">
        <w:rPr>
          <w:lang w:val="es-ES_tradnl"/>
        </w:rPr>
        <w:t>La reducción de HFC no se pueda integrar con las actividades de eliminación de HCFC en curso y deba por ende ejecutarse por separado, sea en paralelo o con posterioridad a la eliminación de los HCFC.</w:t>
      </w:r>
    </w:p>
    <w:p w14:paraId="11AC96F7" w14:textId="77777777" w:rsidR="002F286D" w:rsidRPr="002F286D" w:rsidRDefault="002F286D" w:rsidP="002F286D">
      <w:pPr>
        <w:rPr>
          <w:b/>
          <w:lang w:val="es-ES_tradnl"/>
        </w:rPr>
      </w:pPr>
      <w:r w:rsidRPr="002F286D">
        <w:rPr>
          <w:b/>
          <w:lang w:val="es-ES_tradnl"/>
        </w:rPr>
        <w:t>Recomendación</w:t>
      </w:r>
    </w:p>
    <w:p w14:paraId="25284099" w14:textId="77777777" w:rsidR="002F286D" w:rsidRPr="002F286D" w:rsidRDefault="002F286D" w:rsidP="002F286D">
      <w:pPr>
        <w:rPr>
          <w:lang w:val="es-ES_tradnl"/>
        </w:rPr>
      </w:pPr>
    </w:p>
    <w:p w14:paraId="1442F045" w14:textId="77777777" w:rsidR="002F286D" w:rsidRPr="002F286D" w:rsidRDefault="002F286D" w:rsidP="002F286D">
      <w:pPr>
        <w:pStyle w:val="Heading1"/>
        <w:widowControl w:val="0"/>
        <w:tabs>
          <w:tab w:val="clear" w:pos="0"/>
        </w:tabs>
        <w:rPr>
          <w:lang w:val="es-ES_tradnl"/>
        </w:rPr>
      </w:pPr>
      <w:r w:rsidRPr="002F286D">
        <w:rPr>
          <w:lang w:val="es-ES_tradnl"/>
        </w:rPr>
        <w:t>El Comité Ejecutivo podrá estimar oportuno:</w:t>
      </w:r>
    </w:p>
    <w:p w14:paraId="670853DE" w14:textId="77777777" w:rsidR="002F286D" w:rsidRPr="002F286D" w:rsidRDefault="002F286D" w:rsidP="002F286D">
      <w:pPr>
        <w:pStyle w:val="Heading2"/>
        <w:numPr>
          <w:ilvl w:val="0"/>
          <w:numId w:val="0"/>
        </w:numPr>
        <w:rPr>
          <w:i/>
          <w:lang w:val="es-ES_tradnl"/>
        </w:rPr>
      </w:pPr>
      <w:r w:rsidRPr="002F286D">
        <w:rPr>
          <w:i/>
          <w:lang w:val="es-ES_tradnl"/>
        </w:rPr>
        <w:t>Sector espuma de poliuretano</w:t>
      </w:r>
    </w:p>
    <w:p w14:paraId="45864C75" w14:textId="77777777" w:rsidR="002F286D" w:rsidRPr="002F286D" w:rsidRDefault="002F286D" w:rsidP="002F286D">
      <w:pPr>
        <w:pStyle w:val="Heading2"/>
        <w:rPr>
          <w:lang w:val="es-ES_tradnl"/>
        </w:rPr>
      </w:pPr>
      <w:r w:rsidRPr="002F286D">
        <w:rPr>
          <w:lang w:val="es-ES_tradnl"/>
        </w:rPr>
        <w:t>Aprobar los planes de eliminación total de HFC en estado puro o contenido en polioles premezclados en el sector espuma de poliuretano, en el entendido de que:</w:t>
      </w:r>
    </w:p>
    <w:p w14:paraId="4C2FF20E" w14:textId="77777777" w:rsidR="002F286D" w:rsidRPr="002F286D" w:rsidRDefault="002F286D" w:rsidP="002F286D">
      <w:pPr>
        <w:pStyle w:val="Heading3"/>
        <w:rPr>
          <w:lang w:val="es-ES_tradnl"/>
        </w:rPr>
      </w:pPr>
      <w:r w:rsidRPr="002F286D">
        <w:rPr>
          <w:lang w:val="es-ES_tradnl"/>
        </w:rPr>
        <w:t>Todo país del artículo 5 que presente un proyecto deberá haber ratificado la Enmienda de Kigali o presentado una nota formal manifestando su intención de ratificarla;</w:t>
      </w:r>
    </w:p>
    <w:p w14:paraId="6665DCD9" w14:textId="77777777" w:rsidR="002F286D" w:rsidRPr="002F286D" w:rsidRDefault="002F286D" w:rsidP="002F286D">
      <w:pPr>
        <w:pStyle w:val="Heading3"/>
        <w:rPr>
          <w:lang w:val="es-ES_tradnl"/>
        </w:rPr>
      </w:pPr>
      <w:r w:rsidRPr="002F286D">
        <w:rPr>
          <w:lang w:val="es-ES_tradnl"/>
        </w:rPr>
        <w:t>El plan sectorial deberá ejecutarse en coordinación o de manera complementaria con las actividades del PGEH del país;</w:t>
      </w:r>
    </w:p>
    <w:p w14:paraId="6CD661E5" w14:textId="77777777" w:rsidR="002F286D" w:rsidRPr="002F286D" w:rsidRDefault="002F286D" w:rsidP="002F286D">
      <w:pPr>
        <w:pStyle w:val="Heading3"/>
        <w:rPr>
          <w:lang w:val="es-ES_tradnl"/>
        </w:rPr>
      </w:pPr>
      <w:r w:rsidRPr="002F286D">
        <w:rPr>
          <w:lang w:val="es-ES_tradnl"/>
        </w:rPr>
        <w:t>El plan sectorial se integrará a la etapa I del plan de reducción de HFC una vez que este último sea formulado;</w:t>
      </w:r>
    </w:p>
    <w:p w14:paraId="77769210" w14:textId="77777777" w:rsidR="002F286D" w:rsidRPr="002F286D" w:rsidRDefault="002F286D" w:rsidP="002F286D">
      <w:pPr>
        <w:pStyle w:val="Heading3"/>
        <w:rPr>
          <w:lang w:val="es-ES_tradnl"/>
        </w:rPr>
      </w:pPr>
      <w:r w:rsidRPr="002F286D">
        <w:rPr>
          <w:lang w:val="es-ES_tradnl"/>
        </w:rPr>
        <w:t>El volumen de HFC eliminado por el plan sectorial se restará del punto de partida para reducciones sostenidas en el consumo de HFC, una vez establecido;</w:t>
      </w:r>
    </w:p>
    <w:p w14:paraId="1ACE6407" w14:textId="77777777" w:rsidR="002F286D" w:rsidRPr="002F286D" w:rsidRDefault="002F286D" w:rsidP="002F286D">
      <w:pPr>
        <w:pStyle w:val="Heading3"/>
        <w:rPr>
          <w:lang w:val="es-ES_tradnl"/>
        </w:rPr>
      </w:pPr>
      <w:r w:rsidRPr="002F286D">
        <w:rPr>
          <w:lang w:val="es-ES_tradnl"/>
        </w:rPr>
        <w:t>El país informará las exportaciones de HFC contenido en polioles premezclados durante el trienio previo a la presentación del proyecto, restándose el promedio resultante del punto de partida para la reducción sostenida en el uso de HFC, una vez establecido; y</w:t>
      </w:r>
    </w:p>
    <w:p w14:paraId="7AE02FE4" w14:textId="77777777" w:rsidR="002F286D" w:rsidRPr="002F286D" w:rsidRDefault="002F286D" w:rsidP="002F286D">
      <w:pPr>
        <w:pStyle w:val="Heading3"/>
        <w:rPr>
          <w:lang w:val="es-ES_tradnl"/>
        </w:rPr>
      </w:pPr>
      <w:r w:rsidRPr="002F286D">
        <w:rPr>
          <w:lang w:val="es-ES_tradnl"/>
        </w:rPr>
        <w:t>Que el país dispondrá las medidas regulatorias que permitan velar por la sustentabilidad de la eliminación total de HCFC y HFC en estado puro y/o contenido en polioles premezclados en el sector;</w:t>
      </w:r>
    </w:p>
    <w:p w14:paraId="059A2562" w14:textId="77777777" w:rsidR="002F286D" w:rsidRPr="002F286D" w:rsidRDefault="002F286D" w:rsidP="002F286D">
      <w:pPr>
        <w:pStyle w:val="Heading2"/>
        <w:rPr>
          <w:lang w:val="es-ES_tradnl"/>
        </w:rPr>
      </w:pPr>
      <w:r w:rsidRPr="002F286D">
        <w:rPr>
          <w:lang w:val="es-ES_tradnl"/>
        </w:rPr>
        <w:t>Aprobar caso a caso, cuando se le solicite, el financiamiento preparatorio para la elaboración de planes sectoriales, de conformidad con las directrices preliminares para la elaboración de planes de reducción de HFC en países del artículo 5 que recoge el documento UNEP/OzL.Pro/ExCom/86/88;</w:t>
      </w:r>
    </w:p>
    <w:p w14:paraId="0598D548" w14:textId="77777777" w:rsidR="002F286D" w:rsidRPr="002F286D" w:rsidRDefault="002F286D" w:rsidP="002F286D">
      <w:pPr>
        <w:keepNext/>
        <w:keepLines/>
        <w:rPr>
          <w:i/>
          <w:lang w:val="es-ES_tradnl"/>
        </w:rPr>
      </w:pPr>
      <w:r w:rsidRPr="002F286D">
        <w:rPr>
          <w:i/>
          <w:lang w:val="es-ES_tradnl"/>
        </w:rPr>
        <w:t>Sector espuma de poliestireno extruido</w:t>
      </w:r>
    </w:p>
    <w:p w14:paraId="533AD2DE" w14:textId="77777777" w:rsidR="002F286D" w:rsidRPr="002F286D" w:rsidRDefault="002F286D" w:rsidP="002F286D">
      <w:pPr>
        <w:keepNext/>
        <w:keepLines/>
        <w:rPr>
          <w:lang w:val="es-ES_tradnl"/>
        </w:rPr>
      </w:pPr>
    </w:p>
    <w:p w14:paraId="12B872D5" w14:textId="77777777" w:rsidR="002F286D" w:rsidRPr="002F286D" w:rsidRDefault="002F286D" w:rsidP="002F286D">
      <w:pPr>
        <w:pStyle w:val="Heading2"/>
        <w:keepLines/>
        <w:widowControl/>
        <w:rPr>
          <w:lang w:val="es-ES_tradnl"/>
        </w:rPr>
      </w:pPr>
      <w:r w:rsidRPr="002F286D">
        <w:rPr>
          <w:lang w:val="es-ES_tradnl"/>
        </w:rPr>
        <w:t>Incentivar a países del artículo 5 sin consumo sectorial de HFC a considerar al más breve plazo la adopción de medidas regulatorias que permitan impedir el aumento de la capacidad instalada de fabricación de espuma de poliestireno extruido de alto PCA a base de HFC;</w:t>
      </w:r>
    </w:p>
    <w:p w14:paraId="491A033C" w14:textId="77777777" w:rsidR="002F286D" w:rsidRPr="002F286D" w:rsidRDefault="002F286D" w:rsidP="002F286D">
      <w:pPr>
        <w:keepNext/>
        <w:keepLines/>
        <w:rPr>
          <w:i/>
          <w:lang w:val="es-ES_tradnl"/>
        </w:rPr>
      </w:pPr>
      <w:r w:rsidRPr="002F286D">
        <w:rPr>
          <w:i/>
          <w:lang w:val="es-ES_tradnl"/>
        </w:rPr>
        <w:lastRenderedPageBreak/>
        <w:t>Sector refrigeradores residenciales y comerciales</w:t>
      </w:r>
      <w:r w:rsidRPr="002F286D">
        <w:rPr>
          <w:lang w:val="es-ES_tradnl"/>
        </w:rPr>
        <w:t xml:space="preserve"> </w:t>
      </w:r>
      <w:r w:rsidRPr="002F286D">
        <w:rPr>
          <w:i/>
          <w:lang w:val="es-ES_tradnl"/>
        </w:rPr>
        <w:t>autónomos</w:t>
      </w:r>
    </w:p>
    <w:p w14:paraId="05FAF4EF" w14:textId="77777777" w:rsidR="002F286D" w:rsidRPr="002F286D" w:rsidRDefault="002F286D" w:rsidP="002F286D">
      <w:pPr>
        <w:keepNext/>
        <w:keepLines/>
        <w:rPr>
          <w:lang w:val="es-ES_tradnl"/>
        </w:rPr>
      </w:pPr>
    </w:p>
    <w:p w14:paraId="07932A07" w14:textId="77777777" w:rsidR="002F286D" w:rsidRPr="002F286D" w:rsidRDefault="002F286D" w:rsidP="002F286D">
      <w:pPr>
        <w:pStyle w:val="Heading2"/>
        <w:keepNext/>
        <w:keepLines/>
        <w:rPr>
          <w:lang w:val="es-ES_tradnl"/>
        </w:rPr>
      </w:pPr>
      <w:r w:rsidRPr="002F286D">
        <w:rPr>
          <w:lang w:val="es-ES_tradnl"/>
        </w:rPr>
        <w:t>Aprobar los planes de eliminación total de HFC en el sector fabricación de refrigeradores residenciales y comerciales autónomos, en el entendido de que:</w:t>
      </w:r>
    </w:p>
    <w:p w14:paraId="33C000AC" w14:textId="77777777" w:rsidR="002F286D" w:rsidRPr="002F286D" w:rsidRDefault="002F286D" w:rsidP="002F286D">
      <w:pPr>
        <w:pStyle w:val="Heading3"/>
        <w:rPr>
          <w:lang w:val="es-ES_tradnl"/>
        </w:rPr>
      </w:pPr>
      <w:r w:rsidRPr="002F286D">
        <w:rPr>
          <w:lang w:val="es-ES_tradnl"/>
        </w:rPr>
        <w:t>Todo país del artículo 5 que presente un proyecto deberá haber ratificado la Enmienda de Kigali o presentado una nota formal manifestando su intención de ratificarla;</w:t>
      </w:r>
    </w:p>
    <w:p w14:paraId="67E68DD0" w14:textId="77777777" w:rsidR="002F286D" w:rsidRPr="002F286D" w:rsidRDefault="002F286D" w:rsidP="002F286D">
      <w:pPr>
        <w:pStyle w:val="Heading3"/>
        <w:rPr>
          <w:lang w:val="es-ES_tradnl"/>
        </w:rPr>
      </w:pPr>
      <w:r w:rsidRPr="002F286D">
        <w:rPr>
          <w:lang w:val="es-ES_tradnl"/>
        </w:rPr>
        <w:t>El plan sectorial se integrará a la etapa I del plan de reducción de HFC una vez que este último sea formulado;</w:t>
      </w:r>
    </w:p>
    <w:p w14:paraId="12DB61C5" w14:textId="77777777" w:rsidR="002F286D" w:rsidRPr="002F286D" w:rsidRDefault="002F286D" w:rsidP="002F286D">
      <w:pPr>
        <w:pStyle w:val="Heading3"/>
        <w:rPr>
          <w:lang w:val="es-ES_tradnl"/>
        </w:rPr>
      </w:pPr>
      <w:r w:rsidRPr="002F286D">
        <w:rPr>
          <w:lang w:val="es-ES_tradnl"/>
        </w:rPr>
        <w:t>El volumen de HFC eliminado por el plan sectorial se restará del punto de partida para reducciones sostenidas en el consumo de HFC, una vez establecido; y</w:t>
      </w:r>
    </w:p>
    <w:p w14:paraId="05428A0D" w14:textId="77777777" w:rsidR="002F286D" w:rsidRPr="002F286D" w:rsidRDefault="002F286D" w:rsidP="002F286D">
      <w:pPr>
        <w:pStyle w:val="Heading3"/>
        <w:rPr>
          <w:lang w:val="es-ES_tradnl"/>
        </w:rPr>
      </w:pPr>
      <w:r w:rsidRPr="002F286D">
        <w:rPr>
          <w:lang w:val="es-ES_tradnl"/>
        </w:rPr>
        <w:t>Que el país dispondrá las medidas regulatorias que permitan velar por la sustentabilidad de la eliminación de HFC en el sector refrigeradores residenciales y comerciales autónomos;</w:t>
      </w:r>
    </w:p>
    <w:p w14:paraId="64B6D323" w14:textId="77777777" w:rsidR="002F286D" w:rsidRPr="002F286D" w:rsidRDefault="002F286D" w:rsidP="002F286D">
      <w:pPr>
        <w:pStyle w:val="Heading2"/>
        <w:rPr>
          <w:lang w:val="es-ES_tradnl"/>
        </w:rPr>
      </w:pPr>
      <w:r w:rsidRPr="002F286D">
        <w:rPr>
          <w:lang w:val="es-ES_tradnl"/>
        </w:rPr>
        <w:t>Aprobar caso a caso, cuando se le solicite, el financiamiento preparatorio para la elaboración de planes sectoriales, de conformidad con las directrices preliminares para la elaboración de planes de reducción de HFC en países del artículo 5 que recoge el documento UNEP/OzL.Pro/ExCom/86/88;</w:t>
      </w:r>
    </w:p>
    <w:p w14:paraId="54CECB51" w14:textId="77777777" w:rsidR="002F286D" w:rsidRPr="002F286D" w:rsidRDefault="002F286D" w:rsidP="002F286D">
      <w:pPr>
        <w:rPr>
          <w:i/>
          <w:lang w:val="es-ES_tradnl"/>
        </w:rPr>
      </w:pPr>
      <w:r w:rsidRPr="002F286D">
        <w:rPr>
          <w:i/>
          <w:lang w:val="es-ES_tradnl"/>
        </w:rPr>
        <w:t>Sector climatización</w:t>
      </w:r>
    </w:p>
    <w:p w14:paraId="1C5AC7F5" w14:textId="77777777" w:rsidR="002F286D" w:rsidRPr="002F286D" w:rsidRDefault="002F286D" w:rsidP="002F286D">
      <w:pPr>
        <w:rPr>
          <w:lang w:val="es-ES_tradnl"/>
        </w:rPr>
      </w:pPr>
    </w:p>
    <w:p w14:paraId="61B5BA33" w14:textId="77777777" w:rsidR="002F286D" w:rsidRPr="002F286D" w:rsidRDefault="002F286D" w:rsidP="002F286D">
      <w:pPr>
        <w:pStyle w:val="Heading2"/>
        <w:rPr>
          <w:lang w:val="es-ES_tradnl"/>
        </w:rPr>
      </w:pPr>
      <w:r w:rsidRPr="002F286D">
        <w:rPr>
          <w:lang w:val="es-ES_tradnl"/>
        </w:rPr>
        <w:t>Invitar a países del artículo 5 que fabriquen equipos de climatización residencial y/o comercial a estudiar la posibilidad de integrar la eliminación sectorial de HCFC-22, R-410A y demás HFC de alto PCA a fin de velar por la sustentabilidad de las alternativas de menor PCA</w:t>
      </w:r>
      <w:r w:rsidRPr="002F286D">
        <w:rPr>
          <w:lang w:val="es-419"/>
        </w:rPr>
        <w:t xml:space="preserve"> </w:t>
      </w:r>
      <w:r w:rsidRPr="002F286D">
        <w:rPr>
          <w:lang w:val="es-ES_tradnl"/>
        </w:rPr>
        <w:t>adoptadas;</w:t>
      </w:r>
    </w:p>
    <w:p w14:paraId="13B51936" w14:textId="77777777" w:rsidR="002F286D" w:rsidRPr="002F286D" w:rsidRDefault="002F286D" w:rsidP="002F286D">
      <w:pPr>
        <w:pStyle w:val="Heading2"/>
        <w:rPr>
          <w:lang w:val="es-ES_tradnl"/>
        </w:rPr>
      </w:pPr>
      <w:r w:rsidRPr="002F286D">
        <w:rPr>
          <w:lang w:val="es-ES_tradnl"/>
        </w:rPr>
        <w:t>Aprobar un número limitado de planes sectoriales para la eliminación total de R-410A y otras alternativas de alto PCA utilizadas en la fabricación de unidades de climatización residencial y/o comercial en países que han eliminado, están eliminando o se proponen a corto plazo eliminar los HCFC-22 en el sector, en el entendido de que:</w:t>
      </w:r>
    </w:p>
    <w:p w14:paraId="2594E890" w14:textId="77777777" w:rsidR="002F286D" w:rsidRPr="002F286D" w:rsidRDefault="002F286D" w:rsidP="002F286D">
      <w:pPr>
        <w:pStyle w:val="Heading3"/>
        <w:rPr>
          <w:lang w:val="es-ES_tradnl"/>
        </w:rPr>
      </w:pPr>
      <w:r w:rsidRPr="002F286D">
        <w:rPr>
          <w:lang w:val="es-ES_tradnl"/>
        </w:rPr>
        <w:t>Todo país del artículo 5 que presente un proyecto deberá haber ratificado la Enmienda de Kigali o presentado una nota formal manifestando su intención de ratificarla;</w:t>
      </w:r>
    </w:p>
    <w:p w14:paraId="5CAA9BC6" w14:textId="77777777" w:rsidR="002F286D" w:rsidRPr="002F286D" w:rsidRDefault="002F286D" w:rsidP="002F286D">
      <w:pPr>
        <w:pStyle w:val="Heading3"/>
        <w:rPr>
          <w:lang w:val="es-ES_tradnl"/>
        </w:rPr>
      </w:pPr>
      <w:r w:rsidRPr="002F286D">
        <w:rPr>
          <w:lang w:val="es-ES_tradnl"/>
        </w:rPr>
        <w:t>El plan sectorial se integrará a la etapa I del plan de reducción de HFC una vez que este último sea formulado;</w:t>
      </w:r>
    </w:p>
    <w:p w14:paraId="1826F55E" w14:textId="77777777" w:rsidR="002F286D" w:rsidRPr="002F286D" w:rsidRDefault="002F286D" w:rsidP="002F286D">
      <w:pPr>
        <w:pStyle w:val="Heading3"/>
        <w:rPr>
          <w:lang w:val="es-ES_tradnl"/>
        </w:rPr>
      </w:pPr>
      <w:r w:rsidRPr="002F286D">
        <w:rPr>
          <w:lang w:val="es-ES_tradnl"/>
        </w:rPr>
        <w:t>El volumen de HFC eliminado por el plan sectorial se restará del punto de partida para reducciones sostenidas en el consumo de HFC, una vez establecido; y</w:t>
      </w:r>
    </w:p>
    <w:p w14:paraId="299FC2FC" w14:textId="77777777" w:rsidR="002F286D" w:rsidRPr="002F286D" w:rsidRDefault="002F286D" w:rsidP="002F286D">
      <w:pPr>
        <w:pStyle w:val="Heading3"/>
        <w:rPr>
          <w:lang w:val="es-ES_tradnl"/>
        </w:rPr>
      </w:pPr>
      <w:r w:rsidRPr="002F286D">
        <w:rPr>
          <w:lang w:val="es-ES_tradnl"/>
        </w:rPr>
        <w:t>Que el país dispondrá las medidas regulatorias que permitan velar por la sustentabilidad de la eliminación de R-410A y otras alternativas de alto PCA en el sector específico que se haya convertido;</w:t>
      </w:r>
    </w:p>
    <w:p w14:paraId="7107FAFC" w14:textId="77777777" w:rsidR="002F286D" w:rsidRPr="002F286D" w:rsidRDefault="002F286D" w:rsidP="00A2155A">
      <w:pPr>
        <w:pStyle w:val="Heading2"/>
        <w:keepNext/>
        <w:keepLines/>
        <w:rPr>
          <w:lang w:val="es-ES_tradnl"/>
        </w:rPr>
      </w:pPr>
      <w:r w:rsidRPr="002F286D">
        <w:rPr>
          <w:lang w:val="es-ES_tradnl"/>
        </w:rPr>
        <w:lastRenderedPageBreak/>
        <w:t>Aprobar caso a caso, cuando se le solicite, el financiamiento preparatorio para la elaboración de planes sectoriales, de conformidad con las directrices preliminares para la elaboración de planes de reducción de HFC en países del artículo 5 que recoge el documento UNEP/OzL.Pro/ExCom/86/88;</w:t>
      </w:r>
    </w:p>
    <w:p w14:paraId="5A3493A6" w14:textId="77777777" w:rsidR="002F286D" w:rsidRPr="002F286D" w:rsidRDefault="002F286D" w:rsidP="002F286D">
      <w:pPr>
        <w:keepNext/>
        <w:keepLines/>
        <w:rPr>
          <w:i/>
          <w:lang w:val="es-ES_tradnl"/>
        </w:rPr>
      </w:pPr>
      <w:r w:rsidRPr="002F286D">
        <w:rPr>
          <w:i/>
          <w:lang w:val="es-ES_tradnl"/>
        </w:rPr>
        <w:t>Consumo especializado de HFC-23</w:t>
      </w:r>
    </w:p>
    <w:p w14:paraId="2E113C1F" w14:textId="77777777" w:rsidR="002F286D" w:rsidRPr="002F286D" w:rsidRDefault="002F286D" w:rsidP="002F286D">
      <w:pPr>
        <w:keepNext/>
        <w:keepLines/>
        <w:rPr>
          <w:i/>
          <w:lang w:val="es-ES_tradnl"/>
        </w:rPr>
      </w:pPr>
    </w:p>
    <w:p w14:paraId="663C2B8E" w14:textId="77777777" w:rsidR="002F286D" w:rsidRPr="002F286D" w:rsidRDefault="002F286D" w:rsidP="002F286D">
      <w:pPr>
        <w:pStyle w:val="Heading2"/>
        <w:keepNext/>
        <w:keepLines/>
        <w:widowControl/>
        <w:rPr>
          <w:lang w:val="es-ES_tradnl"/>
        </w:rPr>
      </w:pPr>
      <w:r w:rsidRPr="002F286D">
        <w:rPr>
          <w:lang w:val="es-ES_tradnl"/>
        </w:rPr>
        <w:t>Incentivar a países del artículo 5 sin consumo de HFC-23 a estudiar medidas regulatorias que impidan su introducción;</w:t>
      </w:r>
    </w:p>
    <w:p w14:paraId="2D5FCC91" w14:textId="77777777" w:rsidR="002F286D" w:rsidRPr="002F286D" w:rsidRDefault="002F286D" w:rsidP="002F286D">
      <w:pPr>
        <w:pStyle w:val="Heading2"/>
        <w:rPr>
          <w:lang w:val="es-ES_tradnl"/>
        </w:rPr>
      </w:pPr>
      <w:r w:rsidRPr="002F286D">
        <w:rPr>
          <w:lang w:val="es-ES_tradnl"/>
        </w:rPr>
        <w:t>Incentivar a países del artículo 5 que han informado consumo de HFC-23 en extinción de incendios y otros usos especializados a considerarlo en sus planes de reducción</w:t>
      </w:r>
      <w:r w:rsidRPr="002F286D">
        <w:rPr>
          <w:lang w:val="es-419"/>
        </w:rPr>
        <w:t xml:space="preserve"> </w:t>
      </w:r>
      <w:r w:rsidRPr="002F286D">
        <w:rPr>
          <w:lang w:val="es-ES_tradnl"/>
        </w:rPr>
        <w:t>como prioritario, habida cuenta del altísimo potencial de calentamiento atmosférico que posee el HFC-23;</w:t>
      </w:r>
    </w:p>
    <w:p w14:paraId="4F379251" w14:textId="77777777" w:rsidR="002F286D" w:rsidRPr="002F286D" w:rsidRDefault="002F286D" w:rsidP="002F286D">
      <w:pPr>
        <w:pStyle w:val="Heading1"/>
        <w:numPr>
          <w:ilvl w:val="0"/>
          <w:numId w:val="0"/>
        </w:numPr>
        <w:rPr>
          <w:i/>
          <w:lang w:val="es-ES_tradnl"/>
        </w:rPr>
      </w:pPr>
      <w:r w:rsidRPr="002F286D">
        <w:rPr>
          <w:i/>
          <w:lang w:val="es-ES_tradnl"/>
        </w:rPr>
        <w:t>Estrategia integral de cumplimiento</w:t>
      </w:r>
    </w:p>
    <w:p w14:paraId="21F51DBF" w14:textId="77777777" w:rsidR="002F286D" w:rsidRPr="002F286D" w:rsidRDefault="002F286D" w:rsidP="002F286D">
      <w:pPr>
        <w:pStyle w:val="Heading2"/>
        <w:rPr>
          <w:lang w:val="es-ES_tradnl"/>
        </w:rPr>
      </w:pPr>
      <w:r w:rsidRPr="002F286D">
        <w:rPr>
          <w:lang w:val="es-ES_tradnl"/>
        </w:rPr>
        <w:t>Solicitar a los países del artículo 5 que adjunten a sus planes de reducción de HFC una estrategia integral de cumplimiento que fije la estrategia transversal para integrar la eliminación de HCFC y la reducción de HFC hasta el año 2030 y que incluya:</w:t>
      </w:r>
    </w:p>
    <w:p w14:paraId="5382E694" w14:textId="77777777" w:rsidR="002F286D" w:rsidRPr="002F286D" w:rsidRDefault="002F286D" w:rsidP="002F286D">
      <w:pPr>
        <w:pStyle w:val="Heading3"/>
        <w:rPr>
          <w:lang w:val="es-ES_tradnl"/>
        </w:rPr>
      </w:pPr>
      <w:r w:rsidRPr="002F286D">
        <w:rPr>
          <w:lang w:val="es-ES_tradnl"/>
        </w:rPr>
        <w:t>El compromiso del Gobierno en cuanto a armonizar la eliminación de HCFC y la reducción en el consumo de HFC;</w:t>
      </w:r>
    </w:p>
    <w:p w14:paraId="5FD48C76" w14:textId="77777777" w:rsidR="002F286D" w:rsidRPr="002F286D" w:rsidRDefault="002F286D" w:rsidP="002F286D">
      <w:pPr>
        <w:pStyle w:val="Heading3"/>
        <w:rPr>
          <w:lang w:val="es-ES_tradnl"/>
        </w:rPr>
      </w:pPr>
      <w:r w:rsidRPr="002F286D">
        <w:rPr>
          <w:lang w:val="es-ES_tradnl"/>
        </w:rPr>
        <w:t>Una propuesta de calendarización del consumo máximo de HCFC y HFC permitido hasta el año 2030;</w:t>
      </w:r>
    </w:p>
    <w:p w14:paraId="781D7CC1" w14:textId="77777777" w:rsidR="002F286D" w:rsidRPr="002F286D" w:rsidRDefault="002F286D" w:rsidP="002F286D">
      <w:pPr>
        <w:pStyle w:val="Heading3"/>
        <w:rPr>
          <w:lang w:val="es-ES_tradnl"/>
        </w:rPr>
      </w:pPr>
      <w:r w:rsidRPr="002F286D">
        <w:rPr>
          <w:lang w:val="es-ES_tradnl"/>
        </w:rPr>
        <w:t>Una propuesta de sincronización de los tramos del PGEH y del plan de reducción de HFC hasta el año 2030;</w:t>
      </w:r>
    </w:p>
    <w:p w14:paraId="1E47FBEA" w14:textId="77777777" w:rsidR="002F286D" w:rsidRPr="002F286D" w:rsidRDefault="002F286D" w:rsidP="002F286D">
      <w:pPr>
        <w:pStyle w:val="Heading3"/>
        <w:rPr>
          <w:lang w:val="es-ES_tradnl"/>
        </w:rPr>
      </w:pPr>
      <w:r w:rsidRPr="002F286D">
        <w:rPr>
          <w:lang w:val="es-ES_tradnl"/>
        </w:rPr>
        <w:t>La metodología y las medidas y actividades específicas que se proponen para controlar el aumento en el consumo de HFC, incluyendo el que sea resultante de la ejecución del PGEH;</w:t>
      </w:r>
    </w:p>
    <w:p w14:paraId="4A9806F7" w14:textId="77777777" w:rsidR="002F286D" w:rsidRPr="002F286D" w:rsidRDefault="002F286D" w:rsidP="002F286D">
      <w:pPr>
        <w:pStyle w:val="Heading3"/>
        <w:rPr>
          <w:lang w:val="es-ES_tradnl"/>
        </w:rPr>
      </w:pPr>
      <w:r w:rsidRPr="002F286D">
        <w:rPr>
          <w:lang w:val="es-ES_tradnl"/>
        </w:rPr>
        <w:t>Determinar las aplicaciones o sectores del país en que:</w:t>
      </w:r>
    </w:p>
    <w:p w14:paraId="45500C18" w14:textId="77777777" w:rsidR="002F286D" w:rsidRPr="002F286D" w:rsidRDefault="002F286D" w:rsidP="002F286D">
      <w:pPr>
        <w:pStyle w:val="Header4"/>
        <w:rPr>
          <w:lang w:val="es-ES_tradnl"/>
        </w:rPr>
      </w:pPr>
      <w:r w:rsidRPr="002F286D">
        <w:rPr>
          <w:lang w:val="es-ES_tradnl"/>
        </w:rPr>
        <w:t>Sea posible ejecutar de forma integrada la eliminación de HCFC y la reducción de HFC, tales como el sector servicio técnico de equipos de refrigeración, agregando un plan para combinar las actividades del PGEH en curso con el plan de reducción de HFC que se propone; y</w:t>
      </w:r>
    </w:p>
    <w:p w14:paraId="2AECD0CF" w14:textId="77777777" w:rsidR="002F286D" w:rsidRPr="002F286D" w:rsidRDefault="002F286D" w:rsidP="002F286D">
      <w:pPr>
        <w:pStyle w:val="Header4"/>
        <w:rPr>
          <w:lang w:val="es-ES_tradnl"/>
        </w:rPr>
      </w:pPr>
      <w:r w:rsidRPr="002F286D">
        <w:rPr>
          <w:lang w:val="es-ES_tradnl"/>
        </w:rPr>
        <w:t>La reducción de HFC no se pueda integrar con las actividades de eliminación de HCFC en curso y deba por ende ejecutarse por separado, sea en paralelo o con posterioridad a la eliminación de los HCFC.</w:t>
      </w:r>
    </w:p>
    <w:p w14:paraId="401F9962" w14:textId="77777777" w:rsidR="002F286D" w:rsidRDefault="002F286D" w:rsidP="00DB1F86">
      <w:pPr>
        <w:rPr>
          <w:lang w:val="es-ES_tradnl"/>
        </w:rPr>
        <w:sectPr w:rsidR="002F286D" w:rsidSect="00A86E6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bookmarkEnd w:id="1"/>
    <w:p w14:paraId="078FF6A3" w14:textId="77777777" w:rsidR="006F0BB0" w:rsidRPr="006F0BB0" w:rsidRDefault="006F0BB0" w:rsidP="006F0BB0">
      <w:pPr>
        <w:jc w:val="center"/>
        <w:rPr>
          <w:b/>
          <w:lang w:val="es-ES"/>
        </w:rPr>
      </w:pPr>
      <w:r w:rsidRPr="006F0BB0">
        <w:rPr>
          <w:b/>
          <w:lang w:val="es-ES"/>
        </w:rPr>
        <w:lastRenderedPageBreak/>
        <w:t>Anexo I</w:t>
      </w:r>
    </w:p>
    <w:p w14:paraId="38F57793" w14:textId="77777777" w:rsidR="006F0BB0" w:rsidRPr="006F0BB0" w:rsidRDefault="006F0BB0" w:rsidP="006F0BB0">
      <w:pPr>
        <w:pStyle w:val="StyleHeader4Para4Left0Firstline0"/>
        <w:numPr>
          <w:ilvl w:val="0"/>
          <w:numId w:val="0"/>
        </w:numPr>
        <w:spacing w:after="0"/>
        <w:jc w:val="center"/>
        <w:rPr>
          <w:b/>
          <w:sz w:val="22"/>
          <w:lang w:val="es-ES"/>
        </w:rPr>
      </w:pPr>
    </w:p>
    <w:p w14:paraId="3BF90A42" w14:textId="4F64DA2B" w:rsidR="006F0BB0" w:rsidRPr="006F0BB0" w:rsidRDefault="006F0BB0" w:rsidP="006F0BB0">
      <w:pPr>
        <w:pStyle w:val="StyleHeader4Para4Left0Firstline0"/>
        <w:numPr>
          <w:ilvl w:val="0"/>
          <w:numId w:val="0"/>
        </w:numPr>
        <w:spacing w:after="0"/>
        <w:jc w:val="center"/>
        <w:rPr>
          <w:b/>
          <w:sz w:val="22"/>
          <w:lang w:val="es-ES"/>
        </w:rPr>
      </w:pPr>
      <w:r w:rsidRPr="006F0BB0">
        <w:rPr>
          <w:b/>
          <w:sz w:val="22"/>
          <w:lang w:val="es-ES"/>
        </w:rPr>
        <w:t>MODELO PARA PRONOSTICAR EL POSIBLE RIESGO DE INCUMPLIMIENTO CON LAS OBLIGACIONES DE REDUCCIÓN DE LOS HFC DE LOS 91 PAÍSES QUE OPERAN AL AMPARO DEL ARTÍCULO 5 QUE NOTIFICARON CONSUMO DE HFC EN 2019 EN SUS INFORMES PRESENTADOS CON ARREGLO AL ARTÍCULO 7 DEL PROTOCOLO O EN LOS INFORMES SOBRE LA EJECUCIÓN DEL PROGRAMA DE PAÍS</w:t>
      </w:r>
    </w:p>
    <w:p w14:paraId="5C0B673B" w14:textId="77777777" w:rsidR="006F0BB0" w:rsidRPr="006F0BB0" w:rsidRDefault="006F0BB0" w:rsidP="006F0BB0">
      <w:pPr>
        <w:pStyle w:val="StyleHeader4Para4Left0Firstline0"/>
        <w:numPr>
          <w:ilvl w:val="0"/>
          <w:numId w:val="0"/>
        </w:numPr>
        <w:spacing w:after="0"/>
        <w:jc w:val="left"/>
        <w:rPr>
          <w:sz w:val="22"/>
          <w:lang w:val="es-ES"/>
        </w:rPr>
      </w:pPr>
    </w:p>
    <w:p w14:paraId="3C8439CB" w14:textId="77777777" w:rsidR="006F0BB0" w:rsidRPr="006F0BB0" w:rsidRDefault="006F0BB0" w:rsidP="006F0BB0">
      <w:pPr>
        <w:pStyle w:val="StyleHeader4Para4Left0Firstline0"/>
        <w:numPr>
          <w:ilvl w:val="0"/>
          <w:numId w:val="0"/>
        </w:numPr>
        <w:spacing w:after="0"/>
        <w:jc w:val="left"/>
        <w:rPr>
          <w:szCs w:val="20"/>
          <w:lang w:val="es-ES"/>
        </w:rPr>
      </w:pPr>
      <w:r w:rsidRPr="006F0BB0">
        <w:rPr>
          <w:b/>
          <w:szCs w:val="20"/>
          <w:lang w:val="es-ES"/>
        </w:rPr>
        <w:t>Hipótesis:</w:t>
      </w:r>
      <w:r w:rsidRPr="006F0BB0">
        <w:rPr>
          <w:szCs w:val="20"/>
          <w:lang w:val="es-ES"/>
        </w:rPr>
        <w:t xml:space="preserve"> Tasa de crecimiento anual = 3 %</w:t>
      </w:r>
    </w:p>
    <w:p w14:paraId="37AA0826" w14:textId="77777777" w:rsidR="006F0BB0" w:rsidRPr="006F0BB0" w:rsidRDefault="006F0BB0" w:rsidP="006F0BB0">
      <w:pPr>
        <w:pStyle w:val="StyleHeader4Para4Left0Firstline0"/>
        <w:numPr>
          <w:ilvl w:val="0"/>
          <w:numId w:val="0"/>
        </w:numPr>
        <w:spacing w:after="0"/>
        <w:jc w:val="left"/>
        <w:rPr>
          <w:szCs w:val="20"/>
          <w:lang w:val="es-ES"/>
        </w:rPr>
      </w:pPr>
      <w:r w:rsidRPr="006F0BB0">
        <w:rPr>
          <w:b/>
          <w:szCs w:val="20"/>
          <w:lang w:val="es-ES"/>
        </w:rPr>
        <w:t>Unidades</w:t>
      </w:r>
      <w:r w:rsidRPr="006F0BB0">
        <w:rPr>
          <w:szCs w:val="20"/>
          <w:lang w:val="es-ES"/>
        </w:rPr>
        <w:t xml:space="preserve">: </w:t>
      </w:r>
      <w:proofErr w:type="spellStart"/>
      <w:r w:rsidRPr="006F0BB0">
        <w:rPr>
          <w:szCs w:val="20"/>
          <w:lang w:val="es-ES"/>
        </w:rPr>
        <w:t>tm</w:t>
      </w:r>
      <w:proofErr w:type="spellEnd"/>
      <w:r w:rsidRPr="006F0BB0">
        <w:rPr>
          <w:szCs w:val="20"/>
          <w:lang w:val="es-ES"/>
        </w:rPr>
        <w:t xml:space="preserve"> </w:t>
      </w:r>
      <w:proofErr w:type="spellStart"/>
      <w:r w:rsidRPr="006F0BB0">
        <w:rPr>
          <w:szCs w:val="20"/>
          <w:lang w:val="es-ES"/>
        </w:rPr>
        <w:t>eq</w:t>
      </w:r>
      <w:proofErr w:type="spellEnd"/>
      <w:r w:rsidRPr="006F0BB0">
        <w:rPr>
          <w:szCs w:val="20"/>
          <w:lang w:val="es-ES"/>
        </w:rPr>
        <w:t xml:space="preserve"> de CO</w:t>
      </w:r>
      <w:r w:rsidRPr="006F0BB0">
        <w:rPr>
          <w:szCs w:val="20"/>
          <w:vertAlign w:val="subscript"/>
          <w:lang w:val="es-ES"/>
        </w:rPr>
        <w:t>2</w:t>
      </w:r>
      <w:r w:rsidRPr="006F0BB0">
        <w:rPr>
          <w:szCs w:val="20"/>
          <w:lang w:val="es-ES"/>
        </w:rPr>
        <w:t xml:space="preserve"> </w:t>
      </w:r>
    </w:p>
    <w:p w14:paraId="110766C2" w14:textId="39376575" w:rsidR="006F0BB0" w:rsidRPr="006F0BB0" w:rsidRDefault="006F0BB0" w:rsidP="006F0BB0">
      <w:pPr>
        <w:pStyle w:val="StyleHeader4Para4Left0Firstline0"/>
        <w:numPr>
          <w:ilvl w:val="0"/>
          <w:numId w:val="0"/>
        </w:numPr>
        <w:spacing w:after="0"/>
        <w:jc w:val="left"/>
        <w:rPr>
          <w:szCs w:val="20"/>
          <w:lang w:val="es-ES"/>
        </w:rPr>
      </w:pPr>
      <w:r w:rsidRPr="006F0BB0">
        <w:rPr>
          <w:szCs w:val="20"/>
          <w:lang w:val="es-ES"/>
        </w:rPr>
        <w:t>Los países se ordenan según el posible riesgo de incumplimiento, sobre la base de los datos que figuran en la columna “Consumo en 2024/nivel básico de HFC), desde los de menor riesgo a los de mayor riesgo. Cuando el valor supera el 100 %, el consumo estimado en 2024 es mayor que el nivel básico estimado de HFC (que incluye el componente de HCFC) (</w:t>
      </w:r>
      <w:r w:rsidR="0046187E">
        <w:rPr>
          <w:szCs w:val="20"/>
          <w:lang w:val="es-ES"/>
        </w:rPr>
        <w:t>siete</w:t>
      </w:r>
      <w:r w:rsidRPr="006F0BB0">
        <w:rPr>
          <w:szCs w:val="20"/>
          <w:lang w:val="es-ES"/>
        </w:rPr>
        <w:t xml:space="preserve"> países)</w:t>
      </w:r>
    </w:p>
    <w:p w14:paraId="63FDE8DB" w14:textId="77777777" w:rsidR="006F0BB0" w:rsidRPr="006F0BB0" w:rsidRDefault="006F0BB0" w:rsidP="006F0BB0">
      <w:pPr>
        <w:pStyle w:val="StyleHeader4Para4Left0Firstline0"/>
        <w:numPr>
          <w:ilvl w:val="0"/>
          <w:numId w:val="0"/>
        </w:numPr>
        <w:spacing w:after="0"/>
        <w:jc w:val="left"/>
        <w:rPr>
          <w:sz w:val="22"/>
          <w:lang w:val="es-ES"/>
        </w:rPr>
      </w:pPr>
    </w:p>
    <w:tbl>
      <w:tblPr>
        <w:tblW w:w="10396" w:type="dxa"/>
        <w:tblInd w:w="-431" w:type="dxa"/>
        <w:tblCellMar>
          <w:left w:w="70" w:type="dxa"/>
          <w:right w:w="70" w:type="dxa"/>
        </w:tblCellMar>
        <w:tblLook w:val="04A0" w:firstRow="1" w:lastRow="0" w:firstColumn="1" w:lastColumn="0" w:noHBand="0" w:noVBand="1"/>
      </w:tblPr>
      <w:tblGrid>
        <w:gridCol w:w="1560"/>
        <w:gridCol w:w="950"/>
        <w:gridCol w:w="950"/>
        <w:gridCol w:w="950"/>
        <w:gridCol w:w="950"/>
        <w:gridCol w:w="950"/>
        <w:gridCol w:w="950"/>
        <w:gridCol w:w="950"/>
        <w:gridCol w:w="1005"/>
        <w:gridCol w:w="1181"/>
      </w:tblGrid>
      <w:tr w:rsidR="006F0BB0" w:rsidRPr="00EB2CAE" w14:paraId="420E4240" w14:textId="77777777" w:rsidTr="007D1DBA">
        <w:trPr>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B053C" w14:textId="77777777" w:rsidR="006F0BB0" w:rsidRPr="006F0BB0" w:rsidRDefault="006F0BB0" w:rsidP="007D1DBA">
            <w:pPr>
              <w:jc w:val="left"/>
              <w:rPr>
                <w:b/>
                <w:bCs/>
                <w:sz w:val="18"/>
                <w:szCs w:val="18"/>
                <w:lang w:val="es-419" w:eastAsia="es-419"/>
              </w:rPr>
            </w:pPr>
            <w:r w:rsidRPr="006F0BB0">
              <w:rPr>
                <w:b/>
                <w:bCs/>
                <w:sz w:val="18"/>
                <w:szCs w:val="18"/>
                <w:lang w:val="es-419" w:eastAsia="es-419"/>
              </w:rPr>
              <w:t>País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36482F2"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2019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20067F0"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4A03CD9"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24B48CB"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D34663E"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2023</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E4331D7"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2024</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2DBCC5D" w14:textId="77777777" w:rsidR="006F0BB0" w:rsidRPr="006F0BB0" w:rsidRDefault="006F0BB0" w:rsidP="007D1DBA">
            <w:pPr>
              <w:ind w:left="-79" w:right="-101"/>
              <w:jc w:val="center"/>
              <w:rPr>
                <w:b/>
                <w:bCs/>
                <w:sz w:val="18"/>
                <w:szCs w:val="18"/>
                <w:lang w:val="es-419" w:eastAsia="es-419"/>
              </w:rPr>
            </w:pPr>
            <w:r w:rsidRPr="006F0BB0">
              <w:rPr>
                <w:b/>
                <w:bCs/>
                <w:sz w:val="18"/>
                <w:szCs w:val="18"/>
                <w:lang w:val="es-419" w:eastAsia="es-419"/>
              </w:rPr>
              <w:t xml:space="preserve">Promedio </w:t>
            </w:r>
          </w:p>
          <w:p w14:paraId="353BDBA9" w14:textId="77777777" w:rsidR="006F0BB0" w:rsidRPr="006F0BB0" w:rsidRDefault="006F0BB0" w:rsidP="007D1DBA">
            <w:pPr>
              <w:ind w:left="-79" w:right="-101"/>
              <w:jc w:val="center"/>
              <w:rPr>
                <w:b/>
                <w:bCs/>
                <w:sz w:val="18"/>
                <w:szCs w:val="18"/>
                <w:lang w:val="es-419" w:eastAsia="es-419"/>
              </w:rPr>
            </w:pPr>
            <w:r w:rsidRPr="006F0BB0">
              <w:rPr>
                <w:b/>
                <w:bCs/>
                <w:sz w:val="18"/>
                <w:szCs w:val="18"/>
                <w:lang w:val="es-419" w:eastAsia="es-419"/>
              </w:rPr>
              <w:t xml:space="preserve">de HFC  </w:t>
            </w:r>
          </w:p>
          <w:p w14:paraId="5466ADFF" w14:textId="77777777" w:rsidR="006F0BB0" w:rsidRPr="006F0BB0" w:rsidRDefault="006F0BB0" w:rsidP="007D1DBA">
            <w:pPr>
              <w:ind w:left="-79" w:right="-101"/>
              <w:jc w:val="center"/>
              <w:rPr>
                <w:b/>
                <w:bCs/>
                <w:sz w:val="18"/>
                <w:szCs w:val="18"/>
                <w:lang w:val="es-419" w:eastAsia="es-419"/>
              </w:rPr>
            </w:pPr>
            <w:r w:rsidRPr="006F0BB0">
              <w:rPr>
                <w:b/>
                <w:bCs/>
                <w:sz w:val="18"/>
                <w:szCs w:val="18"/>
                <w:lang w:val="es-419" w:eastAsia="es-419"/>
              </w:rPr>
              <w:t>(2020-2024)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022DF40B"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Nivel básico completo de HFC</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37F80CC2" w14:textId="77777777" w:rsidR="006F0BB0" w:rsidRPr="006F0BB0" w:rsidRDefault="006F0BB0" w:rsidP="007D1DBA">
            <w:pPr>
              <w:tabs>
                <w:tab w:val="left" w:pos="1206"/>
              </w:tabs>
              <w:ind w:left="-54"/>
              <w:jc w:val="center"/>
              <w:rPr>
                <w:b/>
                <w:bCs/>
                <w:sz w:val="18"/>
                <w:szCs w:val="18"/>
                <w:lang w:val="es-419" w:eastAsia="es-419"/>
              </w:rPr>
            </w:pPr>
            <w:r w:rsidRPr="006F0BB0">
              <w:rPr>
                <w:b/>
                <w:bCs/>
                <w:sz w:val="18"/>
                <w:szCs w:val="18"/>
                <w:lang w:val="es-419" w:eastAsia="es-419"/>
              </w:rPr>
              <w:t xml:space="preserve">Consumo en 2024 / Nivel básico de HFC </w:t>
            </w:r>
          </w:p>
        </w:tc>
      </w:tr>
      <w:tr w:rsidR="006F0BB0" w:rsidRPr="006F0BB0" w14:paraId="652EFC3E"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105E94" w14:textId="77777777" w:rsidR="006F0BB0" w:rsidRPr="006F0BB0" w:rsidRDefault="006F0BB0" w:rsidP="007D1DBA">
            <w:pPr>
              <w:jc w:val="left"/>
              <w:rPr>
                <w:sz w:val="18"/>
                <w:szCs w:val="18"/>
                <w:lang w:val="es-419" w:eastAsia="es-419"/>
              </w:rPr>
            </w:pPr>
            <w:r w:rsidRPr="006F0BB0">
              <w:rPr>
                <w:sz w:val="18"/>
                <w:szCs w:val="18"/>
                <w:lang w:val="es-419" w:eastAsia="es-419"/>
              </w:rPr>
              <w:t>Líbano</w:t>
            </w:r>
          </w:p>
        </w:tc>
        <w:tc>
          <w:tcPr>
            <w:tcW w:w="950" w:type="dxa"/>
            <w:tcBorders>
              <w:top w:val="nil"/>
              <w:left w:val="nil"/>
              <w:bottom w:val="single" w:sz="4" w:space="0" w:color="auto"/>
              <w:right w:val="single" w:sz="4" w:space="0" w:color="auto"/>
            </w:tcBorders>
            <w:shd w:val="clear" w:color="auto" w:fill="auto"/>
            <w:noWrap/>
            <w:hideMark/>
          </w:tcPr>
          <w:p w14:paraId="6709189F" w14:textId="77777777" w:rsidR="006F0BB0" w:rsidRPr="006F0BB0" w:rsidRDefault="006F0BB0" w:rsidP="007D1DBA">
            <w:pPr>
              <w:jc w:val="right"/>
              <w:rPr>
                <w:sz w:val="18"/>
                <w:szCs w:val="18"/>
                <w:lang w:val="es-419" w:eastAsia="es-419"/>
              </w:rPr>
            </w:pPr>
            <w:r w:rsidRPr="006F0BB0">
              <w:rPr>
                <w:sz w:val="18"/>
                <w:szCs w:val="18"/>
                <w:lang w:val="es-419" w:eastAsia="es-419"/>
              </w:rPr>
              <w:t>30 069</w:t>
            </w:r>
          </w:p>
        </w:tc>
        <w:tc>
          <w:tcPr>
            <w:tcW w:w="950" w:type="dxa"/>
            <w:tcBorders>
              <w:top w:val="nil"/>
              <w:left w:val="nil"/>
              <w:bottom w:val="single" w:sz="4" w:space="0" w:color="auto"/>
              <w:right w:val="single" w:sz="4" w:space="0" w:color="auto"/>
            </w:tcBorders>
            <w:shd w:val="clear" w:color="auto" w:fill="auto"/>
            <w:noWrap/>
            <w:hideMark/>
          </w:tcPr>
          <w:p w14:paraId="63028931" w14:textId="77777777" w:rsidR="006F0BB0" w:rsidRPr="006F0BB0" w:rsidRDefault="006F0BB0" w:rsidP="007D1DBA">
            <w:pPr>
              <w:jc w:val="right"/>
              <w:rPr>
                <w:sz w:val="18"/>
                <w:szCs w:val="18"/>
                <w:lang w:val="es-419" w:eastAsia="es-419"/>
              </w:rPr>
            </w:pPr>
            <w:r w:rsidRPr="006F0BB0">
              <w:rPr>
                <w:sz w:val="18"/>
                <w:szCs w:val="18"/>
                <w:lang w:val="es-419" w:eastAsia="es-419"/>
              </w:rPr>
              <w:t>30 971</w:t>
            </w:r>
          </w:p>
        </w:tc>
        <w:tc>
          <w:tcPr>
            <w:tcW w:w="950" w:type="dxa"/>
            <w:tcBorders>
              <w:top w:val="nil"/>
              <w:left w:val="nil"/>
              <w:bottom w:val="single" w:sz="4" w:space="0" w:color="auto"/>
              <w:right w:val="single" w:sz="4" w:space="0" w:color="auto"/>
            </w:tcBorders>
            <w:shd w:val="clear" w:color="auto" w:fill="auto"/>
            <w:noWrap/>
            <w:hideMark/>
          </w:tcPr>
          <w:p w14:paraId="7355F92F" w14:textId="77777777" w:rsidR="006F0BB0" w:rsidRPr="006F0BB0" w:rsidRDefault="006F0BB0" w:rsidP="007D1DBA">
            <w:pPr>
              <w:jc w:val="right"/>
              <w:rPr>
                <w:sz w:val="18"/>
                <w:szCs w:val="18"/>
                <w:lang w:val="es-419" w:eastAsia="es-419"/>
              </w:rPr>
            </w:pPr>
            <w:r w:rsidRPr="006F0BB0">
              <w:rPr>
                <w:sz w:val="18"/>
                <w:szCs w:val="18"/>
                <w:lang w:val="es-419" w:eastAsia="es-419"/>
              </w:rPr>
              <w:t>31 900</w:t>
            </w:r>
          </w:p>
        </w:tc>
        <w:tc>
          <w:tcPr>
            <w:tcW w:w="950" w:type="dxa"/>
            <w:tcBorders>
              <w:top w:val="nil"/>
              <w:left w:val="nil"/>
              <w:bottom w:val="single" w:sz="4" w:space="0" w:color="auto"/>
              <w:right w:val="single" w:sz="4" w:space="0" w:color="auto"/>
            </w:tcBorders>
            <w:shd w:val="clear" w:color="auto" w:fill="auto"/>
            <w:noWrap/>
            <w:hideMark/>
          </w:tcPr>
          <w:p w14:paraId="44457EDA" w14:textId="77777777" w:rsidR="006F0BB0" w:rsidRPr="006F0BB0" w:rsidRDefault="006F0BB0" w:rsidP="007D1DBA">
            <w:pPr>
              <w:jc w:val="right"/>
              <w:rPr>
                <w:sz w:val="18"/>
                <w:szCs w:val="18"/>
                <w:lang w:val="es-419" w:eastAsia="es-419"/>
              </w:rPr>
            </w:pPr>
            <w:r w:rsidRPr="006F0BB0">
              <w:rPr>
                <w:sz w:val="18"/>
                <w:szCs w:val="18"/>
                <w:lang w:val="es-419" w:eastAsia="es-419"/>
              </w:rPr>
              <w:t>32 857</w:t>
            </w:r>
          </w:p>
        </w:tc>
        <w:tc>
          <w:tcPr>
            <w:tcW w:w="950" w:type="dxa"/>
            <w:tcBorders>
              <w:top w:val="nil"/>
              <w:left w:val="nil"/>
              <w:bottom w:val="single" w:sz="4" w:space="0" w:color="auto"/>
              <w:right w:val="single" w:sz="4" w:space="0" w:color="auto"/>
            </w:tcBorders>
            <w:shd w:val="clear" w:color="auto" w:fill="auto"/>
            <w:noWrap/>
            <w:hideMark/>
          </w:tcPr>
          <w:p w14:paraId="392057EC" w14:textId="77777777" w:rsidR="006F0BB0" w:rsidRPr="006F0BB0" w:rsidRDefault="006F0BB0" w:rsidP="007D1DBA">
            <w:pPr>
              <w:jc w:val="right"/>
              <w:rPr>
                <w:sz w:val="18"/>
                <w:szCs w:val="18"/>
                <w:lang w:val="es-419" w:eastAsia="es-419"/>
              </w:rPr>
            </w:pPr>
            <w:r w:rsidRPr="006F0BB0">
              <w:rPr>
                <w:sz w:val="18"/>
                <w:szCs w:val="18"/>
                <w:lang w:val="es-419" w:eastAsia="es-419"/>
              </w:rPr>
              <w:t>33 842</w:t>
            </w:r>
          </w:p>
        </w:tc>
        <w:tc>
          <w:tcPr>
            <w:tcW w:w="950" w:type="dxa"/>
            <w:tcBorders>
              <w:top w:val="nil"/>
              <w:left w:val="nil"/>
              <w:bottom w:val="single" w:sz="4" w:space="0" w:color="auto"/>
              <w:right w:val="single" w:sz="4" w:space="0" w:color="auto"/>
            </w:tcBorders>
            <w:shd w:val="clear" w:color="auto" w:fill="auto"/>
            <w:noWrap/>
            <w:hideMark/>
          </w:tcPr>
          <w:p w14:paraId="28D9D3B3" w14:textId="77777777" w:rsidR="006F0BB0" w:rsidRPr="006F0BB0" w:rsidRDefault="006F0BB0" w:rsidP="007D1DBA">
            <w:pPr>
              <w:jc w:val="right"/>
              <w:rPr>
                <w:sz w:val="18"/>
                <w:szCs w:val="18"/>
                <w:lang w:val="es-419" w:eastAsia="es-419"/>
              </w:rPr>
            </w:pPr>
            <w:r w:rsidRPr="006F0BB0">
              <w:rPr>
                <w:sz w:val="18"/>
                <w:szCs w:val="18"/>
                <w:lang w:val="es-419" w:eastAsia="es-419"/>
              </w:rPr>
              <w:t>34 858</w:t>
            </w:r>
          </w:p>
        </w:tc>
        <w:tc>
          <w:tcPr>
            <w:tcW w:w="950" w:type="dxa"/>
            <w:tcBorders>
              <w:top w:val="nil"/>
              <w:left w:val="nil"/>
              <w:bottom w:val="single" w:sz="4" w:space="0" w:color="auto"/>
              <w:right w:val="single" w:sz="4" w:space="0" w:color="auto"/>
            </w:tcBorders>
            <w:shd w:val="clear" w:color="auto" w:fill="auto"/>
            <w:noWrap/>
            <w:hideMark/>
          </w:tcPr>
          <w:p w14:paraId="479B4122" w14:textId="77777777" w:rsidR="006F0BB0" w:rsidRPr="006F0BB0" w:rsidRDefault="006F0BB0" w:rsidP="007D1DBA">
            <w:pPr>
              <w:jc w:val="right"/>
              <w:rPr>
                <w:sz w:val="18"/>
                <w:szCs w:val="18"/>
                <w:lang w:val="es-419" w:eastAsia="es-419"/>
              </w:rPr>
            </w:pPr>
            <w:r w:rsidRPr="006F0BB0">
              <w:rPr>
                <w:sz w:val="18"/>
                <w:szCs w:val="18"/>
                <w:lang w:val="es-419" w:eastAsia="es-419"/>
              </w:rPr>
              <w:t>31 909</w:t>
            </w:r>
          </w:p>
        </w:tc>
        <w:tc>
          <w:tcPr>
            <w:tcW w:w="1005" w:type="dxa"/>
            <w:tcBorders>
              <w:top w:val="nil"/>
              <w:left w:val="nil"/>
              <w:bottom w:val="single" w:sz="4" w:space="0" w:color="auto"/>
              <w:right w:val="single" w:sz="4" w:space="0" w:color="auto"/>
            </w:tcBorders>
            <w:shd w:val="clear" w:color="auto" w:fill="auto"/>
            <w:noWrap/>
            <w:hideMark/>
          </w:tcPr>
          <w:p w14:paraId="2A1E9DA7" w14:textId="77777777" w:rsidR="006F0BB0" w:rsidRPr="006F0BB0" w:rsidRDefault="006F0BB0" w:rsidP="007D1DBA">
            <w:pPr>
              <w:jc w:val="right"/>
              <w:rPr>
                <w:sz w:val="18"/>
                <w:szCs w:val="18"/>
                <w:lang w:val="es-419" w:eastAsia="es-419"/>
              </w:rPr>
            </w:pPr>
            <w:r w:rsidRPr="006F0BB0">
              <w:rPr>
                <w:sz w:val="18"/>
                <w:szCs w:val="18"/>
                <w:lang w:val="es-419" w:eastAsia="es-419"/>
              </w:rPr>
              <w:t>961 593</w:t>
            </w:r>
          </w:p>
        </w:tc>
        <w:tc>
          <w:tcPr>
            <w:tcW w:w="1181" w:type="dxa"/>
            <w:tcBorders>
              <w:top w:val="nil"/>
              <w:left w:val="nil"/>
              <w:bottom w:val="single" w:sz="4" w:space="0" w:color="auto"/>
              <w:right w:val="single" w:sz="4" w:space="0" w:color="auto"/>
            </w:tcBorders>
            <w:shd w:val="clear" w:color="auto" w:fill="auto"/>
            <w:noWrap/>
            <w:hideMark/>
          </w:tcPr>
          <w:p w14:paraId="7392E383" w14:textId="77777777" w:rsidR="006F0BB0" w:rsidRPr="006F0BB0" w:rsidRDefault="006F0BB0" w:rsidP="007D1DBA">
            <w:pPr>
              <w:jc w:val="right"/>
              <w:rPr>
                <w:sz w:val="18"/>
                <w:szCs w:val="18"/>
                <w:lang w:val="es-419" w:eastAsia="es-419"/>
              </w:rPr>
            </w:pPr>
            <w:r w:rsidRPr="006F0BB0">
              <w:rPr>
                <w:sz w:val="18"/>
                <w:szCs w:val="18"/>
                <w:lang w:val="es-419" w:eastAsia="es-419"/>
              </w:rPr>
              <w:t>3,6%</w:t>
            </w:r>
          </w:p>
        </w:tc>
      </w:tr>
      <w:tr w:rsidR="006F0BB0" w:rsidRPr="006F0BB0" w14:paraId="3701721A"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8FC6D7" w14:textId="77777777" w:rsidR="006F0BB0" w:rsidRPr="006F0BB0" w:rsidRDefault="006F0BB0" w:rsidP="007D1DBA">
            <w:pPr>
              <w:jc w:val="left"/>
              <w:rPr>
                <w:sz w:val="18"/>
                <w:szCs w:val="18"/>
                <w:lang w:val="es-419" w:eastAsia="es-419"/>
              </w:rPr>
            </w:pPr>
            <w:r w:rsidRPr="006F0BB0">
              <w:rPr>
                <w:sz w:val="18"/>
                <w:szCs w:val="18"/>
                <w:lang w:val="es-419" w:eastAsia="es-419"/>
              </w:rPr>
              <w:t>Venezuela (República Bolivariana de)</w:t>
            </w:r>
          </w:p>
        </w:tc>
        <w:tc>
          <w:tcPr>
            <w:tcW w:w="950" w:type="dxa"/>
            <w:tcBorders>
              <w:top w:val="nil"/>
              <w:left w:val="nil"/>
              <w:bottom w:val="single" w:sz="4" w:space="0" w:color="auto"/>
              <w:right w:val="single" w:sz="4" w:space="0" w:color="auto"/>
            </w:tcBorders>
            <w:shd w:val="clear" w:color="auto" w:fill="auto"/>
            <w:noWrap/>
            <w:hideMark/>
          </w:tcPr>
          <w:p w14:paraId="64CC0AA8" w14:textId="77777777" w:rsidR="006F0BB0" w:rsidRPr="006F0BB0" w:rsidRDefault="006F0BB0" w:rsidP="007D1DBA">
            <w:pPr>
              <w:jc w:val="right"/>
              <w:rPr>
                <w:sz w:val="18"/>
                <w:szCs w:val="18"/>
                <w:lang w:val="es-419" w:eastAsia="es-419"/>
              </w:rPr>
            </w:pPr>
            <w:r w:rsidRPr="006F0BB0">
              <w:rPr>
                <w:sz w:val="18"/>
                <w:szCs w:val="18"/>
                <w:lang w:val="es-419" w:eastAsia="es-419"/>
              </w:rPr>
              <w:t>240 541</w:t>
            </w:r>
          </w:p>
        </w:tc>
        <w:tc>
          <w:tcPr>
            <w:tcW w:w="950" w:type="dxa"/>
            <w:tcBorders>
              <w:top w:val="nil"/>
              <w:left w:val="nil"/>
              <w:bottom w:val="single" w:sz="4" w:space="0" w:color="auto"/>
              <w:right w:val="single" w:sz="4" w:space="0" w:color="auto"/>
            </w:tcBorders>
            <w:shd w:val="clear" w:color="auto" w:fill="auto"/>
            <w:noWrap/>
            <w:hideMark/>
          </w:tcPr>
          <w:p w14:paraId="02C1C619" w14:textId="77777777" w:rsidR="006F0BB0" w:rsidRPr="006F0BB0" w:rsidRDefault="006F0BB0" w:rsidP="007D1DBA">
            <w:pPr>
              <w:jc w:val="right"/>
              <w:rPr>
                <w:sz w:val="18"/>
                <w:szCs w:val="18"/>
                <w:lang w:val="es-419" w:eastAsia="es-419"/>
              </w:rPr>
            </w:pPr>
            <w:r w:rsidRPr="006F0BB0">
              <w:rPr>
                <w:sz w:val="18"/>
                <w:szCs w:val="18"/>
                <w:lang w:val="es-419" w:eastAsia="es-419"/>
              </w:rPr>
              <w:t>247 757</w:t>
            </w:r>
          </w:p>
        </w:tc>
        <w:tc>
          <w:tcPr>
            <w:tcW w:w="950" w:type="dxa"/>
            <w:tcBorders>
              <w:top w:val="nil"/>
              <w:left w:val="nil"/>
              <w:bottom w:val="single" w:sz="4" w:space="0" w:color="auto"/>
              <w:right w:val="single" w:sz="4" w:space="0" w:color="auto"/>
            </w:tcBorders>
            <w:shd w:val="clear" w:color="auto" w:fill="auto"/>
            <w:noWrap/>
            <w:hideMark/>
          </w:tcPr>
          <w:p w14:paraId="5ED9523F" w14:textId="77777777" w:rsidR="006F0BB0" w:rsidRPr="006F0BB0" w:rsidRDefault="006F0BB0" w:rsidP="007D1DBA">
            <w:pPr>
              <w:jc w:val="right"/>
              <w:rPr>
                <w:sz w:val="18"/>
                <w:szCs w:val="18"/>
                <w:lang w:val="es-419" w:eastAsia="es-419"/>
              </w:rPr>
            </w:pPr>
            <w:r w:rsidRPr="006F0BB0">
              <w:rPr>
                <w:sz w:val="18"/>
                <w:szCs w:val="18"/>
                <w:lang w:val="es-419" w:eastAsia="es-419"/>
              </w:rPr>
              <w:t>255 190</w:t>
            </w:r>
          </w:p>
        </w:tc>
        <w:tc>
          <w:tcPr>
            <w:tcW w:w="950" w:type="dxa"/>
            <w:tcBorders>
              <w:top w:val="nil"/>
              <w:left w:val="nil"/>
              <w:bottom w:val="single" w:sz="4" w:space="0" w:color="auto"/>
              <w:right w:val="single" w:sz="4" w:space="0" w:color="auto"/>
            </w:tcBorders>
            <w:shd w:val="clear" w:color="auto" w:fill="auto"/>
            <w:noWrap/>
            <w:hideMark/>
          </w:tcPr>
          <w:p w14:paraId="52351853" w14:textId="77777777" w:rsidR="006F0BB0" w:rsidRPr="006F0BB0" w:rsidRDefault="006F0BB0" w:rsidP="007D1DBA">
            <w:pPr>
              <w:jc w:val="right"/>
              <w:rPr>
                <w:sz w:val="18"/>
                <w:szCs w:val="18"/>
                <w:lang w:val="es-419" w:eastAsia="es-419"/>
              </w:rPr>
            </w:pPr>
            <w:r w:rsidRPr="006F0BB0">
              <w:rPr>
                <w:sz w:val="18"/>
                <w:szCs w:val="18"/>
                <w:lang w:val="es-419" w:eastAsia="es-419"/>
              </w:rPr>
              <w:t>262 846</w:t>
            </w:r>
          </w:p>
        </w:tc>
        <w:tc>
          <w:tcPr>
            <w:tcW w:w="950" w:type="dxa"/>
            <w:tcBorders>
              <w:top w:val="nil"/>
              <w:left w:val="nil"/>
              <w:bottom w:val="single" w:sz="4" w:space="0" w:color="auto"/>
              <w:right w:val="single" w:sz="4" w:space="0" w:color="auto"/>
            </w:tcBorders>
            <w:shd w:val="clear" w:color="auto" w:fill="auto"/>
            <w:noWrap/>
            <w:hideMark/>
          </w:tcPr>
          <w:p w14:paraId="59F30609" w14:textId="77777777" w:rsidR="006F0BB0" w:rsidRPr="006F0BB0" w:rsidRDefault="006F0BB0" w:rsidP="007D1DBA">
            <w:pPr>
              <w:jc w:val="right"/>
              <w:rPr>
                <w:sz w:val="18"/>
                <w:szCs w:val="18"/>
                <w:lang w:val="es-419" w:eastAsia="es-419"/>
              </w:rPr>
            </w:pPr>
            <w:r w:rsidRPr="006F0BB0">
              <w:rPr>
                <w:sz w:val="18"/>
                <w:szCs w:val="18"/>
                <w:lang w:val="es-419" w:eastAsia="es-419"/>
              </w:rPr>
              <w:t>270 731</w:t>
            </w:r>
          </w:p>
        </w:tc>
        <w:tc>
          <w:tcPr>
            <w:tcW w:w="950" w:type="dxa"/>
            <w:tcBorders>
              <w:top w:val="nil"/>
              <w:left w:val="nil"/>
              <w:bottom w:val="single" w:sz="4" w:space="0" w:color="auto"/>
              <w:right w:val="single" w:sz="4" w:space="0" w:color="auto"/>
            </w:tcBorders>
            <w:shd w:val="clear" w:color="auto" w:fill="auto"/>
            <w:noWrap/>
            <w:hideMark/>
          </w:tcPr>
          <w:p w14:paraId="5B3B77F6" w14:textId="77777777" w:rsidR="006F0BB0" w:rsidRPr="006F0BB0" w:rsidRDefault="006F0BB0" w:rsidP="007D1DBA">
            <w:pPr>
              <w:jc w:val="right"/>
              <w:rPr>
                <w:sz w:val="18"/>
                <w:szCs w:val="18"/>
                <w:lang w:val="es-419" w:eastAsia="es-419"/>
              </w:rPr>
            </w:pPr>
            <w:r w:rsidRPr="006F0BB0">
              <w:rPr>
                <w:sz w:val="18"/>
                <w:szCs w:val="18"/>
                <w:lang w:val="es-419" w:eastAsia="es-419"/>
              </w:rPr>
              <w:t>278 853</w:t>
            </w:r>
          </w:p>
        </w:tc>
        <w:tc>
          <w:tcPr>
            <w:tcW w:w="950" w:type="dxa"/>
            <w:tcBorders>
              <w:top w:val="nil"/>
              <w:left w:val="nil"/>
              <w:bottom w:val="single" w:sz="4" w:space="0" w:color="auto"/>
              <w:right w:val="single" w:sz="4" w:space="0" w:color="auto"/>
            </w:tcBorders>
            <w:shd w:val="clear" w:color="auto" w:fill="auto"/>
            <w:noWrap/>
            <w:hideMark/>
          </w:tcPr>
          <w:p w14:paraId="1375F967" w14:textId="77777777" w:rsidR="006F0BB0" w:rsidRPr="006F0BB0" w:rsidRDefault="006F0BB0" w:rsidP="007D1DBA">
            <w:pPr>
              <w:jc w:val="right"/>
              <w:rPr>
                <w:sz w:val="18"/>
                <w:szCs w:val="18"/>
                <w:lang w:val="es-419" w:eastAsia="es-419"/>
              </w:rPr>
            </w:pPr>
            <w:r w:rsidRPr="006F0BB0">
              <w:rPr>
                <w:sz w:val="18"/>
                <w:szCs w:val="18"/>
                <w:lang w:val="es-419" w:eastAsia="es-419"/>
              </w:rPr>
              <w:t>255 264</w:t>
            </w:r>
          </w:p>
        </w:tc>
        <w:tc>
          <w:tcPr>
            <w:tcW w:w="1005" w:type="dxa"/>
            <w:tcBorders>
              <w:top w:val="nil"/>
              <w:left w:val="nil"/>
              <w:bottom w:val="single" w:sz="4" w:space="0" w:color="auto"/>
              <w:right w:val="single" w:sz="4" w:space="0" w:color="auto"/>
            </w:tcBorders>
            <w:shd w:val="clear" w:color="auto" w:fill="auto"/>
            <w:noWrap/>
            <w:hideMark/>
          </w:tcPr>
          <w:p w14:paraId="2FEDA083" w14:textId="77777777" w:rsidR="006F0BB0" w:rsidRPr="006F0BB0" w:rsidRDefault="006F0BB0" w:rsidP="007D1DBA">
            <w:pPr>
              <w:jc w:val="right"/>
              <w:rPr>
                <w:sz w:val="18"/>
                <w:szCs w:val="18"/>
                <w:lang w:val="es-419" w:eastAsia="es-419"/>
              </w:rPr>
            </w:pPr>
            <w:r w:rsidRPr="006F0BB0">
              <w:rPr>
                <w:sz w:val="18"/>
                <w:szCs w:val="18"/>
                <w:lang w:val="es-419" w:eastAsia="es-419"/>
              </w:rPr>
              <w:t>4 013 429</w:t>
            </w:r>
          </w:p>
        </w:tc>
        <w:tc>
          <w:tcPr>
            <w:tcW w:w="1181" w:type="dxa"/>
            <w:tcBorders>
              <w:top w:val="nil"/>
              <w:left w:val="nil"/>
              <w:bottom w:val="single" w:sz="4" w:space="0" w:color="auto"/>
              <w:right w:val="single" w:sz="4" w:space="0" w:color="auto"/>
            </w:tcBorders>
            <w:shd w:val="clear" w:color="auto" w:fill="auto"/>
            <w:noWrap/>
            <w:hideMark/>
          </w:tcPr>
          <w:p w14:paraId="4A338EFE" w14:textId="77777777" w:rsidR="006F0BB0" w:rsidRPr="006F0BB0" w:rsidRDefault="006F0BB0" w:rsidP="007D1DBA">
            <w:pPr>
              <w:jc w:val="right"/>
              <w:rPr>
                <w:sz w:val="18"/>
                <w:szCs w:val="18"/>
                <w:lang w:val="es-419" w:eastAsia="es-419"/>
              </w:rPr>
            </w:pPr>
            <w:r w:rsidRPr="006F0BB0">
              <w:rPr>
                <w:sz w:val="18"/>
                <w:szCs w:val="18"/>
                <w:lang w:val="es-419" w:eastAsia="es-419"/>
              </w:rPr>
              <w:t>6,9%</w:t>
            </w:r>
          </w:p>
        </w:tc>
      </w:tr>
      <w:tr w:rsidR="006F0BB0" w:rsidRPr="006F0BB0" w14:paraId="50C536F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832264" w14:textId="77777777" w:rsidR="006F0BB0" w:rsidRPr="006F0BB0" w:rsidRDefault="006F0BB0" w:rsidP="007D1DBA">
            <w:pPr>
              <w:jc w:val="left"/>
              <w:rPr>
                <w:sz w:val="18"/>
                <w:szCs w:val="18"/>
                <w:lang w:val="es-419" w:eastAsia="es-419"/>
              </w:rPr>
            </w:pPr>
            <w:r w:rsidRPr="006F0BB0">
              <w:rPr>
                <w:sz w:val="18"/>
                <w:szCs w:val="18"/>
                <w:lang w:val="es-419" w:eastAsia="es-419"/>
              </w:rPr>
              <w:t>Liberia</w:t>
            </w:r>
          </w:p>
        </w:tc>
        <w:tc>
          <w:tcPr>
            <w:tcW w:w="950" w:type="dxa"/>
            <w:tcBorders>
              <w:top w:val="nil"/>
              <w:left w:val="nil"/>
              <w:bottom w:val="single" w:sz="4" w:space="0" w:color="auto"/>
              <w:right w:val="single" w:sz="4" w:space="0" w:color="auto"/>
            </w:tcBorders>
            <w:shd w:val="clear" w:color="auto" w:fill="auto"/>
            <w:noWrap/>
            <w:hideMark/>
          </w:tcPr>
          <w:p w14:paraId="3ACB3317" w14:textId="77777777" w:rsidR="006F0BB0" w:rsidRPr="006F0BB0" w:rsidRDefault="006F0BB0" w:rsidP="007D1DBA">
            <w:pPr>
              <w:jc w:val="right"/>
              <w:rPr>
                <w:sz w:val="18"/>
                <w:szCs w:val="18"/>
                <w:lang w:val="es-419" w:eastAsia="es-419"/>
              </w:rPr>
            </w:pPr>
            <w:r w:rsidRPr="006F0BB0">
              <w:rPr>
                <w:sz w:val="18"/>
                <w:szCs w:val="18"/>
                <w:lang w:val="es-419" w:eastAsia="es-419"/>
              </w:rPr>
              <w:t>12 169</w:t>
            </w:r>
          </w:p>
        </w:tc>
        <w:tc>
          <w:tcPr>
            <w:tcW w:w="950" w:type="dxa"/>
            <w:tcBorders>
              <w:top w:val="nil"/>
              <w:left w:val="nil"/>
              <w:bottom w:val="single" w:sz="4" w:space="0" w:color="auto"/>
              <w:right w:val="single" w:sz="4" w:space="0" w:color="auto"/>
            </w:tcBorders>
            <w:shd w:val="clear" w:color="auto" w:fill="auto"/>
            <w:noWrap/>
            <w:hideMark/>
          </w:tcPr>
          <w:p w14:paraId="2073CE40" w14:textId="77777777" w:rsidR="006F0BB0" w:rsidRPr="006F0BB0" w:rsidRDefault="006F0BB0" w:rsidP="007D1DBA">
            <w:pPr>
              <w:jc w:val="right"/>
              <w:rPr>
                <w:sz w:val="18"/>
                <w:szCs w:val="18"/>
                <w:lang w:val="es-419" w:eastAsia="es-419"/>
              </w:rPr>
            </w:pPr>
            <w:r w:rsidRPr="006F0BB0">
              <w:rPr>
                <w:sz w:val="18"/>
                <w:szCs w:val="18"/>
                <w:lang w:val="es-419" w:eastAsia="es-419"/>
              </w:rPr>
              <w:t>12 534</w:t>
            </w:r>
          </w:p>
        </w:tc>
        <w:tc>
          <w:tcPr>
            <w:tcW w:w="950" w:type="dxa"/>
            <w:tcBorders>
              <w:top w:val="nil"/>
              <w:left w:val="nil"/>
              <w:bottom w:val="single" w:sz="4" w:space="0" w:color="auto"/>
              <w:right w:val="single" w:sz="4" w:space="0" w:color="auto"/>
            </w:tcBorders>
            <w:shd w:val="clear" w:color="auto" w:fill="auto"/>
            <w:noWrap/>
            <w:hideMark/>
          </w:tcPr>
          <w:p w14:paraId="15BC3F60" w14:textId="77777777" w:rsidR="006F0BB0" w:rsidRPr="006F0BB0" w:rsidRDefault="006F0BB0" w:rsidP="007D1DBA">
            <w:pPr>
              <w:jc w:val="right"/>
              <w:rPr>
                <w:sz w:val="18"/>
                <w:szCs w:val="18"/>
                <w:lang w:val="es-419" w:eastAsia="es-419"/>
              </w:rPr>
            </w:pPr>
            <w:r w:rsidRPr="006F0BB0">
              <w:rPr>
                <w:sz w:val="18"/>
                <w:szCs w:val="18"/>
                <w:lang w:val="es-419" w:eastAsia="es-419"/>
              </w:rPr>
              <w:t>12 910</w:t>
            </w:r>
          </w:p>
        </w:tc>
        <w:tc>
          <w:tcPr>
            <w:tcW w:w="950" w:type="dxa"/>
            <w:tcBorders>
              <w:top w:val="nil"/>
              <w:left w:val="nil"/>
              <w:bottom w:val="single" w:sz="4" w:space="0" w:color="auto"/>
              <w:right w:val="single" w:sz="4" w:space="0" w:color="auto"/>
            </w:tcBorders>
            <w:shd w:val="clear" w:color="auto" w:fill="auto"/>
            <w:noWrap/>
            <w:hideMark/>
          </w:tcPr>
          <w:p w14:paraId="71D7FC58" w14:textId="77777777" w:rsidR="006F0BB0" w:rsidRPr="006F0BB0" w:rsidRDefault="006F0BB0" w:rsidP="007D1DBA">
            <w:pPr>
              <w:jc w:val="right"/>
              <w:rPr>
                <w:sz w:val="18"/>
                <w:szCs w:val="18"/>
                <w:lang w:val="es-419" w:eastAsia="es-419"/>
              </w:rPr>
            </w:pPr>
            <w:r w:rsidRPr="006F0BB0">
              <w:rPr>
                <w:sz w:val="18"/>
                <w:szCs w:val="18"/>
                <w:lang w:val="es-419" w:eastAsia="es-419"/>
              </w:rPr>
              <w:t>13 297</w:t>
            </w:r>
          </w:p>
        </w:tc>
        <w:tc>
          <w:tcPr>
            <w:tcW w:w="950" w:type="dxa"/>
            <w:tcBorders>
              <w:top w:val="nil"/>
              <w:left w:val="nil"/>
              <w:bottom w:val="single" w:sz="4" w:space="0" w:color="auto"/>
              <w:right w:val="single" w:sz="4" w:space="0" w:color="auto"/>
            </w:tcBorders>
            <w:shd w:val="clear" w:color="auto" w:fill="auto"/>
            <w:noWrap/>
            <w:hideMark/>
          </w:tcPr>
          <w:p w14:paraId="05F8BE33" w14:textId="77777777" w:rsidR="006F0BB0" w:rsidRPr="006F0BB0" w:rsidRDefault="006F0BB0" w:rsidP="007D1DBA">
            <w:pPr>
              <w:jc w:val="right"/>
              <w:rPr>
                <w:sz w:val="18"/>
                <w:szCs w:val="18"/>
                <w:lang w:val="es-419" w:eastAsia="es-419"/>
              </w:rPr>
            </w:pPr>
            <w:r w:rsidRPr="006F0BB0">
              <w:rPr>
                <w:sz w:val="18"/>
                <w:szCs w:val="18"/>
                <w:lang w:val="es-419" w:eastAsia="es-419"/>
              </w:rPr>
              <w:t>13 696</w:t>
            </w:r>
          </w:p>
        </w:tc>
        <w:tc>
          <w:tcPr>
            <w:tcW w:w="950" w:type="dxa"/>
            <w:tcBorders>
              <w:top w:val="nil"/>
              <w:left w:val="nil"/>
              <w:bottom w:val="single" w:sz="4" w:space="0" w:color="auto"/>
              <w:right w:val="single" w:sz="4" w:space="0" w:color="auto"/>
            </w:tcBorders>
            <w:shd w:val="clear" w:color="auto" w:fill="auto"/>
            <w:noWrap/>
            <w:hideMark/>
          </w:tcPr>
          <w:p w14:paraId="32A55251" w14:textId="77777777" w:rsidR="006F0BB0" w:rsidRPr="006F0BB0" w:rsidRDefault="006F0BB0" w:rsidP="007D1DBA">
            <w:pPr>
              <w:jc w:val="right"/>
              <w:rPr>
                <w:sz w:val="18"/>
                <w:szCs w:val="18"/>
                <w:lang w:val="es-419" w:eastAsia="es-419"/>
              </w:rPr>
            </w:pPr>
            <w:r w:rsidRPr="006F0BB0">
              <w:rPr>
                <w:sz w:val="18"/>
                <w:szCs w:val="18"/>
                <w:lang w:val="es-419" w:eastAsia="es-419"/>
              </w:rPr>
              <w:t>14 107</w:t>
            </w:r>
          </w:p>
        </w:tc>
        <w:tc>
          <w:tcPr>
            <w:tcW w:w="950" w:type="dxa"/>
            <w:tcBorders>
              <w:top w:val="nil"/>
              <w:left w:val="nil"/>
              <w:bottom w:val="single" w:sz="4" w:space="0" w:color="auto"/>
              <w:right w:val="single" w:sz="4" w:space="0" w:color="auto"/>
            </w:tcBorders>
            <w:shd w:val="clear" w:color="auto" w:fill="auto"/>
            <w:noWrap/>
            <w:hideMark/>
          </w:tcPr>
          <w:p w14:paraId="0B53B237" w14:textId="77777777" w:rsidR="006F0BB0" w:rsidRPr="006F0BB0" w:rsidRDefault="006F0BB0" w:rsidP="007D1DBA">
            <w:pPr>
              <w:jc w:val="right"/>
              <w:rPr>
                <w:sz w:val="18"/>
                <w:szCs w:val="18"/>
                <w:lang w:val="es-419" w:eastAsia="es-419"/>
              </w:rPr>
            </w:pPr>
            <w:r w:rsidRPr="006F0BB0">
              <w:rPr>
                <w:sz w:val="18"/>
                <w:szCs w:val="18"/>
                <w:lang w:val="es-419" w:eastAsia="es-419"/>
              </w:rPr>
              <w:t>12 914</w:t>
            </w:r>
          </w:p>
        </w:tc>
        <w:tc>
          <w:tcPr>
            <w:tcW w:w="1005" w:type="dxa"/>
            <w:tcBorders>
              <w:top w:val="nil"/>
              <w:left w:val="nil"/>
              <w:bottom w:val="single" w:sz="4" w:space="0" w:color="auto"/>
              <w:right w:val="single" w:sz="4" w:space="0" w:color="auto"/>
            </w:tcBorders>
            <w:shd w:val="clear" w:color="auto" w:fill="auto"/>
            <w:noWrap/>
            <w:hideMark/>
          </w:tcPr>
          <w:p w14:paraId="24E891B8" w14:textId="77777777" w:rsidR="006F0BB0" w:rsidRPr="006F0BB0" w:rsidRDefault="006F0BB0" w:rsidP="007D1DBA">
            <w:pPr>
              <w:jc w:val="right"/>
              <w:rPr>
                <w:sz w:val="18"/>
                <w:szCs w:val="18"/>
                <w:lang w:val="es-419" w:eastAsia="es-419"/>
              </w:rPr>
            </w:pPr>
            <w:r w:rsidRPr="006F0BB0">
              <w:rPr>
                <w:sz w:val="18"/>
                <w:szCs w:val="18"/>
                <w:lang w:val="es-419" w:eastAsia="es-419"/>
              </w:rPr>
              <w:t>125 211</w:t>
            </w:r>
          </w:p>
        </w:tc>
        <w:tc>
          <w:tcPr>
            <w:tcW w:w="1181" w:type="dxa"/>
            <w:tcBorders>
              <w:top w:val="nil"/>
              <w:left w:val="nil"/>
              <w:bottom w:val="single" w:sz="4" w:space="0" w:color="auto"/>
              <w:right w:val="single" w:sz="4" w:space="0" w:color="auto"/>
            </w:tcBorders>
            <w:shd w:val="clear" w:color="auto" w:fill="auto"/>
            <w:noWrap/>
            <w:hideMark/>
          </w:tcPr>
          <w:p w14:paraId="092AF9FE" w14:textId="77777777" w:rsidR="006F0BB0" w:rsidRPr="006F0BB0" w:rsidRDefault="006F0BB0" w:rsidP="007D1DBA">
            <w:pPr>
              <w:jc w:val="right"/>
              <w:rPr>
                <w:sz w:val="18"/>
                <w:szCs w:val="18"/>
                <w:lang w:val="es-419" w:eastAsia="es-419"/>
              </w:rPr>
            </w:pPr>
            <w:r w:rsidRPr="006F0BB0">
              <w:rPr>
                <w:sz w:val="18"/>
                <w:szCs w:val="18"/>
                <w:lang w:val="es-419" w:eastAsia="es-419"/>
              </w:rPr>
              <w:t>11,3%</w:t>
            </w:r>
          </w:p>
        </w:tc>
      </w:tr>
      <w:tr w:rsidR="006F0BB0" w:rsidRPr="006F0BB0" w14:paraId="2BF995E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D9F287" w14:textId="77777777" w:rsidR="006F0BB0" w:rsidRPr="006F0BB0" w:rsidRDefault="006F0BB0" w:rsidP="007D1DBA">
            <w:pPr>
              <w:jc w:val="left"/>
              <w:rPr>
                <w:sz w:val="18"/>
                <w:szCs w:val="18"/>
                <w:lang w:val="es-419" w:eastAsia="es-419"/>
              </w:rPr>
            </w:pPr>
            <w:r w:rsidRPr="006F0BB0">
              <w:rPr>
                <w:sz w:val="18"/>
                <w:szCs w:val="18"/>
                <w:lang w:val="es-419" w:eastAsia="es-419"/>
              </w:rPr>
              <w:t>Nigeria</w:t>
            </w:r>
          </w:p>
        </w:tc>
        <w:tc>
          <w:tcPr>
            <w:tcW w:w="950" w:type="dxa"/>
            <w:tcBorders>
              <w:top w:val="nil"/>
              <w:left w:val="nil"/>
              <w:bottom w:val="single" w:sz="4" w:space="0" w:color="auto"/>
              <w:right w:val="single" w:sz="4" w:space="0" w:color="auto"/>
            </w:tcBorders>
            <w:shd w:val="clear" w:color="auto" w:fill="auto"/>
            <w:noWrap/>
            <w:hideMark/>
          </w:tcPr>
          <w:p w14:paraId="1C39EE40" w14:textId="77777777" w:rsidR="006F0BB0" w:rsidRPr="006F0BB0" w:rsidRDefault="006F0BB0" w:rsidP="007D1DBA">
            <w:pPr>
              <w:jc w:val="right"/>
              <w:rPr>
                <w:sz w:val="18"/>
                <w:szCs w:val="18"/>
                <w:lang w:val="es-419" w:eastAsia="es-419"/>
              </w:rPr>
            </w:pPr>
            <w:r w:rsidRPr="006F0BB0">
              <w:rPr>
                <w:sz w:val="18"/>
                <w:szCs w:val="18"/>
                <w:lang w:val="es-419" w:eastAsia="es-419"/>
              </w:rPr>
              <w:t>807 493</w:t>
            </w:r>
          </w:p>
        </w:tc>
        <w:tc>
          <w:tcPr>
            <w:tcW w:w="950" w:type="dxa"/>
            <w:tcBorders>
              <w:top w:val="nil"/>
              <w:left w:val="nil"/>
              <w:bottom w:val="single" w:sz="4" w:space="0" w:color="auto"/>
              <w:right w:val="single" w:sz="4" w:space="0" w:color="auto"/>
            </w:tcBorders>
            <w:shd w:val="clear" w:color="auto" w:fill="auto"/>
            <w:noWrap/>
            <w:hideMark/>
          </w:tcPr>
          <w:p w14:paraId="7575D27B" w14:textId="77777777" w:rsidR="006F0BB0" w:rsidRPr="006F0BB0" w:rsidRDefault="006F0BB0" w:rsidP="007D1DBA">
            <w:pPr>
              <w:jc w:val="right"/>
              <w:rPr>
                <w:sz w:val="18"/>
                <w:szCs w:val="18"/>
                <w:lang w:val="es-419" w:eastAsia="es-419"/>
              </w:rPr>
            </w:pPr>
            <w:r w:rsidRPr="006F0BB0">
              <w:rPr>
                <w:sz w:val="18"/>
                <w:szCs w:val="18"/>
                <w:lang w:val="es-419" w:eastAsia="es-419"/>
              </w:rPr>
              <w:t>831 718</w:t>
            </w:r>
          </w:p>
        </w:tc>
        <w:tc>
          <w:tcPr>
            <w:tcW w:w="950" w:type="dxa"/>
            <w:tcBorders>
              <w:top w:val="nil"/>
              <w:left w:val="nil"/>
              <w:bottom w:val="single" w:sz="4" w:space="0" w:color="auto"/>
              <w:right w:val="single" w:sz="4" w:space="0" w:color="auto"/>
            </w:tcBorders>
            <w:shd w:val="clear" w:color="auto" w:fill="auto"/>
            <w:noWrap/>
            <w:hideMark/>
          </w:tcPr>
          <w:p w14:paraId="4418B298" w14:textId="77777777" w:rsidR="006F0BB0" w:rsidRPr="006F0BB0" w:rsidRDefault="006F0BB0" w:rsidP="007D1DBA">
            <w:pPr>
              <w:jc w:val="right"/>
              <w:rPr>
                <w:sz w:val="18"/>
                <w:szCs w:val="18"/>
                <w:lang w:val="es-419" w:eastAsia="es-419"/>
              </w:rPr>
            </w:pPr>
            <w:r w:rsidRPr="006F0BB0">
              <w:rPr>
                <w:sz w:val="18"/>
                <w:szCs w:val="18"/>
                <w:lang w:val="es-419" w:eastAsia="es-419"/>
              </w:rPr>
              <w:t>856 669</w:t>
            </w:r>
          </w:p>
        </w:tc>
        <w:tc>
          <w:tcPr>
            <w:tcW w:w="950" w:type="dxa"/>
            <w:tcBorders>
              <w:top w:val="nil"/>
              <w:left w:val="nil"/>
              <w:bottom w:val="single" w:sz="4" w:space="0" w:color="auto"/>
              <w:right w:val="single" w:sz="4" w:space="0" w:color="auto"/>
            </w:tcBorders>
            <w:shd w:val="clear" w:color="auto" w:fill="auto"/>
            <w:noWrap/>
            <w:hideMark/>
          </w:tcPr>
          <w:p w14:paraId="02883914" w14:textId="77777777" w:rsidR="006F0BB0" w:rsidRPr="006F0BB0" w:rsidRDefault="006F0BB0" w:rsidP="007D1DBA">
            <w:pPr>
              <w:jc w:val="right"/>
              <w:rPr>
                <w:sz w:val="18"/>
                <w:szCs w:val="18"/>
                <w:lang w:val="es-419" w:eastAsia="es-419"/>
              </w:rPr>
            </w:pPr>
            <w:r w:rsidRPr="006F0BB0">
              <w:rPr>
                <w:sz w:val="18"/>
                <w:szCs w:val="18"/>
                <w:lang w:val="es-419" w:eastAsia="es-419"/>
              </w:rPr>
              <w:t>882 369</w:t>
            </w:r>
          </w:p>
        </w:tc>
        <w:tc>
          <w:tcPr>
            <w:tcW w:w="950" w:type="dxa"/>
            <w:tcBorders>
              <w:top w:val="nil"/>
              <w:left w:val="nil"/>
              <w:bottom w:val="single" w:sz="4" w:space="0" w:color="auto"/>
              <w:right w:val="single" w:sz="4" w:space="0" w:color="auto"/>
            </w:tcBorders>
            <w:shd w:val="clear" w:color="auto" w:fill="auto"/>
            <w:noWrap/>
            <w:hideMark/>
          </w:tcPr>
          <w:p w14:paraId="3F026F29" w14:textId="77777777" w:rsidR="006F0BB0" w:rsidRPr="006F0BB0" w:rsidRDefault="006F0BB0" w:rsidP="007D1DBA">
            <w:pPr>
              <w:jc w:val="right"/>
              <w:rPr>
                <w:sz w:val="18"/>
                <w:szCs w:val="18"/>
                <w:lang w:val="es-419" w:eastAsia="es-419"/>
              </w:rPr>
            </w:pPr>
            <w:r w:rsidRPr="006F0BB0">
              <w:rPr>
                <w:sz w:val="18"/>
                <w:szCs w:val="18"/>
                <w:lang w:val="es-419" w:eastAsia="es-419"/>
              </w:rPr>
              <w:t>908 840</w:t>
            </w:r>
          </w:p>
        </w:tc>
        <w:tc>
          <w:tcPr>
            <w:tcW w:w="950" w:type="dxa"/>
            <w:tcBorders>
              <w:top w:val="nil"/>
              <w:left w:val="nil"/>
              <w:bottom w:val="single" w:sz="4" w:space="0" w:color="auto"/>
              <w:right w:val="single" w:sz="4" w:space="0" w:color="auto"/>
            </w:tcBorders>
            <w:shd w:val="clear" w:color="auto" w:fill="auto"/>
            <w:noWrap/>
            <w:hideMark/>
          </w:tcPr>
          <w:p w14:paraId="5B6F48E5" w14:textId="77777777" w:rsidR="006F0BB0" w:rsidRPr="006F0BB0" w:rsidRDefault="006F0BB0" w:rsidP="007D1DBA">
            <w:pPr>
              <w:jc w:val="right"/>
              <w:rPr>
                <w:sz w:val="18"/>
                <w:szCs w:val="18"/>
                <w:lang w:val="es-419" w:eastAsia="es-419"/>
              </w:rPr>
            </w:pPr>
            <w:r w:rsidRPr="006F0BB0">
              <w:rPr>
                <w:sz w:val="18"/>
                <w:szCs w:val="18"/>
                <w:lang w:val="es-419" w:eastAsia="es-419"/>
              </w:rPr>
              <w:t>936 105</w:t>
            </w:r>
          </w:p>
        </w:tc>
        <w:tc>
          <w:tcPr>
            <w:tcW w:w="950" w:type="dxa"/>
            <w:tcBorders>
              <w:top w:val="nil"/>
              <w:left w:val="nil"/>
              <w:bottom w:val="single" w:sz="4" w:space="0" w:color="auto"/>
              <w:right w:val="single" w:sz="4" w:space="0" w:color="auto"/>
            </w:tcBorders>
            <w:shd w:val="clear" w:color="auto" w:fill="auto"/>
            <w:noWrap/>
            <w:hideMark/>
          </w:tcPr>
          <w:p w14:paraId="574C513B" w14:textId="77777777" w:rsidR="006F0BB0" w:rsidRPr="006F0BB0" w:rsidRDefault="006F0BB0" w:rsidP="007D1DBA">
            <w:pPr>
              <w:jc w:val="right"/>
              <w:rPr>
                <w:sz w:val="18"/>
                <w:szCs w:val="18"/>
                <w:lang w:val="es-419" w:eastAsia="es-419"/>
              </w:rPr>
            </w:pPr>
            <w:r w:rsidRPr="006F0BB0">
              <w:rPr>
                <w:sz w:val="18"/>
                <w:szCs w:val="18"/>
                <w:lang w:val="es-419" w:eastAsia="es-419"/>
              </w:rPr>
              <w:t>856 919</w:t>
            </w:r>
          </w:p>
        </w:tc>
        <w:tc>
          <w:tcPr>
            <w:tcW w:w="1005" w:type="dxa"/>
            <w:tcBorders>
              <w:top w:val="nil"/>
              <w:left w:val="nil"/>
              <w:bottom w:val="single" w:sz="4" w:space="0" w:color="auto"/>
              <w:right w:val="single" w:sz="4" w:space="0" w:color="auto"/>
            </w:tcBorders>
            <w:shd w:val="clear" w:color="auto" w:fill="auto"/>
            <w:noWrap/>
            <w:hideMark/>
          </w:tcPr>
          <w:p w14:paraId="25D52EAF" w14:textId="77777777" w:rsidR="006F0BB0" w:rsidRPr="006F0BB0" w:rsidRDefault="006F0BB0" w:rsidP="007D1DBA">
            <w:pPr>
              <w:jc w:val="right"/>
              <w:rPr>
                <w:sz w:val="18"/>
                <w:szCs w:val="18"/>
                <w:lang w:val="es-419" w:eastAsia="es-419"/>
              </w:rPr>
            </w:pPr>
            <w:r w:rsidRPr="006F0BB0">
              <w:rPr>
                <w:sz w:val="18"/>
                <w:szCs w:val="18"/>
                <w:lang w:val="es-419" w:eastAsia="es-419"/>
              </w:rPr>
              <w:t>6 586 019</w:t>
            </w:r>
          </w:p>
        </w:tc>
        <w:tc>
          <w:tcPr>
            <w:tcW w:w="1181" w:type="dxa"/>
            <w:tcBorders>
              <w:top w:val="nil"/>
              <w:left w:val="nil"/>
              <w:bottom w:val="single" w:sz="4" w:space="0" w:color="auto"/>
              <w:right w:val="single" w:sz="4" w:space="0" w:color="auto"/>
            </w:tcBorders>
            <w:shd w:val="clear" w:color="auto" w:fill="auto"/>
            <w:noWrap/>
            <w:hideMark/>
          </w:tcPr>
          <w:p w14:paraId="7E6CB8C7" w14:textId="77777777" w:rsidR="006F0BB0" w:rsidRPr="006F0BB0" w:rsidRDefault="006F0BB0" w:rsidP="007D1DBA">
            <w:pPr>
              <w:jc w:val="right"/>
              <w:rPr>
                <w:sz w:val="18"/>
                <w:szCs w:val="18"/>
                <w:lang w:val="es-419" w:eastAsia="es-419"/>
              </w:rPr>
            </w:pPr>
            <w:r w:rsidRPr="006F0BB0">
              <w:rPr>
                <w:sz w:val="18"/>
                <w:szCs w:val="18"/>
                <w:lang w:val="es-419" w:eastAsia="es-419"/>
              </w:rPr>
              <w:t>14,2%</w:t>
            </w:r>
          </w:p>
        </w:tc>
      </w:tr>
      <w:tr w:rsidR="006F0BB0" w:rsidRPr="006F0BB0" w14:paraId="2BDADA75"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F81F60" w14:textId="77777777" w:rsidR="006F0BB0" w:rsidRPr="006F0BB0" w:rsidRDefault="006F0BB0" w:rsidP="007D1DBA">
            <w:pPr>
              <w:jc w:val="left"/>
              <w:rPr>
                <w:sz w:val="18"/>
                <w:szCs w:val="18"/>
                <w:lang w:val="es-419" w:eastAsia="es-419"/>
              </w:rPr>
            </w:pPr>
            <w:r w:rsidRPr="006F0BB0">
              <w:rPr>
                <w:sz w:val="18"/>
                <w:szCs w:val="18"/>
                <w:lang w:val="es-419" w:eastAsia="es-419"/>
              </w:rPr>
              <w:t>Camboya</w:t>
            </w:r>
          </w:p>
        </w:tc>
        <w:tc>
          <w:tcPr>
            <w:tcW w:w="950" w:type="dxa"/>
            <w:tcBorders>
              <w:top w:val="nil"/>
              <w:left w:val="nil"/>
              <w:bottom w:val="single" w:sz="4" w:space="0" w:color="auto"/>
              <w:right w:val="single" w:sz="4" w:space="0" w:color="auto"/>
            </w:tcBorders>
            <w:shd w:val="clear" w:color="auto" w:fill="auto"/>
            <w:noWrap/>
            <w:hideMark/>
          </w:tcPr>
          <w:p w14:paraId="69D86DA7" w14:textId="77777777" w:rsidR="006F0BB0" w:rsidRPr="006F0BB0" w:rsidRDefault="006F0BB0" w:rsidP="007D1DBA">
            <w:pPr>
              <w:jc w:val="right"/>
              <w:rPr>
                <w:sz w:val="18"/>
                <w:szCs w:val="18"/>
                <w:lang w:val="es-419" w:eastAsia="es-419"/>
              </w:rPr>
            </w:pPr>
            <w:r w:rsidRPr="006F0BB0">
              <w:rPr>
                <w:sz w:val="18"/>
                <w:szCs w:val="18"/>
                <w:lang w:val="es-419" w:eastAsia="es-419"/>
              </w:rPr>
              <w:t>70 072</w:t>
            </w:r>
          </w:p>
        </w:tc>
        <w:tc>
          <w:tcPr>
            <w:tcW w:w="950" w:type="dxa"/>
            <w:tcBorders>
              <w:top w:val="nil"/>
              <w:left w:val="nil"/>
              <w:bottom w:val="single" w:sz="4" w:space="0" w:color="auto"/>
              <w:right w:val="single" w:sz="4" w:space="0" w:color="auto"/>
            </w:tcBorders>
            <w:shd w:val="clear" w:color="auto" w:fill="auto"/>
            <w:noWrap/>
            <w:hideMark/>
          </w:tcPr>
          <w:p w14:paraId="2EF3A052" w14:textId="77777777" w:rsidR="006F0BB0" w:rsidRPr="006F0BB0" w:rsidRDefault="006F0BB0" w:rsidP="007D1DBA">
            <w:pPr>
              <w:jc w:val="right"/>
              <w:rPr>
                <w:sz w:val="18"/>
                <w:szCs w:val="18"/>
                <w:lang w:val="es-419" w:eastAsia="es-419"/>
              </w:rPr>
            </w:pPr>
            <w:r w:rsidRPr="006F0BB0">
              <w:rPr>
                <w:sz w:val="18"/>
                <w:szCs w:val="18"/>
                <w:lang w:val="es-419" w:eastAsia="es-419"/>
              </w:rPr>
              <w:t>72 174</w:t>
            </w:r>
          </w:p>
        </w:tc>
        <w:tc>
          <w:tcPr>
            <w:tcW w:w="950" w:type="dxa"/>
            <w:tcBorders>
              <w:top w:val="nil"/>
              <w:left w:val="nil"/>
              <w:bottom w:val="single" w:sz="4" w:space="0" w:color="auto"/>
              <w:right w:val="single" w:sz="4" w:space="0" w:color="auto"/>
            </w:tcBorders>
            <w:shd w:val="clear" w:color="auto" w:fill="auto"/>
            <w:noWrap/>
            <w:hideMark/>
          </w:tcPr>
          <w:p w14:paraId="535A3EE8" w14:textId="77777777" w:rsidR="006F0BB0" w:rsidRPr="006F0BB0" w:rsidRDefault="006F0BB0" w:rsidP="007D1DBA">
            <w:pPr>
              <w:jc w:val="right"/>
              <w:rPr>
                <w:sz w:val="18"/>
                <w:szCs w:val="18"/>
                <w:lang w:val="es-419" w:eastAsia="es-419"/>
              </w:rPr>
            </w:pPr>
            <w:r w:rsidRPr="006F0BB0">
              <w:rPr>
                <w:sz w:val="18"/>
                <w:szCs w:val="18"/>
                <w:lang w:val="es-419" w:eastAsia="es-419"/>
              </w:rPr>
              <w:t>74 339</w:t>
            </w:r>
          </w:p>
        </w:tc>
        <w:tc>
          <w:tcPr>
            <w:tcW w:w="950" w:type="dxa"/>
            <w:tcBorders>
              <w:top w:val="nil"/>
              <w:left w:val="nil"/>
              <w:bottom w:val="single" w:sz="4" w:space="0" w:color="auto"/>
              <w:right w:val="single" w:sz="4" w:space="0" w:color="auto"/>
            </w:tcBorders>
            <w:shd w:val="clear" w:color="auto" w:fill="auto"/>
            <w:noWrap/>
            <w:hideMark/>
          </w:tcPr>
          <w:p w14:paraId="482C314F" w14:textId="77777777" w:rsidR="006F0BB0" w:rsidRPr="006F0BB0" w:rsidRDefault="006F0BB0" w:rsidP="007D1DBA">
            <w:pPr>
              <w:jc w:val="right"/>
              <w:rPr>
                <w:sz w:val="18"/>
                <w:szCs w:val="18"/>
                <w:lang w:val="es-419" w:eastAsia="es-419"/>
              </w:rPr>
            </w:pPr>
            <w:r w:rsidRPr="006F0BB0">
              <w:rPr>
                <w:sz w:val="18"/>
                <w:szCs w:val="18"/>
                <w:lang w:val="es-419" w:eastAsia="es-419"/>
              </w:rPr>
              <w:t>76 570</w:t>
            </w:r>
          </w:p>
        </w:tc>
        <w:tc>
          <w:tcPr>
            <w:tcW w:w="950" w:type="dxa"/>
            <w:tcBorders>
              <w:top w:val="nil"/>
              <w:left w:val="nil"/>
              <w:bottom w:val="single" w:sz="4" w:space="0" w:color="auto"/>
              <w:right w:val="single" w:sz="4" w:space="0" w:color="auto"/>
            </w:tcBorders>
            <w:shd w:val="clear" w:color="auto" w:fill="auto"/>
            <w:noWrap/>
            <w:hideMark/>
          </w:tcPr>
          <w:p w14:paraId="626C742C" w14:textId="77777777" w:rsidR="006F0BB0" w:rsidRPr="006F0BB0" w:rsidRDefault="006F0BB0" w:rsidP="007D1DBA">
            <w:pPr>
              <w:jc w:val="right"/>
              <w:rPr>
                <w:sz w:val="18"/>
                <w:szCs w:val="18"/>
                <w:lang w:val="es-419" w:eastAsia="es-419"/>
              </w:rPr>
            </w:pPr>
            <w:r w:rsidRPr="006F0BB0">
              <w:rPr>
                <w:sz w:val="18"/>
                <w:szCs w:val="18"/>
                <w:lang w:val="es-419" w:eastAsia="es-419"/>
              </w:rPr>
              <w:t>78 867</w:t>
            </w:r>
          </w:p>
        </w:tc>
        <w:tc>
          <w:tcPr>
            <w:tcW w:w="950" w:type="dxa"/>
            <w:tcBorders>
              <w:top w:val="nil"/>
              <w:left w:val="nil"/>
              <w:bottom w:val="single" w:sz="4" w:space="0" w:color="auto"/>
              <w:right w:val="single" w:sz="4" w:space="0" w:color="auto"/>
            </w:tcBorders>
            <w:shd w:val="clear" w:color="auto" w:fill="auto"/>
            <w:noWrap/>
            <w:hideMark/>
          </w:tcPr>
          <w:p w14:paraId="75B198F8" w14:textId="77777777" w:rsidR="006F0BB0" w:rsidRPr="006F0BB0" w:rsidRDefault="006F0BB0" w:rsidP="007D1DBA">
            <w:pPr>
              <w:jc w:val="right"/>
              <w:rPr>
                <w:sz w:val="18"/>
                <w:szCs w:val="18"/>
                <w:lang w:val="es-419" w:eastAsia="es-419"/>
              </w:rPr>
            </w:pPr>
            <w:r w:rsidRPr="006F0BB0">
              <w:rPr>
                <w:sz w:val="18"/>
                <w:szCs w:val="18"/>
                <w:lang w:val="es-419" w:eastAsia="es-419"/>
              </w:rPr>
              <w:t>81 233</w:t>
            </w:r>
          </w:p>
        </w:tc>
        <w:tc>
          <w:tcPr>
            <w:tcW w:w="950" w:type="dxa"/>
            <w:tcBorders>
              <w:top w:val="nil"/>
              <w:left w:val="nil"/>
              <w:bottom w:val="single" w:sz="4" w:space="0" w:color="auto"/>
              <w:right w:val="single" w:sz="4" w:space="0" w:color="auto"/>
            </w:tcBorders>
            <w:shd w:val="clear" w:color="auto" w:fill="auto"/>
            <w:noWrap/>
            <w:hideMark/>
          </w:tcPr>
          <w:p w14:paraId="39464BE5" w14:textId="77777777" w:rsidR="006F0BB0" w:rsidRPr="006F0BB0" w:rsidRDefault="006F0BB0" w:rsidP="007D1DBA">
            <w:pPr>
              <w:jc w:val="right"/>
              <w:rPr>
                <w:sz w:val="18"/>
                <w:szCs w:val="18"/>
                <w:lang w:val="es-419" w:eastAsia="es-419"/>
              </w:rPr>
            </w:pPr>
            <w:r w:rsidRPr="006F0BB0">
              <w:rPr>
                <w:sz w:val="18"/>
                <w:szCs w:val="18"/>
                <w:lang w:val="es-419" w:eastAsia="es-419"/>
              </w:rPr>
              <w:t>74 361</w:t>
            </w:r>
          </w:p>
        </w:tc>
        <w:tc>
          <w:tcPr>
            <w:tcW w:w="1005" w:type="dxa"/>
            <w:tcBorders>
              <w:top w:val="nil"/>
              <w:left w:val="nil"/>
              <w:bottom w:val="single" w:sz="4" w:space="0" w:color="auto"/>
              <w:right w:val="single" w:sz="4" w:space="0" w:color="auto"/>
            </w:tcBorders>
            <w:shd w:val="clear" w:color="auto" w:fill="auto"/>
            <w:noWrap/>
            <w:hideMark/>
          </w:tcPr>
          <w:p w14:paraId="58DA55F3" w14:textId="77777777" w:rsidR="006F0BB0" w:rsidRPr="006F0BB0" w:rsidRDefault="006F0BB0" w:rsidP="007D1DBA">
            <w:pPr>
              <w:jc w:val="right"/>
              <w:rPr>
                <w:sz w:val="18"/>
                <w:szCs w:val="18"/>
                <w:lang w:val="es-419" w:eastAsia="es-419"/>
              </w:rPr>
            </w:pPr>
            <w:r w:rsidRPr="006F0BB0">
              <w:rPr>
                <w:sz w:val="18"/>
                <w:szCs w:val="18"/>
                <w:lang w:val="es-419" w:eastAsia="es-419"/>
              </w:rPr>
              <w:t>394 610</w:t>
            </w:r>
          </w:p>
        </w:tc>
        <w:tc>
          <w:tcPr>
            <w:tcW w:w="1181" w:type="dxa"/>
            <w:tcBorders>
              <w:top w:val="nil"/>
              <w:left w:val="nil"/>
              <w:bottom w:val="single" w:sz="4" w:space="0" w:color="auto"/>
              <w:right w:val="single" w:sz="4" w:space="0" w:color="auto"/>
            </w:tcBorders>
            <w:shd w:val="clear" w:color="auto" w:fill="auto"/>
            <w:noWrap/>
            <w:hideMark/>
          </w:tcPr>
          <w:p w14:paraId="4B20293D" w14:textId="77777777" w:rsidR="006F0BB0" w:rsidRPr="006F0BB0" w:rsidRDefault="006F0BB0" w:rsidP="007D1DBA">
            <w:pPr>
              <w:jc w:val="right"/>
              <w:rPr>
                <w:sz w:val="18"/>
                <w:szCs w:val="18"/>
                <w:lang w:val="es-419" w:eastAsia="es-419"/>
              </w:rPr>
            </w:pPr>
            <w:r w:rsidRPr="006F0BB0">
              <w:rPr>
                <w:sz w:val="18"/>
                <w:szCs w:val="18"/>
                <w:lang w:val="es-419" w:eastAsia="es-419"/>
              </w:rPr>
              <w:t>20,6%</w:t>
            </w:r>
          </w:p>
        </w:tc>
      </w:tr>
      <w:tr w:rsidR="006F0BB0" w:rsidRPr="006F0BB0" w14:paraId="68B48C96"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FB976B" w14:textId="77777777" w:rsidR="006F0BB0" w:rsidRPr="006F0BB0" w:rsidRDefault="006F0BB0" w:rsidP="007D1DBA">
            <w:pPr>
              <w:jc w:val="left"/>
              <w:rPr>
                <w:sz w:val="18"/>
                <w:szCs w:val="18"/>
                <w:lang w:val="es-419" w:eastAsia="es-419"/>
              </w:rPr>
            </w:pPr>
            <w:r w:rsidRPr="006F0BB0">
              <w:rPr>
                <w:sz w:val="18"/>
                <w:szCs w:val="18"/>
                <w:lang w:val="es-419" w:eastAsia="es-419"/>
              </w:rPr>
              <w:t>Camerún</w:t>
            </w:r>
          </w:p>
        </w:tc>
        <w:tc>
          <w:tcPr>
            <w:tcW w:w="950" w:type="dxa"/>
            <w:tcBorders>
              <w:top w:val="nil"/>
              <w:left w:val="nil"/>
              <w:bottom w:val="single" w:sz="4" w:space="0" w:color="auto"/>
              <w:right w:val="single" w:sz="4" w:space="0" w:color="auto"/>
            </w:tcBorders>
            <w:shd w:val="clear" w:color="auto" w:fill="auto"/>
            <w:noWrap/>
            <w:hideMark/>
          </w:tcPr>
          <w:p w14:paraId="1FECA057" w14:textId="77777777" w:rsidR="006F0BB0" w:rsidRPr="006F0BB0" w:rsidRDefault="006F0BB0" w:rsidP="007D1DBA">
            <w:pPr>
              <w:jc w:val="right"/>
              <w:rPr>
                <w:sz w:val="18"/>
                <w:szCs w:val="18"/>
                <w:lang w:val="es-419" w:eastAsia="es-419"/>
              </w:rPr>
            </w:pPr>
            <w:r w:rsidRPr="006F0BB0">
              <w:rPr>
                <w:sz w:val="18"/>
                <w:szCs w:val="18"/>
                <w:lang w:val="es-419" w:eastAsia="es-419"/>
              </w:rPr>
              <w:t>344 326</w:t>
            </w:r>
          </w:p>
        </w:tc>
        <w:tc>
          <w:tcPr>
            <w:tcW w:w="950" w:type="dxa"/>
            <w:tcBorders>
              <w:top w:val="nil"/>
              <w:left w:val="nil"/>
              <w:bottom w:val="single" w:sz="4" w:space="0" w:color="auto"/>
              <w:right w:val="single" w:sz="4" w:space="0" w:color="auto"/>
            </w:tcBorders>
            <w:shd w:val="clear" w:color="auto" w:fill="auto"/>
            <w:noWrap/>
            <w:hideMark/>
          </w:tcPr>
          <w:p w14:paraId="53CFF37C" w14:textId="77777777" w:rsidR="006F0BB0" w:rsidRPr="006F0BB0" w:rsidRDefault="006F0BB0" w:rsidP="007D1DBA">
            <w:pPr>
              <w:jc w:val="right"/>
              <w:rPr>
                <w:sz w:val="18"/>
                <w:szCs w:val="18"/>
                <w:lang w:val="es-419" w:eastAsia="es-419"/>
              </w:rPr>
            </w:pPr>
            <w:r w:rsidRPr="006F0BB0">
              <w:rPr>
                <w:sz w:val="18"/>
                <w:szCs w:val="18"/>
                <w:lang w:val="es-419" w:eastAsia="es-419"/>
              </w:rPr>
              <w:t>354 656</w:t>
            </w:r>
          </w:p>
        </w:tc>
        <w:tc>
          <w:tcPr>
            <w:tcW w:w="950" w:type="dxa"/>
            <w:tcBorders>
              <w:top w:val="nil"/>
              <w:left w:val="nil"/>
              <w:bottom w:val="single" w:sz="4" w:space="0" w:color="auto"/>
              <w:right w:val="single" w:sz="4" w:space="0" w:color="auto"/>
            </w:tcBorders>
            <w:shd w:val="clear" w:color="auto" w:fill="auto"/>
            <w:noWrap/>
            <w:hideMark/>
          </w:tcPr>
          <w:p w14:paraId="6BBCB9A1" w14:textId="77777777" w:rsidR="006F0BB0" w:rsidRPr="006F0BB0" w:rsidRDefault="006F0BB0" w:rsidP="007D1DBA">
            <w:pPr>
              <w:jc w:val="right"/>
              <w:rPr>
                <w:sz w:val="18"/>
                <w:szCs w:val="18"/>
                <w:lang w:val="es-419" w:eastAsia="es-419"/>
              </w:rPr>
            </w:pPr>
            <w:r w:rsidRPr="006F0BB0">
              <w:rPr>
                <w:sz w:val="18"/>
                <w:szCs w:val="18"/>
                <w:lang w:val="es-419" w:eastAsia="es-419"/>
              </w:rPr>
              <w:t>365 295</w:t>
            </w:r>
          </w:p>
        </w:tc>
        <w:tc>
          <w:tcPr>
            <w:tcW w:w="950" w:type="dxa"/>
            <w:tcBorders>
              <w:top w:val="nil"/>
              <w:left w:val="nil"/>
              <w:bottom w:val="single" w:sz="4" w:space="0" w:color="auto"/>
              <w:right w:val="single" w:sz="4" w:space="0" w:color="auto"/>
            </w:tcBorders>
            <w:shd w:val="clear" w:color="auto" w:fill="auto"/>
            <w:noWrap/>
            <w:hideMark/>
          </w:tcPr>
          <w:p w14:paraId="422A50AC" w14:textId="77777777" w:rsidR="006F0BB0" w:rsidRPr="006F0BB0" w:rsidRDefault="006F0BB0" w:rsidP="007D1DBA">
            <w:pPr>
              <w:jc w:val="right"/>
              <w:rPr>
                <w:sz w:val="18"/>
                <w:szCs w:val="18"/>
                <w:lang w:val="es-419" w:eastAsia="es-419"/>
              </w:rPr>
            </w:pPr>
            <w:r w:rsidRPr="006F0BB0">
              <w:rPr>
                <w:sz w:val="18"/>
                <w:szCs w:val="18"/>
                <w:lang w:val="es-419" w:eastAsia="es-419"/>
              </w:rPr>
              <w:t>376 254</w:t>
            </w:r>
          </w:p>
        </w:tc>
        <w:tc>
          <w:tcPr>
            <w:tcW w:w="950" w:type="dxa"/>
            <w:tcBorders>
              <w:top w:val="nil"/>
              <w:left w:val="nil"/>
              <w:bottom w:val="single" w:sz="4" w:space="0" w:color="auto"/>
              <w:right w:val="single" w:sz="4" w:space="0" w:color="auto"/>
            </w:tcBorders>
            <w:shd w:val="clear" w:color="auto" w:fill="auto"/>
            <w:noWrap/>
            <w:hideMark/>
          </w:tcPr>
          <w:p w14:paraId="6C65A1A3" w14:textId="77777777" w:rsidR="006F0BB0" w:rsidRPr="006F0BB0" w:rsidRDefault="006F0BB0" w:rsidP="007D1DBA">
            <w:pPr>
              <w:jc w:val="right"/>
              <w:rPr>
                <w:sz w:val="18"/>
                <w:szCs w:val="18"/>
                <w:lang w:val="es-419" w:eastAsia="es-419"/>
              </w:rPr>
            </w:pPr>
            <w:r w:rsidRPr="006F0BB0">
              <w:rPr>
                <w:sz w:val="18"/>
                <w:szCs w:val="18"/>
                <w:lang w:val="es-419" w:eastAsia="es-419"/>
              </w:rPr>
              <w:t>387 542</w:t>
            </w:r>
          </w:p>
        </w:tc>
        <w:tc>
          <w:tcPr>
            <w:tcW w:w="950" w:type="dxa"/>
            <w:tcBorders>
              <w:top w:val="nil"/>
              <w:left w:val="nil"/>
              <w:bottom w:val="single" w:sz="4" w:space="0" w:color="auto"/>
              <w:right w:val="single" w:sz="4" w:space="0" w:color="auto"/>
            </w:tcBorders>
            <w:shd w:val="clear" w:color="auto" w:fill="auto"/>
            <w:noWrap/>
            <w:hideMark/>
          </w:tcPr>
          <w:p w14:paraId="11F6CB2D" w14:textId="77777777" w:rsidR="006F0BB0" w:rsidRPr="006F0BB0" w:rsidRDefault="006F0BB0" w:rsidP="007D1DBA">
            <w:pPr>
              <w:jc w:val="right"/>
              <w:rPr>
                <w:sz w:val="18"/>
                <w:szCs w:val="18"/>
                <w:lang w:val="es-419" w:eastAsia="es-419"/>
              </w:rPr>
            </w:pPr>
            <w:r w:rsidRPr="006F0BB0">
              <w:rPr>
                <w:sz w:val="18"/>
                <w:szCs w:val="18"/>
                <w:lang w:val="es-419" w:eastAsia="es-419"/>
              </w:rPr>
              <w:t>399 168</w:t>
            </w:r>
          </w:p>
        </w:tc>
        <w:tc>
          <w:tcPr>
            <w:tcW w:w="950" w:type="dxa"/>
            <w:tcBorders>
              <w:top w:val="nil"/>
              <w:left w:val="nil"/>
              <w:bottom w:val="single" w:sz="4" w:space="0" w:color="auto"/>
              <w:right w:val="single" w:sz="4" w:space="0" w:color="auto"/>
            </w:tcBorders>
            <w:shd w:val="clear" w:color="auto" w:fill="auto"/>
            <w:noWrap/>
            <w:hideMark/>
          </w:tcPr>
          <w:p w14:paraId="43DD329F" w14:textId="77777777" w:rsidR="006F0BB0" w:rsidRPr="006F0BB0" w:rsidRDefault="006F0BB0" w:rsidP="007D1DBA">
            <w:pPr>
              <w:jc w:val="right"/>
              <w:rPr>
                <w:sz w:val="18"/>
                <w:szCs w:val="18"/>
                <w:lang w:val="es-419" w:eastAsia="es-419"/>
              </w:rPr>
            </w:pPr>
            <w:r w:rsidRPr="006F0BB0">
              <w:rPr>
                <w:sz w:val="18"/>
                <w:szCs w:val="18"/>
                <w:lang w:val="es-419" w:eastAsia="es-419"/>
              </w:rPr>
              <w:t>365 402</w:t>
            </w:r>
          </w:p>
        </w:tc>
        <w:tc>
          <w:tcPr>
            <w:tcW w:w="1005" w:type="dxa"/>
            <w:tcBorders>
              <w:top w:val="nil"/>
              <w:left w:val="nil"/>
              <w:bottom w:val="single" w:sz="4" w:space="0" w:color="auto"/>
              <w:right w:val="single" w:sz="4" w:space="0" w:color="auto"/>
            </w:tcBorders>
            <w:shd w:val="clear" w:color="auto" w:fill="auto"/>
            <w:noWrap/>
            <w:hideMark/>
          </w:tcPr>
          <w:p w14:paraId="17EBDD39" w14:textId="77777777" w:rsidR="006F0BB0" w:rsidRPr="006F0BB0" w:rsidRDefault="006F0BB0" w:rsidP="007D1DBA">
            <w:pPr>
              <w:jc w:val="right"/>
              <w:rPr>
                <w:sz w:val="18"/>
                <w:szCs w:val="18"/>
                <w:lang w:val="es-419" w:eastAsia="es-419"/>
              </w:rPr>
            </w:pPr>
            <w:r w:rsidRPr="006F0BB0">
              <w:rPr>
                <w:sz w:val="18"/>
                <w:szCs w:val="18"/>
                <w:lang w:val="es-419" w:eastAsia="es-419"/>
              </w:rPr>
              <w:t>1 887 911</w:t>
            </w:r>
          </w:p>
        </w:tc>
        <w:tc>
          <w:tcPr>
            <w:tcW w:w="1181" w:type="dxa"/>
            <w:tcBorders>
              <w:top w:val="nil"/>
              <w:left w:val="nil"/>
              <w:bottom w:val="single" w:sz="4" w:space="0" w:color="auto"/>
              <w:right w:val="single" w:sz="4" w:space="0" w:color="auto"/>
            </w:tcBorders>
            <w:shd w:val="clear" w:color="auto" w:fill="auto"/>
            <w:noWrap/>
            <w:hideMark/>
          </w:tcPr>
          <w:p w14:paraId="4E9296EB" w14:textId="77777777" w:rsidR="006F0BB0" w:rsidRPr="006F0BB0" w:rsidRDefault="006F0BB0" w:rsidP="007D1DBA">
            <w:pPr>
              <w:jc w:val="right"/>
              <w:rPr>
                <w:sz w:val="18"/>
                <w:szCs w:val="18"/>
                <w:lang w:val="es-419" w:eastAsia="es-419"/>
              </w:rPr>
            </w:pPr>
            <w:r w:rsidRPr="006F0BB0">
              <w:rPr>
                <w:sz w:val="18"/>
                <w:szCs w:val="18"/>
                <w:lang w:val="es-419" w:eastAsia="es-419"/>
              </w:rPr>
              <w:t>21,1%</w:t>
            </w:r>
          </w:p>
        </w:tc>
      </w:tr>
      <w:tr w:rsidR="006F0BB0" w:rsidRPr="006F0BB0" w14:paraId="1DA2588E"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8240D0"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Guinea Ecuatorial </w:t>
            </w:r>
          </w:p>
        </w:tc>
        <w:tc>
          <w:tcPr>
            <w:tcW w:w="950" w:type="dxa"/>
            <w:tcBorders>
              <w:top w:val="nil"/>
              <w:left w:val="nil"/>
              <w:bottom w:val="single" w:sz="4" w:space="0" w:color="auto"/>
              <w:right w:val="single" w:sz="4" w:space="0" w:color="auto"/>
            </w:tcBorders>
            <w:shd w:val="clear" w:color="auto" w:fill="auto"/>
            <w:noWrap/>
            <w:hideMark/>
          </w:tcPr>
          <w:p w14:paraId="2CFD621A" w14:textId="77777777" w:rsidR="006F0BB0" w:rsidRPr="006F0BB0" w:rsidRDefault="006F0BB0" w:rsidP="007D1DBA">
            <w:pPr>
              <w:jc w:val="right"/>
              <w:rPr>
                <w:sz w:val="18"/>
                <w:szCs w:val="18"/>
                <w:lang w:val="es-419" w:eastAsia="es-419"/>
              </w:rPr>
            </w:pPr>
            <w:r w:rsidRPr="006F0BB0">
              <w:rPr>
                <w:sz w:val="18"/>
                <w:szCs w:val="18"/>
                <w:lang w:val="es-419" w:eastAsia="es-419"/>
              </w:rPr>
              <w:t>39 686</w:t>
            </w:r>
          </w:p>
        </w:tc>
        <w:tc>
          <w:tcPr>
            <w:tcW w:w="950" w:type="dxa"/>
            <w:tcBorders>
              <w:top w:val="nil"/>
              <w:left w:val="nil"/>
              <w:bottom w:val="single" w:sz="4" w:space="0" w:color="auto"/>
              <w:right w:val="single" w:sz="4" w:space="0" w:color="auto"/>
            </w:tcBorders>
            <w:shd w:val="clear" w:color="auto" w:fill="auto"/>
            <w:noWrap/>
            <w:hideMark/>
          </w:tcPr>
          <w:p w14:paraId="0FA940B6" w14:textId="77777777" w:rsidR="006F0BB0" w:rsidRPr="006F0BB0" w:rsidRDefault="006F0BB0" w:rsidP="007D1DBA">
            <w:pPr>
              <w:jc w:val="right"/>
              <w:rPr>
                <w:sz w:val="18"/>
                <w:szCs w:val="18"/>
                <w:lang w:val="es-419" w:eastAsia="es-419"/>
              </w:rPr>
            </w:pPr>
            <w:r w:rsidRPr="006F0BB0">
              <w:rPr>
                <w:sz w:val="18"/>
                <w:szCs w:val="18"/>
                <w:lang w:val="es-419" w:eastAsia="es-419"/>
              </w:rPr>
              <w:t>40 877</w:t>
            </w:r>
          </w:p>
        </w:tc>
        <w:tc>
          <w:tcPr>
            <w:tcW w:w="950" w:type="dxa"/>
            <w:tcBorders>
              <w:top w:val="nil"/>
              <w:left w:val="nil"/>
              <w:bottom w:val="single" w:sz="4" w:space="0" w:color="auto"/>
              <w:right w:val="single" w:sz="4" w:space="0" w:color="auto"/>
            </w:tcBorders>
            <w:shd w:val="clear" w:color="auto" w:fill="auto"/>
            <w:noWrap/>
            <w:hideMark/>
          </w:tcPr>
          <w:p w14:paraId="6B24419C" w14:textId="77777777" w:rsidR="006F0BB0" w:rsidRPr="006F0BB0" w:rsidRDefault="006F0BB0" w:rsidP="007D1DBA">
            <w:pPr>
              <w:jc w:val="right"/>
              <w:rPr>
                <w:sz w:val="18"/>
                <w:szCs w:val="18"/>
                <w:lang w:val="es-419" w:eastAsia="es-419"/>
              </w:rPr>
            </w:pPr>
            <w:r w:rsidRPr="006F0BB0">
              <w:rPr>
                <w:sz w:val="18"/>
                <w:szCs w:val="18"/>
                <w:lang w:val="es-419" w:eastAsia="es-419"/>
              </w:rPr>
              <w:t>42 103</w:t>
            </w:r>
          </w:p>
        </w:tc>
        <w:tc>
          <w:tcPr>
            <w:tcW w:w="950" w:type="dxa"/>
            <w:tcBorders>
              <w:top w:val="nil"/>
              <w:left w:val="nil"/>
              <w:bottom w:val="single" w:sz="4" w:space="0" w:color="auto"/>
              <w:right w:val="single" w:sz="4" w:space="0" w:color="auto"/>
            </w:tcBorders>
            <w:shd w:val="clear" w:color="auto" w:fill="auto"/>
            <w:noWrap/>
            <w:hideMark/>
          </w:tcPr>
          <w:p w14:paraId="68F5E00D" w14:textId="77777777" w:rsidR="006F0BB0" w:rsidRPr="006F0BB0" w:rsidRDefault="006F0BB0" w:rsidP="007D1DBA">
            <w:pPr>
              <w:jc w:val="right"/>
              <w:rPr>
                <w:sz w:val="18"/>
                <w:szCs w:val="18"/>
                <w:lang w:val="es-419" w:eastAsia="es-419"/>
              </w:rPr>
            </w:pPr>
            <w:r w:rsidRPr="006F0BB0">
              <w:rPr>
                <w:sz w:val="18"/>
                <w:szCs w:val="18"/>
                <w:lang w:val="es-419" w:eastAsia="es-419"/>
              </w:rPr>
              <w:t>43 366</w:t>
            </w:r>
          </w:p>
        </w:tc>
        <w:tc>
          <w:tcPr>
            <w:tcW w:w="950" w:type="dxa"/>
            <w:tcBorders>
              <w:top w:val="nil"/>
              <w:left w:val="nil"/>
              <w:bottom w:val="single" w:sz="4" w:space="0" w:color="auto"/>
              <w:right w:val="single" w:sz="4" w:space="0" w:color="auto"/>
            </w:tcBorders>
            <w:shd w:val="clear" w:color="auto" w:fill="auto"/>
            <w:noWrap/>
            <w:hideMark/>
          </w:tcPr>
          <w:p w14:paraId="3BA13F98" w14:textId="77777777" w:rsidR="006F0BB0" w:rsidRPr="006F0BB0" w:rsidRDefault="006F0BB0" w:rsidP="007D1DBA">
            <w:pPr>
              <w:jc w:val="right"/>
              <w:rPr>
                <w:sz w:val="18"/>
                <w:szCs w:val="18"/>
                <w:lang w:val="es-419" w:eastAsia="es-419"/>
              </w:rPr>
            </w:pPr>
            <w:r w:rsidRPr="006F0BB0">
              <w:rPr>
                <w:sz w:val="18"/>
                <w:szCs w:val="18"/>
                <w:lang w:val="es-419" w:eastAsia="es-419"/>
              </w:rPr>
              <w:t>44 667</w:t>
            </w:r>
          </w:p>
        </w:tc>
        <w:tc>
          <w:tcPr>
            <w:tcW w:w="950" w:type="dxa"/>
            <w:tcBorders>
              <w:top w:val="nil"/>
              <w:left w:val="nil"/>
              <w:bottom w:val="single" w:sz="4" w:space="0" w:color="auto"/>
              <w:right w:val="single" w:sz="4" w:space="0" w:color="auto"/>
            </w:tcBorders>
            <w:shd w:val="clear" w:color="auto" w:fill="auto"/>
            <w:noWrap/>
            <w:hideMark/>
          </w:tcPr>
          <w:p w14:paraId="34118123" w14:textId="77777777" w:rsidR="006F0BB0" w:rsidRPr="006F0BB0" w:rsidRDefault="006F0BB0" w:rsidP="007D1DBA">
            <w:pPr>
              <w:jc w:val="right"/>
              <w:rPr>
                <w:sz w:val="18"/>
                <w:szCs w:val="18"/>
                <w:lang w:val="es-419" w:eastAsia="es-419"/>
              </w:rPr>
            </w:pPr>
            <w:r w:rsidRPr="006F0BB0">
              <w:rPr>
                <w:sz w:val="18"/>
                <w:szCs w:val="18"/>
                <w:lang w:val="es-419" w:eastAsia="es-419"/>
              </w:rPr>
              <w:t>46 007</w:t>
            </w:r>
          </w:p>
        </w:tc>
        <w:tc>
          <w:tcPr>
            <w:tcW w:w="950" w:type="dxa"/>
            <w:tcBorders>
              <w:top w:val="nil"/>
              <w:left w:val="nil"/>
              <w:bottom w:val="single" w:sz="4" w:space="0" w:color="auto"/>
              <w:right w:val="single" w:sz="4" w:space="0" w:color="auto"/>
            </w:tcBorders>
            <w:shd w:val="clear" w:color="auto" w:fill="auto"/>
            <w:noWrap/>
            <w:hideMark/>
          </w:tcPr>
          <w:p w14:paraId="1E93EA2B" w14:textId="77777777" w:rsidR="006F0BB0" w:rsidRPr="006F0BB0" w:rsidRDefault="006F0BB0" w:rsidP="007D1DBA">
            <w:pPr>
              <w:jc w:val="right"/>
              <w:rPr>
                <w:sz w:val="18"/>
                <w:szCs w:val="18"/>
                <w:lang w:val="es-419" w:eastAsia="es-419"/>
              </w:rPr>
            </w:pPr>
            <w:r w:rsidRPr="006F0BB0">
              <w:rPr>
                <w:sz w:val="18"/>
                <w:szCs w:val="18"/>
                <w:lang w:val="es-419" w:eastAsia="es-419"/>
              </w:rPr>
              <w:t>42 115</w:t>
            </w:r>
          </w:p>
        </w:tc>
        <w:tc>
          <w:tcPr>
            <w:tcW w:w="1005" w:type="dxa"/>
            <w:tcBorders>
              <w:top w:val="nil"/>
              <w:left w:val="nil"/>
              <w:bottom w:val="single" w:sz="4" w:space="0" w:color="auto"/>
              <w:right w:val="single" w:sz="4" w:space="0" w:color="auto"/>
            </w:tcBorders>
            <w:shd w:val="clear" w:color="auto" w:fill="auto"/>
            <w:noWrap/>
            <w:hideMark/>
          </w:tcPr>
          <w:p w14:paraId="2B8B2DEB" w14:textId="77777777" w:rsidR="006F0BB0" w:rsidRPr="006F0BB0" w:rsidRDefault="006F0BB0" w:rsidP="007D1DBA">
            <w:pPr>
              <w:jc w:val="right"/>
              <w:rPr>
                <w:sz w:val="18"/>
                <w:szCs w:val="18"/>
                <w:lang w:val="es-419" w:eastAsia="es-419"/>
              </w:rPr>
            </w:pPr>
            <w:r w:rsidRPr="006F0BB0">
              <w:rPr>
                <w:sz w:val="18"/>
                <w:szCs w:val="18"/>
                <w:lang w:val="es-419" w:eastAsia="es-419"/>
              </w:rPr>
              <w:t>176 654</w:t>
            </w:r>
          </w:p>
        </w:tc>
        <w:tc>
          <w:tcPr>
            <w:tcW w:w="1181" w:type="dxa"/>
            <w:tcBorders>
              <w:top w:val="nil"/>
              <w:left w:val="nil"/>
              <w:bottom w:val="single" w:sz="4" w:space="0" w:color="auto"/>
              <w:right w:val="single" w:sz="4" w:space="0" w:color="auto"/>
            </w:tcBorders>
            <w:shd w:val="clear" w:color="auto" w:fill="auto"/>
            <w:noWrap/>
            <w:hideMark/>
          </w:tcPr>
          <w:p w14:paraId="156D4FFD" w14:textId="77777777" w:rsidR="006F0BB0" w:rsidRPr="006F0BB0" w:rsidRDefault="006F0BB0" w:rsidP="007D1DBA">
            <w:pPr>
              <w:jc w:val="right"/>
              <w:rPr>
                <w:sz w:val="18"/>
                <w:szCs w:val="18"/>
                <w:lang w:val="es-419" w:eastAsia="es-419"/>
              </w:rPr>
            </w:pPr>
            <w:r w:rsidRPr="006F0BB0">
              <w:rPr>
                <w:sz w:val="18"/>
                <w:szCs w:val="18"/>
                <w:lang w:val="es-419" w:eastAsia="es-419"/>
              </w:rPr>
              <w:t>26,0%</w:t>
            </w:r>
          </w:p>
        </w:tc>
      </w:tr>
      <w:tr w:rsidR="006F0BB0" w:rsidRPr="006F0BB0" w14:paraId="0FCF604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2C0989" w14:textId="77777777" w:rsidR="006F0BB0" w:rsidRPr="006F0BB0" w:rsidRDefault="006F0BB0" w:rsidP="007D1DBA">
            <w:pPr>
              <w:jc w:val="left"/>
              <w:rPr>
                <w:sz w:val="18"/>
                <w:szCs w:val="18"/>
                <w:lang w:val="es-419" w:eastAsia="es-419"/>
              </w:rPr>
            </w:pPr>
            <w:r w:rsidRPr="006F0BB0">
              <w:rPr>
                <w:sz w:val="18"/>
                <w:szCs w:val="18"/>
                <w:lang w:val="es-419" w:eastAsia="es-419"/>
              </w:rPr>
              <w:t>Burundi</w:t>
            </w:r>
          </w:p>
        </w:tc>
        <w:tc>
          <w:tcPr>
            <w:tcW w:w="950" w:type="dxa"/>
            <w:tcBorders>
              <w:top w:val="nil"/>
              <w:left w:val="nil"/>
              <w:bottom w:val="single" w:sz="4" w:space="0" w:color="auto"/>
              <w:right w:val="single" w:sz="4" w:space="0" w:color="auto"/>
            </w:tcBorders>
            <w:shd w:val="clear" w:color="auto" w:fill="auto"/>
            <w:noWrap/>
            <w:hideMark/>
          </w:tcPr>
          <w:p w14:paraId="4C76D7B0" w14:textId="77777777" w:rsidR="006F0BB0" w:rsidRPr="006F0BB0" w:rsidRDefault="006F0BB0" w:rsidP="007D1DBA">
            <w:pPr>
              <w:jc w:val="right"/>
              <w:rPr>
                <w:sz w:val="18"/>
                <w:szCs w:val="18"/>
                <w:lang w:val="es-419" w:eastAsia="es-419"/>
              </w:rPr>
            </w:pPr>
            <w:r w:rsidRPr="006F0BB0">
              <w:rPr>
                <w:sz w:val="18"/>
                <w:szCs w:val="18"/>
                <w:lang w:val="es-419" w:eastAsia="es-419"/>
              </w:rPr>
              <w:t>46 214</w:t>
            </w:r>
          </w:p>
        </w:tc>
        <w:tc>
          <w:tcPr>
            <w:tcW w:w="950" w:type="dxa"/>
            <w:tcBorders>
              <w:top w:val="nil"/>
              <w:left w:val="nil"/>
              <w:bottom w:val="single" w:sz="4" w:space="0" w:color="auto"/>
              <w:right w:val="single" w:sz="4" w:space="0" w:color="auto"/>
            </w:tcBorders>
            <w:shd w:val="clear" w:color="auto" w:fill="auto"/>
            <w:noWrap/>
            <w:hideMark/>
          </w:tcPr>
          <w:p w14:paraId="063D4BCA" w14:textId="77777777" w:rsidR="006F0BB0" w:rsidRPr="006F0BB0" w:rsidRDefault="006F0BB0" w:rsidP="007D1DBA">
            <w:pPr>
              <w:jc w:val="right"/>
              <w:rPr>
                <w:sz w:val="18"/>
                <w:szCs w:val="18"/>
                <w:lang w:val="es-419" w:eastAsia="es-419"/>
              </w:rPr>
            </w:pPr>
            <w:r w:rsidRPr="006F0BB0">
              <w:rPr>
                <w:sz w:val="18"/>
                <w:szCs w:val="18"/>
                <w:lang w:val="es-419" w:eastAsia="es-419"/>
              </w:rPr>
              <w:t>47 600</w:t>
            </w:r>
          </w:p>
        </w:tc>
        <w:tc>
          <w:tcPr>
            <w:tcW w:w="950" w:type="dxa"/>
            <w:tcBorders>
              <w:top w:val="nil"/>
              <w:left w:val="nil"/>
              <w:bottom w:val="single" w:sz="4" w:space="0" w:color="auto"/>
              <w:right w:val="single" w:sz="4" w:space="0" w:color="auto"/>
            </w:tcBorders>
            <w:shd w:val="clear" w:color="auto" w:fill="auto"/>
            <w:noWrap/>
            <w:hideMark/>
          </w:tcPr>
          <w:p w14:paraId="7891377B" w14:textId="77777777" w:rsidR="006F0BB0" w:rsidRPr="006F0BB0" w:rsidRDefault="006F0BB0" w:rsidP="007D1DBA">
            <w:pPr>
              <w:jc w:val="right"/>
              <w:rPr>
                <w:sz w:val="18"/>
                <w:szCs w:val="18"/>
                <w:lang w:val="es-419" w:eastAsia="es-419"/>
              </w:rPr>
            </w:pPr>
            <w:r w:rsidRPr="006F0BB0">
              <w:rPr>
                <w:sz w:val="18"/>
                <w:szCs w:val="18"/>
                <w:lang w:val="es-419" w:eastAsia="es-419"/>
              </w:rPr>
              <w:t>49 028</w:t>
            </w:r>
          </w:p>
        </w:tc>
        <w:tc>
          <w:tcPr>
            <w:tcW w:w="950" w:type="dxa"/>
            <w:tcBorders>
              <w:top w:val="nil"/>
              <w:left w:val="nil"/>
              <w:bottom w:val="single" w:sz="4" w:space="0" w:color="auto"/>
              <w:right w:val="single" w:sz="4" w:space="0" w:color="auto"/>
            </w:tcBorders>
            <w:shd w:val="clear" w:color="auto" w:fill="auto"/>
            <w:noWrap/>
            <w:hideMark/>
          </w:tcPr>
          <w:p w14:paraId="760A653D" w14:textId="77777777" w:rsidR="006F0BB0" w:rsidRPr="006F0BB0" w:rsidRDefault="006F0BB0" w:rsidP="007D1DBA">
            <w:pPr>
              <w:jc w:val="right"/>
              <w:rPr>
                <w:sz w:val="18"/>
                <w:szCs w:val="18"/>
                <w:lang w:val="es-419" w:eastAsia="es-419"/>
              </w:rPr>
            </w:pPr>
            <w:r w:rsidRPr="006F0BB0">
              <w:rPr>
                <w:sz w:val="18"/>
                <w:szCs w:val="18"/>
                <w:lang w:val="es-419" w:eastAsia="es-419"/>
              </w:rPr>
              <w:t>50 499</w:t>
            </w:r>
          </w:p>
        </w:tc>
        <w:tc>
          <w:tcPr>
            <w:tcW w:w="950" w:type="dxa"/>
            <w:tcBorders>
              <w:top w:val="nil"/>
              <w:left w:val="nil"/>
              <w:bottom w:val="single" w:sz="4" w:space="0" w:color="auto"/>
              <w:right w:val="single" w:sz="4" w:space="0" w:color="auto"/>
            </w:tcBorders>
            <w:shd w:val="clear" w:color="auto" w:fill="auto"/>
            <w:noWrap/>
            <w:hideMark/>
          </w:tcPr>
          <w:p w14:paraId="07DAC33C" w14:textId="77777777" w:rsidR="006F0BB0" w:rsidRPr="006F0BB0" w:rsidRDefault="006F0BB0" w:rsidP="007D1DBA">
            <w:pPr>
              <w:jc w:val="right"/>
              <w:rPr>
                <w:sz w:val="18"/>
                <w:szCs w:val="18"/>
                <w:lang w:val="es-419" w:eastAsia="es-419"/>
              </w:rPr>
            </w:pPr>
            <w:r w:rsidRPr="006F0BB0">
              <w:rPr>
                <w:sz w:val="18"/>
                <w:szCs w:val="18"/>
                <w:lang w:val="es-419" w:eastAsia="es-419"/>
              </w:rPr>
              <w:t>52 014</w:t>
            </w:r>
          </w:p>
        </w:tc>
        <w:tc>
          <w:tcPr>
            <w:tcW w:w="950" w:type="dxa"/>
            <w:tcBorders>
              <w:top w:val="nil"/>
              <w:left w:val="nil"/>
              <w:bottom w:val="single" w:sz="4" w:space="0" w:color="auto"/>
              <w:right w:val="single" w:sz="4" w:space="0" w:color="auto"/>
            </w:tcBorders>
            <w:shd w:val="clear" w:color="auto" w:fill="auto"/>
            <w:noWrap/>
            <w:hideMark/>
          </w:tcPr>
          <w:p w14:paraId="6E8081D4" w14:textId="77777777" w:rsidR="006F0BB0" w:rsidRPr="006F0BB0" w:rsidRDefault="006F0BB0" w:rsidP="007D1DBA">
            <w:pPr>
              <w:jc w:val="right"/>
              <w:rPr>
                <w:sz w:val="18"/>
                <w:szCs w:val="18"/>
                <w:lang w:val="es-419" w:eastAsia="es-419"/>
              </w:rPr>
            </w:pPr>
            <w:r w:rsidRPr="006F0BB0">
              <w:rPr>
                <w:sz w:val="18"/>
                <w:szCs w:val="18"/>
                <w:lang w:val="es-419" w:eastAsia="es-419"/>
              </w:rPr>
              <w:t>53 575</w:t>
            </w:r>
          </w:p>
        </w:tc>
        <w:tc>
          <w:tcPr>
            <w:tcW w:w="950" w:type="dxa"/>
            <w:tcBorders>
              <w:top w:val="nil"/>
              <w:left w:val="nil"/>
              <w:bottom w:val="single" w:sz="4" w:space="0" w:color="auto"/>
              <w:right w:val="single" w:sz="4" w:space="0" w:color="auto"/>
            </w:tcBorders>
            <w:shd w:val="clear" w:color="auto" w:fill="auto"/>
            <w:noWrap/>
            <w:hideMark/>
          </w:tcPr>
          <w:p w14:paraId="53018239" w14:textId="77777777" w:rsidR="006F0BB0" w:rsidRPr="006F0BB0" w:rsidRDefault="006F0BB0" w:rsidP="007D1DBA">
            <w:pPr>
              <w:jc w:val="right"/>
              <w:rPr>
                <w:sz w:val="18"/>
                <w:szCs w:val="18"/>
                <w:lang w:val="es-419" w:eastAsia="es-419"/>
              </w:rPr>
            </w:pPr>
            <w:r w:rsidRPr="006F0BB0">
              <w:rPr>
                <w:sz w:val="18"/>
                <w:szCs w:val="18"/>
                <w:lang w:val="es-419" w:eastAsia="es-419"/>
              </w:rPr>
              <w:t>49 043</w:t>
            </w:r>
          </w:p>
        </w:tc>
        <w:tc>
          <w:tcPr>
            <w:tcW w:w="1005" w:type="dxa"/>
            <w:tcBorders>
              <w:top w:val="nil"/>
              <w:left w:val="nil"/>
              <w:bottom w:val="single" w:sz="4" w:space="0" w:color="auto"/>
              <w:right w:val="single" w:sz="4" w:space="0" w:color="auto"/>
            </w:tcBorders>
            <w:shd w:val="clear" w:color="auto" w:fill="auto"/>
            <w:noWrap/>
            <w:hideMark/>
          </w:tcPr>
          <w:p w14:paraId="7BEDA73C" w14:textId="77777777" w:rsidR="006F0BB0" w:rsidRPr="006F0BB0" w:rsidRDefault="006F0BB0" w:rsidP="007D1DBA">
            <w:pPr>
              <w:jc w:val="right"/>
              <w:rPr>
                <w:sz w:val="18"/>
                <w:szCs w:val="18"/>
                <w:lang w:val="es-419" w:eastAsia="es-419"/>
              </w:rPr>
            </w:pPr>
            <w:r w:rsidRPr="006F0BB0">
              <w:rPr>
                <w:sz w:val="18"/>
                <w:szCs w:val="18"/>
                <w:lang w:val="es-419" w:eastAsia="es-419"/>
              </w:rPr>
              <w:t>201 047</w:t>
            </w:r>
          </w:p>
        </w:tc>
        <w:tc>
          <w:tcPr>
            <w:tcW w:w="1181" w:type="dxa"/>
            <w:tcBorders>
              <w:top w:val="nil"/>
              <w:left w:val="nil"/>
              <w:bottom w:val="single" w:sz="4" w:space="0" w:color="auto"/>
              <w:right w:val="single" w:sz="4" w:space="0" w:color="auto"/>
            </w:tcBorders>
            <w:shd w:val="clear" w:color="auto" w:fill="auto"/>
            <w:noWrap/>
            <w:hideMark/>
          </w:tcPr>
          <w:p w14:paraId="6735A387" w14:textId="77777777" w:rsidR="006F0BB0" w:rsidRPr="006F0BB0" w:rsidRDefault="006F0BB0" w:rsidP="007D1DBA">
            <w:pPr>
              <w:jc w:val="right"/>
              <w:rPr>
                <w:sz w:val="18"/>
                <w:szCs w:val="18"/>
                <w:lang w:val="es-419" w:eastAsia="es-419"/>
              </w:rPr>
            </w:pPr>
            <w:r w:rsidRPr="006F0BB0">
              <w:rPr>
                <w:sz w:val="18"/>
                <w:szCs w:val="18"/>
                <w:lang w:val="es-419" w:eastAsia="es-419"/>
              </w:rPr>
              <w:t>26,6%</w:t>
            </w:r>
          </w:p>
        </w:tc>
      </w:tr>
      <w:tr w:rsidR="006F0BB0" w:rsidRPr="006F0BB0" w14:paraId="34554F9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ACCB99"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Lesotho</w:t>
            </w:r>
            <w:proofErr w:type="spellEnd"/>
          </w:p>
        </w:tc>
        <w:tc>
          <w:tcPr>
            <w:tcW w:w="950" w:type="dxa"/>
            <w:tcBorders>
              <w:top w:val="nil"/>
              <w:left w:val="nil"/>
              <w:bottom w:val="single" w:sz="4" w:space="0" w:color="auto"/>
              <w:right w:val="single" w:sz="4" w:space="0" w:color="auto"/>
            </w:tcBorders>
            <w:shd w:val="clear" w:color="auto" w:fill="auto"/>
            <w:noWrap/>
            <w:hideMark/>
          </w:tcPr>
          <w:p w14:paraId="7D0B7D93" w14:textId="77777777" w:rsidR="006F0BB0" w:rsidRPr="006F0BB0" w:rsidRDefault="006F0BB0" w:rsidP="007D1DBA">
            <w:pPr>
              <w:jc w:val="right"/>
              <w:rPr>
                <w:sz w:val="18"/>
                <w:szCs w:val="18"/>
                <w:lang w:val="es-419" w:eastAsia="es-419"/>
              </w:rPr>
            </w:pPr>
            <w:r w:rsidRPr="006F0BB0">
              <w:rPr>
                <w:sz w:val="18"/>
                <w:szCs w:val="18"/>
                <w:lang w:val="es-419" w:eastAsia="es-419"/>
              </w:rPr>
              <w:t>24 165</w:t>
            </w:r>
          </w:p>
        </w:tc>
        <w:tc>
          <w:tcPr>
            <w:tcW w:w="950" w:type="dxa"/>
            <w:tcBorders>
              <w:top w:val="nil"/>
              <w:left w:val="nil"/>
              <w:bottom w:val="single" w:sz="4" w:space="0" w:color="auto"/>
              <w:right w:val="single" w:sz="4" w:space="0" w:color="auto"/>
            </w:tcBorders>
            <w:shd w:val="clear" w:color="auto" w:fill="auto"/>
            <w:noWrap/>
            <w:hideMark/>
          </w:tcPr>
          <w:p w14:paraId="3CDD7E2B" w14:textId="77777777" w:rsidR="006F0BB0" w:rsidRPr="006F0BB0" w:rsidRDefault="006F0BB0" w:rsidP="007D1DBA">
            <w:pPr>
              <w:jc w:val="right"/>
              <w:rPr>
                <w:sz w:val="18"/>
                <w:szCs w:val="18"/>
                <w:lang w:val="es-419" w:eastAsia="es-419"/>
              </w:rPr>
            </w:pPr>
            <w:r w:rsidRPr="006F0BB0">
              <w:rPr>
                <w:sz w:val="18"/>
                <w:szCs w:val="18"/>
                <w:lang w:val="es-419" w:eastAsia="es-419"/>
              </w:rPr>
              <w:t>24 890</w:t>
            </w:r>
          </w:p>
        </w:tc>
        <w:tc>
          <w:tcPr>
            <w:tcW w:w="950" w:type="dxa"/>
            <w:tcBorders>
              <w:top w:val="nil"/>
              <w:left w:val="nil"/>
              <w:bottom w:val="single" w:sz="4" w:space="0" w:color="auto"/>
              <w:right w:val="single" w:sz="4" w:space="0" w:color="auto"/>
            </w:tcBorders>
            <w:shd w:val="clear" w:color="auto" w:fill="auto"/>
            <w:noWrap/>
            <w:hideMark/>
          </w:tcPr>
          <w:p w14:paraId="183E0493" w14:textId="77777777" w:rsidR="006F0BB0" w:rsidRPr="006F0BB0" w:rsidRDefault="006F0BB0" w:rsidP="007D1DBA">
            <w:pPr>
              <w:jc w:val="right"/>
              <w:rPr>
                <w:sz w:val="18"/>
                <w:szCs w:val="18"/>
                <w:lang w:val="es-419" w:eastAsia="es-419"/>
              </w:rPr>
            </w:pPr>
            <w:r w:rsidRPr="006F0BB0">
              <w:rPr>
                <w:sz w:val="18"/>
                <w:szCs w:val="18"/>
                <w:lang w:val="es-419" w:eastAsia="es-419"/>
              </w:rPr>
              <w:t>25 637</w:t>
            </w:r>
          </w:p>
        </w:tc>
        <w:tc>
          <w:tcPr>
            <w:tcW w:w="950" w:type="dxa"/>
            <w:tcBorders>
              <w:top w:val="nil"/>
              <w:left w:val="nil"/>
              <w:bottom w:val="single" w:sz="4" w:space="0" w:color="auto"/>
              <w:right w:val="single" w:sz="4" w:space="0" w:color="auto"/>
            </w:tcBorders>
            <w:shd w:val="clear" w:color="auto" w:fill="auto"/>
            <w:noWrap/>
            <w:hideMark/>
          </w:tcPr>
          <w:p w14:paraId="1E4243C9" w14:textId="77777777" w:rsidR="006F0BB0" w:rsidRPr="006F0BB0" w:rsidRDefault="006F0BB0" w:rsidP="007D1DBA">
            <w:pPr>
              <w:jc w:val="right"/>
              <w:rPr>
                <w:sz w:val="18"/>
                <w:szCs w:val="18"/>
                <w:lang w:val="es-419" w:eastAsia="es-419"/>
              </w:rPr>
            </w:pPr>
            <w:r w:rsidRPr="006F0BB0">
              <w:rPr>
                <w:sz w:val="18"/>
                <w:szCs w:val="18"/>
                <w:lang w:val="es-419" w:eastAsia="es-419"/>
              </w:rPr>
              <w:t>26 406</w:t>
            </w:r>
          </w:p>
        </w:tc>
        <w:tc>
          <w:tcPr>
            <w:tcW w:w="950" w:type="dxa"/>
            <w:tcBorders>
              <w:top w:val="nil"/>
              <w:left w:val="nil"/>
              <w:bottom w:val="single" w:sz="4" w:space="0" w:color="auto"/>
              <w:right w:val="single" w:sz="4" w:space="0" w:color="auto"/>
            </w:tcBorders>
            <w:shd w:val="clear" w:color="auto" w:fill="auto"/>
            <w:noWrap/>
            <w:hideMark/>
          </w:tcPr>
          <w:p w14:paraId="6F2F3B53" w14:textId="77777777" w:rsidR="006F0BB0" w:rsidRPr="006F0BB0" w:rsidRDefault="006F0BB0" w:rsidP="007D1DBA">
            <w:pPr>
              <w:jc w:val="right"/>
              <w:rPr>
                <w:sz w:val="18"/>
                <w:szCs w:val="18"/>
                <w:lang w:val="es-419" w:eastAsia="es-419"/>
              </w:rPr>
            </w:pPr>
            <w:r w:rsidRPr="006F0BB0">
              <w:rPr>
                <w:sz w:val="18"/>
                <w:szCs w:val="18"/>
                <w:lang w:val="es-419" w:eastAsia="es-419"/>
              </w:rPr>
              <w:t>27 198</w:t>
            </w:r>
          </w:p>
        </w:tc>
        <w:tc>
          <w:tcPr>
            <w:tcW w:w="950" w:type="dxa"/>
            <w:tcBorders>
              <w:top w:val="nil"/>
              <w:left w:val="nil"/>
              <w:bottom w:val="single" w:sz="4" w:space="0" w:color="auto"/>
              <w:right w:val="single" w:sz="4" w:space="0" w:color="auto"/>
            </w:tcBorders>
            <w:shd w:val="clear" w:color="auto" w:fill="auto"/>
            <w:noWrap/>
            <w:hideMark/>
          </w:tcPr>
          <w:p w14:paraId="0203E008" w14:textId="77777777" w:rsidR="006F0BB0" w:rsidRPr="006F0BB0" w:rsidRDefault="006F0BB0" w:rsidP="007D1DBA">
            <w:pPr>
              <w:jc w:val="right"/>
              <w:rPr>
                <w:sz w:val="18"/>
                <w:szCs w:val="18"/>
                <w:lang w:val="es-419" w:eastAsia="es-419"/>
              </w:rPr>
            </w:pPr>
            <w:r w:rsidRPr="006F0BB0">
              <w:rPr>
                <w:sz w:val="18"/>
                <w:szCs w:val="18"/>
                <w:lang w:val="es-419" w:eastAsia="es-419"/>
              </w:rPr>
              <w:t>28 014</w:t>
            </w:r>
          </w:p>
        </w:tc>
        <w:tc>
          <w:tcPr>
            <w:tcW w:w="950" w:type="dxa"/>
            <w:tcBorders>
              <w:top w:val="nil"/>
              <w:left w:val="nil"/>
              <w:bottom w:val="single" w:sz="4" w:space="0" w:color="auto"/>
              <w:right w:val="single" w:sz="4" w:space="0" w:color="auto"/>
            </w:tcBorders>
            <w:shd w:val="clear" w:color="auto" w:fill="auto"/>
            <w:noWrap/>
            <w:hideMark/>
          </w:tcPr>
          <w:p w14:paraId="69B65690" w14:textId="77777777" w:rsidR="006F0BB0" w:rsidRPr="006F0BB0" w:rsidRDefault="006F0BB0" w:rsidP="007D1DBA">
            <w:pPr>
              <w:jc w:val="right"/>
              <w:rPr>
                <w:sz w:val="18"/>
                <w:szCs w:val="18"/>
                <w:lang w:val="es-419" w:eastAsia="es-419"/>
              </w:rPr>
            </w:pPr>
            <w:r w:rsidRPr="006F0BB0">
              <w:rPr>
                <w:sz w:val="18"/>
                <w:szCs w:val="18"/>
                <w:lang w:val="es-419" w:eastAsia="es-419"/>
              </w:rPr>
              <w:t>25 644</w:t>
            </w:r>
          </w:p>
        </w:tc>
        <w:tc>
          <w:tcPr>
            <w:tcW w:w="1005" w:type="dxa"/>
            <w:tcBorders>
              <w:top w:val="nil"/>
              <w:left w:val="nil"/>
              <w:bottom w:val="single" w:sz="4" w:space="0" w:color="auto"/>
              <w:right w:val="single" w:sz="4" w:space="0" w:color="auto"/>
            </w:tcBorders>
            <w:shd w:val="clear" w:color="auto" w:fill="auto"/>
            <w:noWrap/>
            <w:hideMark/>
          </w:tcPr>
          <w:p w14:paraId="1323D358" w14:textId="77777777" w:rsidR="006F0BB0" w:rsidRPr="006F0BB0" w:rsidRDefault="006F0BB0" w:rsidP="007D1DBA">
            <w:pPr>
              <w:jc w:val="right"/>
              <w:rPr>
                <w:sz w:val="18"/>
                <w:szCs w:val="18"/>
                <w:lang w:val="es-419" w:eastAsia="es-419"/>
              </w:rPr>
            </w:pPr>
            <w:r w:rsidRPr="006F0BB0">
              <w:rPr>
                <w:sz w:val="18"/>
                <w:szCs w:val="18"/>
                <w:lang w:val="es-419" w:eastAsia="es-419"/>
              </w:rPr>
              <w:t>99 388</w:t>
            </w:r>
          </w:p>
        </w:tc>
        <w:tc>
          <w:tcPr>
            <w:tcW w:w="1181" w:type="dxa"/>
            <w:tcBorders>
              <w:top w:val="nil"/>
              <w:left w:val="nil"/>
              <w:bottom w:val="single" w:sz="4" w:space="0" w:color="auto"/>
              <w:right w:val="single" w:sz="4" w:space="0" w:color="auto"/>
            </w:tcBorders>
            <w:shd w:val="clear" w:color="auto" w:fill="auto"/>
            <w:noWrap/>
            <w:hideMark/>
          </w:tcPr>
          <w:p w14:paraId="606F9934" w14:textId="77777777" w:rsidR="006F0BB0" w:rsidRPr="006F0BB0" w:rsidRDefault="006F0BB0" w:rsidP="007D1DBA">
            <w:pPr>
              <w:jc w:val="right"/>
              <w:rPr>
                <w:sz w:val="18"/>
                <w:szCs w:val="18"/>
                <w:lang w:val="es-419" w:eastAsia="es-419"/>
              </w:rPr>
            </w:pPr>
            <w:r w:rsidRPr="006F0BB0">
              <w:rPr>
                <w:sz w:val="18"/>
                <w:szCs w:val="18"/>
                <w:lang w:val="es-419" w:eastAsia="es-419"/>
              </w:rPr>
              <w:t>28,2%</w:t>
            </w:r>
          </w:p>
        </w:tc>
      </w:tr>
      <w:tr w:rsidR="006F0BB0" w:rsidRPr="006F0BB0" w14:paraId="22391D06"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DBE6D8" w14:textId="77777777" w:rsidR="006F0BB0" w:rsidRPr="006F0BB0" w:rsidRDefault="006F0BB0" w:rsidP="007D1DBA">
            <w:pPr>
              <w:jc w:val="left"/>
              <w:rPr>
                <w:sz w:val="18"/>
                <w:szCs w:val="18"/>
                <w:lang w:val="es-419" w:eastAsia="es-419"/>
              </w:rPr>
            </w:pPr>
            <w:r w:rsidRPr="006F0BB0">
              <w:rPr>
                <w:sz w:val="18"/>
                <w:szCs w:val="18"/>
                <w:lang w:val="es-419" w:eastAsia="es-419"/>
              </w:rPr>
              <w:t>Malí</w:t>
            </w:r>
          </w:p>
        </w:tc>
        <w:tc>
          <w:tcPr>
            <w:tcW w:w="950" w:type="dxa"/>
            <w:tcBorders>
              <w:top w:val="nil"/>
              <w:left w:val="nil"/>
              <w:bottom w:val="single" w:sz="4" w:space="0" w:color="auto"/>
              <w:right w:val="single" w:sz="4" w:space="0" w:color="auto"/>
            </w:tcBorders>
            <w:shd w:val="clear" w:color="auto" w:fill="auto"/>
            <w:noWrap/>
            <w:hideMark/>
          </w:tcPr>
          <w:p w14:paraId="5A33B7C5" w14:textId="77777777" w:rsidR="006F0BB0" w:rsidRPr="006F0BB0" w:rsidRDefault="006F0BB0" w:rsidP="007D1DBA">
            <w:pPr>
              <w:jc w:val="right"/>
              <w:rPr>
                <w:sz w:val="18"/>
                <w:szCs w:val="18"/>
                <w:lang w:val="es-419" w:eastAsia="es-419"/>
              </w:rPr>
            </w:pPr>
            <w:r w:rsidRPr="006F0BB0">
              <w:rPr>
                <w:sz w:val="18"/>
                <w:szCs w:val="18"/>
                <w:lang w:val="es-419" w:eastAsia="es-419"/>
              </w:rPr>
              <w:t>108 522</w:t>
            </w:r>
          </w:p>
        </w:tc>
        <w:tc>
          <w:tcPr>
            <w:tcW w:w="950" w:type="dxa"/>
            <w:tcBorders>
              <w:top w:val="nil"/>
              <w:left w:val="nil"/>
              <w:bottom w:val="single" w:sz="4" w:space="0" w:color="auto"/>
              <w:right w:val="single" w:sz="4" w:space="0" w:color="auto"/>
            </w:tcBorders>
            <w:shd w:val="clear" w:color="auto" w:fill="auto"/>
            <w:noWrap/>
            <w:hideMark/>
          </w:tcPr>
          <w:p w14:paraId="0D1DEF77" w14:textId="77777777" w:rsidR="006F0BB0" w:rsidRPr="006F0BB0" w:rsidRDefault="006F0BB0" w:rsidP="007D1DBA">
            <w:pPr>
              <w:jc w:val="right"/>
              <w:rPr>
                <w:sz w:val="18"/>
                <w:szCs w:val="18"/>
                <w:lang w:val="es-419" w:eastAsia="es-419"/>
              </w:rPr>
            </w:pPr>
            <w:r w:rsidRPr="006F0BB0">
              <w:rPr>
                <w:sz w:val="18"/>
                <w:szCs w:val="18"/>
                <w:lang w:val="es-419" w:eastAsia="es-419"/>
              </w:rPr>
              <w:t>111 778</w:t>
            </w:r>
          </w:p>
        </w:tc>
        <w:tc>
          <w:tcPr>
            <w:tcW w:w="950" w:type="dxa"/>
            <w:tcBorders>
              <w:top w:val="nil"/>
              <w:left w:val="nil"/>
              <w:bottom w:val="single" w:sz="4" w:space="0" w:color="auto"/>
              <w:right w:val="single" w:sz="4" w:space="0" w:color="auto"/>
            </w:tcBorders>
            <w:shd w:val="clear" w:color="auto" w:fill="auto"/>
            <w:noWrap/>
            <w:hideMark/>
          </w:tcPr>
          <w:p w14:paraId="5078551D" w14:textId="77777777" w:rsidR="006F0BB0" w:rsidRPr="006F0BB0" w:rsidRDefault="006F0BB0" w:rsidP="007D1DBA">
            <w:pPr>
              <w:jc w:val="right"/>
              <w:rPr>
                <w:sz w:val="18"/>
                <w:szCs w:val="18"/>
                <w:lang w:val="es-419" w:eastAsia="es-419"/>
              </w:rPr>
            </w:pPr>
            <w:r w:rsidRPr="006F0BB0">
              <w:rPr>
                <w:sz w:val="18"/>
                <w:szCs w:val="18"/>
                <w:lang w:val="es-419" w:eastAsia="es-419"/>
              </w:rPr>
              <w:t>115 131</w:t>
            </w:r>
          </w:p>
        </w:tc>
        <w:tc>
          <w:tcPr>
            <w:tcW w:w="950" w:type="dxa"/>
            <w:tcBorders>
              <w:top w:val="nil"/>
              <w:left w:val="nil"/>
              <w:bottom w:val="single" w:sz="4" w:space="0" w:color="auto"/>
              <w:right w:val="single" w:sz="4" w:space="0" w:color="auto"/>
            </w:tcBorders>
            <w:shd w:val="clear" w:color="auto" w:fill="auto"/>
            <w:noWrap/>
            <w:hideMark/>
          </w:tcPr>
          <w:p w14:paraId="33660BCF" w14:textId="77777777" w:rsidR="006F0BB0" w:rsidRPr="006F0BB0" w:rsidRDefault="006F0BB0" w:rsidP="007D1DBA">
            <w:pPr>
              <w:jc w:val="right"/>
              <w:rPr>
                <w:sz w:val="18"/>
                <w:szCs w:val="18"/>
                <w:lang w:val="es-419" w:eastAsia="es-419"/>
              </w:rPr>
            </w:pPr>
            <w:r w:rsidRPr="006F0BB0">
              <w:rPr>
                <w:sz w:val="18"/>
                <w:szCs w:val="18"/>
                <w:lang w:val="es-419" w:eastAsia="es-419"/>
              </w:rPr>
              <w:t>118 585</w:t>
            </w:r>
          </w:p>
        </w:tc>
        <w:tc>
          <w:tcPr>
            <w:tcW w:w="950" w:type="dxa"/>
            <w:tcBorders>
              <w:top w:val="nil"/>
              <w:left w:val="nil"/>
              <w:bottom w:val="single" w:sz="4" w:space="0" w:color="auto"/>
              <w:right w:val="single" w:sz="4" w:space="0" w:color="auto"/>
            </w:tcBorders>
            <w:shd w:val="clear" w:color="auto" w:fill="auto"/>
            <w:noWrap/>
            <w:hideMark/>
          </w:tcPr>
          <w:p w14:paraId="6CDFC89B" w14:textId="77777777" w:rsidR="006F0BB0" w:rsidRPr="006F0BB0" w:rsidRDefault="006F0BB0" w:rsidP="007D1DBA">
            <w:pPr>
              <w:jc w:val="right"/>
              <w:rPr>
                <w:sz w:val="18"/>
                <w:szCs w:val="18"/>
                <w:lang w:val="es-419" w:eastAsia="es-419"/>
              </w:rPr>
            </w:pPr>
            <w:r w:rsidRPr="006F0BB0">
              <w:rPr>
                <w:sz w:val="18"/>
                <w:szCs w:val="18"/>
                <w:lang w:val="es-419" w:eastAsia="es-419"/>
              </w:rPr>
              <w:t>122 142</w:t>
            </w:r>
          </w:p>
        </w:tc>
        <w:tc>
          <w:tcPr>
            <w:tcW w:w="950" w:type="dxa"/>
            <w:tcBorders>
              <w:top w:val="nil"/>
              <w:left w:val="nil"/>
              <w:bottom w:val="single" w:sz="4" w:space="0" w:color="auto"/>
              <w:right w:val="single" w:sz="4" w:space="0" w:color="auto"/>
            </w:tcBorders>
            <w:shd w:val="clear" w:color="auto" w:fill="auto"/>
            <w:noWrap/>
            <w:hideMark/>
          </w:tcPr>
          <w:p w14:paraId="601FDC4A" w14:textId="77777777" w:rsidR="006F0BB0" w:rsidRPr="006F0BB0" w:rsidRDefault="006F0BB0" w:rsidP="007D1DBA">
            <w:pPr>
              <w:jc w:val="right"/>
              <w:rPr>
                <w:sz w:val="18"/>
                <w:szCs w:val="18"/>
                <w:lang w:val="es-419" w:eastAsia="es-419"/>
              </w:rPr>
            </w:pPr>
            <w:r w:rsidRPr="006F0BB0">
              <w:rPr>
                <w:sz w:val="18"/>
                <w:szCs w:val="18"/>
                <w:lang w:val="es-419" w:eastAsia="es-419"/>
              </w:rPr>
              <w:t>125 807</w:t>
            </w:r>
          </w:p>
        </w:tc>
        <w:tc>
          <w:tcPr>
            <w:tcW w:w="950" w:type="dxa"/>
            <w:tcBorders>
              <w:top w:val="nil"/>
              <w:left w:val="nil"/>
              <w:bottom w:val="single" w:sz="4" w:space="0" w:color="auto"/>
              <w:right w:val="single" w:sz="4" w:space="0" w:color="auto"/>
            </w:tcBorders>
            <w:shd w:val="clear" w:color="auto" w:fill="auto"/>
            <w:noWrap/>
            <w:hideMark/>
          </w:tcPr>
          <w:p w14:paraId="4152F7FF" w14:textId="77777777" w:rsidR="006F0BB0" w:rsidRPr="006F0BB0" w:rsidRDefault="006F0BB0" w:rsidP="007D1DBA">
            <w:pPr>
              <w:jc w:val="right"/>
              <w:rPr>
                <w:sz w:val="18"/>
                <w:szCs w:val="18"/>
                <w:lang w:val="es-419" w:eastAsia="es-419"/>
              </w:rPr>
            </w:pPr>
            <w:r w:rsidRPr="006F0BB0">
              <w:rPr>
                <w:sz w:val="18"/>
                <w:szCs w:val="18"/>
                <w:lang w:val="es-419" w:eastAsia="es-419"/>
              </w:rPr>
              <w:t>115 165</w:t>
            </w:r>
          </w:p>
        </w:tc>
        <w:tc>
          <w:tcPr>
            <w:tcW w:w="1005" w:type="dxa"/>
            <w:tcBorders>
              <w:top w:val="nil"/>
              <w:left w:val="nil"/>
              <w:bottom w:val="single" w:sz="4" w:space="0" w:color="auto"/>
              <w:right w:val="single" w:sz="4" w:space="0" w:color="auto"/>
            </w:tcBorders>
            <w:shd w:val="clear" w:color="auto" w:fill="auto"/>
            <w:noWrap/>
            <w:hideMark/>
          </w:tcPr>
          <w:p w14:paraId="2700C7CE" w14:textId="77777777" w:rsidR="006F0BB0" w:rsidRPr="006F0BB0" w:rsidRDefault="006F0BB0" w:rsidP="007D1DBA">
            <w:pPr>
              <w:jc w:val="right"/>
              <w:rPr>
                <w:sz w:val="18"/>
                <w:szCs w:val="18"/>
                <w:lang w:val="es-419" w:eastAsia="es-419"/>
              </w:rPr>
            </w:pPr>
            <w:r w:rsidRPr="006F0BB0">
              <w:rPr>
                <w:sz w:val="18"/>
                <w:szCs w:val="18"/>
                <w:lang w:val="es-419" w:eastAsia="es-419"/>
              </w:rPr>
              <w:t>435 467</w:t>
            </w:r>
          </w:p>
        </w:tc>
        <w:tc>
          <w:tcPr>
            <w:tcW w:w="1181" w:type="dxa"/>
            <w:tcBorders>
              <w:top w:val="nil"/>
              <w:left w:val="nil"/>
              <w:bottom w:val="single" w:sz="4" w:space="0" w:color="auto"/>
              <w:right w:val="single" w:sz="4" w:space="0" w:color="auto"/>
            </w:tcBorders>
            <w:shd w:val="clear" w:color="auto" w:fill="auto"/>
            <w:noWrap/>
            <w:hideMark/>
          </w:tcPr>
          <w:p w14:paraId="63FDFF54" w14:textId="77777777" w:rsidR="006F0BB0" w:rsidRPr="006F0BB0" w:rsidRDefault="006F0BB0" w:rsidP="007D1DBA">
            <w:pPr>
              <w:jc w:val="right"/>
              <w:rPr>
                <w:sz w:val="18"/>
                <w:szCs w:val="18"/>
                <w:lang w:val="es-419" w:eastAsia="es-419"/>
              </w:rPr>
            </w:pPr>
            <w:r w:rsidRPr="006F0BB0">
              <w:rPr>
                <w:sz w:val="18"/>
                <w:szCs w:val="18"/>
                <w:lang w:val="es-419" w:eastAsia="es-419"/>
              </w:rPr>
              <w:t>28,9%</w:t>
            </w:r>
          </w:p>
        </w:tc>
      </w:tr>
      <w:tr w:rsidR="006F0BB0" w:rsidRPr="006F0BB0" w14:paraId="6EDFCDD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41B2B0D" w14:textId="77777777" w:rsidR="006F0BB0" w:rsidRPr="006F0BB0" w:rsidRDefault="006F0BB0" w:rsidP="007D1DBA">
            <w:pPr>
              <w:jc w:val="left"/>
              <w:rPr>
                <w:sz w:val="18"/>
                <w:szCs w:val="18"/>
                <w:lang w:val="es-419" w:eastAsia="es-419"/>
              </w:rPr>
            </w:pPr>
            <w:r w:rsidRPr="006F0BB0">
              <w:rPr>
                <w:sz w:val="18"/>
                <w:szCs w:val="18"/>
                <w:lang w:val="es-419" w:eastAsia="es-419"/>
              </w:rPr>
              <w:t>Ghana</w:t>
            </w:r>
          </w:p>
        </w:tc>
        <w:tc>
          <w:tcPr>
            <w:tcW w:w="950" w:type="dxa"/>
            <w:tcBorders>
              <w:top w:val="nil"/>
              <w:left w:val="nil"/>
              <w:bottom w:val="single" w:sz="4" w:space="0" w:color="auto"/>
              <w:right w:val="single" w:sz="4" w:space="0" w:color="auto"/>
            </w:tcBorders>
            <w:shd w:val="clear" w:color="auto" w:fill="auto"/>
            <w:noWrap/>
            <w:hideMark/>
          </w:tcPr>
          <w:p w14:paraId="214F4A39" w14:textId="77777777" w:rsidR="006F0BB0" w:rsidRPr="006F0BB0" w:rsidRDefault="006F0BB0" w:rsidP="007D1DBA">
            <w:pPr>
              <w:jc w:val="right"/>
              <w:rPr>
                <w:sz w:val="18"/>
                <w:szCs w:val="18"/>
                <w:lang w:val="es-419" w:eastAsia="es-419"/>
              </w:rPr>
            </w:pPr>
            <w:r w:rsidRPr="006F0BB0">
              <w:rPr>
                <w:sz w:val="18"/>
                <w:szCs w:val="18"/>
                <w:lang w:val="es-419" w:eastAsia="es-419"/>
              </w:rPr>
              <w:t>496 683</w:t>
            </w:r>
          </w:p>
        </w:tc>
        <w:tc>
          <w:tcPr>
            <w:tcW w:w="950" w:type="dxa"/>
            <w:tcBorders>
              <w:top w:val="nil"/>
              <w:left w:val="nil"/>
              <w:bottom w:val="single" w:sz="4" w:space="0" w:color="auto"/>
              <w:right w:val="single" w:sz="4" w:space="0" w:color="auto"/>
            </w:tcBorders>
            <w:shd w:val="clear" w:color="auto" w:fill="auto"/>
            <w:noWrap/>
            <w:hideMark/>
          </w:tcPr>
          <w:p w14:paraId="79DF1E88" w14:textId="77777777" w:rsidR="006F0BB0" w:rsidRPr="006F0BB0" w:rsidRDefault="006F0BB0" w:rsidP="007D1DBA">
            <w:pPr>
              <w:jc w:val="right"/>
              <w:rPr>
                <w:sz w:val="18"/>
                <w:szCs w:val="18"/>
                <w:lang w:val="es-419" w:eastAsia="es-419"/>
              </w:rPr>
            </w:pPr>
            <w:r w:rsidRPr="006F0BB0">
              <w:rPr>
                <w:sz w:val="18"/>
                <w:szCs w:val="18"/>
                <w:lang w:val="es-419" w:eastAsia="es-419"/>
              </w:rPr>
              <w:t>511 583</w:t>
            </w:r>
          </w:p>
        </w:tc>
        <w:tc>
          <w:tcPr>
            <w:tcW w:w="950" w:type="dxa"/>
            <w:tcBorders>
              <w:top w:val="nil"/>
              <w:left w:val="nil"/>
              <w:bottom w:val="single" w:sz="4" w:space="0" w:color="auto"/>
              <w:right w:val="single" w:sz="4" w:space="0" w:color="auto"/>
            </w:tcBorders>
            <w:shd w:val="clear" w:color="auto" w:fill="auto"/>
            <w:noWrap/>
            <w:hideMark/>
          </w:tcPr>
          <w:p w14:paraId="7FA33F96" w14:textId="77777777" w:rsidR="006F0BB0" w:rsidRPr="006F0BB0" w:rsidRDefault="006F0BB0" w:rsidP="007D1DBA">
            <w:pPr>
              <w:jc w:val="right"/>
              <w:rPr>
                <w:sz w:val="18"/>
                <w:szCs w:val="18"/>
                <w:lang w:val="es-419" w:eastAsia="es-419"/>
              </w:rPr>
            </w:pPr>
            <w:r w:rsidRPr="006F0BB0">
              <w:rPr>
                <w:sz w:val="18"/>
                <w:szCs w:val="18"/>
                <w:lang w:val="es-419" w:eastAsia="es-419"/>
              </w:rPr>
              <w:t>526 931</w:t>
            </w:r>
          </w:p>
        </w:tc>
        <w:tc>
          <w:tcPr>
            <w:tcW w:w="950" w:type="dxa"/>
            <w:tcBorders>
              <w:top w:val="nil"/>
              <w:left w:val="nil"/>
              <w:bottom w:val="single" w:sz="4" w:space="0" w:color="auto"/>
              <w:right w:val="single" w:sz="4" w:space="0" w:color="auto"/>
            </w:tcBorders>
            <w:shd w:val="clear" w:color="auto" w:fill="auto"/>
            <w:noWrap/>
            <w:hideMark/>
          </w:tcPr>
          <w:p w14:paraId="34CB6B2F" w14:textId="77777777" w:rsidR="006F0BB0" w:rsidRPr="006F0BB0" w:rsidRDefault="006F0BB0" w:rsidP="007D1DBA">
            <w:pPr>
              <w:jc w:val="right"/>
              <w:rPr>
                <w:sz w:val="18"/>
                <w:szCs w:val="18"/>
                <w:lang w:val="es-419" w:eastAsia="es-419"/>
              </w:rPr>
            </w:pPr>
            <w:r w:rsidRPr="006F0BB0">
              <w:rPr>
                <w:sz w:val="18"/>
                <w:szCs w:val="18"/>
                <w:lang w:val="es-419" w:eastAsia="es-419"/>
              </w:rPr>
              <w:t>542 739</w:t>
            </w:r>
          </w:p>
        </w:tc>
        <w:tc>
          <w:tcPr>
            <w:tcW w:w="950" w:type="dxa"/>
            <w:tcBorders>
              <w:top w:val="nil"/>
              <w:left w:val="nil"/>
              <w:bottom w:val="single" w:sz="4" w:space="0" w:color="auto"/>
              <w:right w:val="single" w:sz="4" w:space="0" w:color="auto"/>
            </w:tcBorders>
            <w:shd w:val="clear" w:color="auto" w:fill="auto"/>
            <w:noWrap/>
            <w:hideMark/>
          </w:tcPr>
          <w:p w14:paraId="7ADBB021" w14:textId="77777777" w:rsidR="006F0BB0" w:rsidRPr="006F0BB0" w:rsidRDefault="006F0BB0" w:rsidP="007D1DBA">
            <w:pPr>
              <w:jc w:val="right"/>
              <w:rPr>
                <w:sz w:val="18"/>
                <w:szCs w:val="18"/>
                <w:lang w:val="es-419" w:eastAsia="es-419"/>
              </w:rPr>
            </w:pPr>
            <w:r w:rsidRPr="006F0BB0">
              <w:rPr>
                <w:sz w:val="18"/>
                <w:szCs w:val="18"/>
                <w:lang w:val="es-419" w:eastAsia="es-419"/>
              </w:rPr>
              <w:t>559 021</w:t>
            </w:r>
          </w:p>
        </w:tc>
        <w:tc>
          <w:tcPr>
            <w:tcW w:w="950" w:type="dxa"/>
            <w:tcBorders>
              <w:top w:val="nil"/>
              <w:left w:val="nil"/>
              <w:bottom w:val="single" w:sz="4" w:space="0" w:color="auto"/>
              <w:right w:val="single" w:sz="4" w:space="0" w:color="auto"/>
            </w:tcBorders>
            <w:shd w:val="clear" w:color="auto" w:fill="auto"/>
            <w:noWrap/>
            <w:hideMark/>
          </w:tcPr>
          <w:p w14:paraId="5900DBD2" w14:textId="77777777" w:rsidR="006F0BB0" w:rsidRPr="006F0BB0" w:rsidRDefault="006F0BB0" w:rsidP="007D1DBA">
            <w:pPr>
              <w:jc w:val="right"/>
              <w:rPr>
                <w:sz w:val="18"/>
                <w:szCs w:val="18"/>
                <w:lang w:val="es-419" w:eastAsia="es-419"/>
              </w:rPr>
            </w:pPr>
            <w:r w:rsidRPr="006F0BB0">
              <w:rPr>
                <w:sz w:val="18"/>
                <w:szCs w:val="18"/>
                <w:lang w:val="es-419" w:eastAsia="es-419"/>
              </w:rPr>
              <w:t>575 792</w:t>
            </w:r>
          </w:p>
        </w:tc>
        <w:tc>
          <w:tcPr>
            <w:tcW w:w="950" w:type="dxa"/>
            <w:tcBorders>
              <w:top w:val="nil"/>
              <w:left w:val="nil"/>
              <w:bottom w:val="single" w:sz="4" w:space="0" w:color="auto"/>
              <w:right w:val="single" w:sz="4" w:space="0" w:color="auto"/>
            </w:tcBorders>
            <w:shd w:val="clear" w:color="auto" w:fill="auto"/>
            <w:noWrap/>
            <w:hideMark/>
          </w:tcPr>
          <w:p w14:paraId="10FDEE9E" w14:textId="77777777" w:rsidR="006F0BB0" w:rsidRPr="006F0BB0" w:rsidRDefault="006F0BB0" w:rsidP="007D1DBA">
            <w:pPr>
              <w:jc w:val="right"/>
              <w:rPr>
                <w:sz w:val="18"/>
                <w:szCs w:val="18"/>
                <w:lang w:val="es-419" w:eastAsia="es-419"/>
              </w:rPr>
            </w:pPr>
            <w:r w:rsidRPr="006F0BB0">
              <w:rPr>
                <w:sz w:val="18"/>
                <w:szCs w:val="18"/>
                <w:lang w:val="es-419" w:eastAsia="es-419"/>
              </w:rPr>
              <w:t>527 084</w:t>
            </w:r>
          </w:p>
        </w:tc>
        <w:tc>
          <w:tcPr>
            <w:tcW w:w="1005" w:type="dxa"/>
            <w:tcBorders>
              <w:top w:val="nil"/>
              <w:left w:val="nil"/>
              <w:bottom w:val="single" w:sz="4" w:space="0" w:color="auto"/>
              <w:right w:val="single" w:sz="4" w:space="0" w:color="auto"/>
            </w:tcBorders>
            <w:shd w:val="clear" w:color="auto" w:fill="auto"/>
            <w:noWrap/>
            <w:hideMark/>
          </w:tcPr>
          <w:p w14:paraId="78B7E961" w14:textId="77777777" w:rsidR="006F0BB0" w:rsidRPr="006F0BB0" w:rsidRDefault="006F0BB0" w:rsidP="007D1DBA">
            <w:pPr>
              <w:jc w:val="right"/>
              <w:rPr>
                <w:sz w:val="18"/>
                <w:szCs w:val="18"/>
                <w:lang w:val="es-419" w:eastAsia="es-419"/>
              </w:rPr>
            </w:pPr>
            <w:r w:rsidRPr="006F0BB0">
              <w:rPr>
                <w:sz w:val="18"/>
                <w:szCs w:val="18"/>
                <w:lang w:val="es-419" w:eastAsia="es-419"/>
              </w:rPr>
              <w:t>1 776 667</w:t>
            </w:r>
          </w:p>
        </w:tc>
        <w:tc>
          <w:tcPr>
            <w:tcW w:w="1181" w:type="dxa"/>
            <w:tcBorders>
              <w:top w:val="nil"/>
              <w:left w:val="nil"/>
              <w:bottom w:val="single" w:sz="4" w:space="0" w:color="auto"/>
              <w:right w:val="single" w:sz="4" w:space="0" w:color="auto"/>
            </w:tcBorders>
            <w:shd w:val="clear" w:color="auto" w:fill="auto"/>
            <w:noWrap/>
            <w:hideMark/>
          </w:tcPr>
          <w:p w14:paraId="4281211B" w14:textId="77777777" w:rsidR="006F0BB0" w:rsidRPr="006F0BB0" w:rsidRDefault="006F0BB0" w:rsidP="007D1DBA">
            <w:pPr>
              <w:jc w:val="right"/>
              <w:rPr>
                <w:sz w:val="18"/>
                <w:szCs w:val="18"/>
                <w:lang w:val="es-419" w:eastAsia="es-419"/>
              </w:rPr>
            </w:pPr>
            <w:r w:rsidRPr="006F0BB0">
              <w:rPr>
                <w:sz w:val="18"/>
                <w:szCs w:val="18"/>
                <w:lang w:val="es-419" w:eastAsia="es-419"/>
              </w:rPr>
              <w:t>32,4%</w:t>
            </w:r>
          </w:p>
        </w:tc>
      </w:tr>
      <w:tr w:rsidR="006F0BB0" w:rsidRPr="006F0BB0" w14:paraId="7BFF685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E7AFEF" w14:textId="77777777" w:rsidR="006F0BB0" w:rsidRPr="006F0BB0" w:rsidRDefault="006F0BB0" w:rsidP="007D1DBA">
            <w:pPr>
              <w:jc w:val="left"/>
              <w:rPr>
                <w:sz w:val="18"/>
                <w:szCs w:val="18"/>
                <w:lang w:val="es-419" w:eastAsia="es-419"/>
              </w:rPr>
            </w:pPr>
            <w:r w:rsidRPr="006F0BB0">
              <w:rPr>
                <w:sz w:val="18"/>
                <w:szCs w:val="18"/>
                <w:lang w:val="es-419" w:eastAsia="es-419"/>
              </w:rPr>
              <w:t>Sao Tomé y Príncipe</w:t>
            </w:r>
          </w:p>
        </w:tc>
        <w:tc>
          <w:tcPr>
            <w:tcW w:w="950" w:type="dxa"/>
            <w:tcBorders>
              <w:top w:val="nil"/>
              <w:left w:val="nil"/>
              <w:bottom w:val="single" w:sz="4" w:space="0" w:color="auto"/>
              <w:right w:val="single" w:sz="4" w:space="0" w:color="auto"/>
            </w:tcBorders>
            <w:shd w:val="clear" w:color="auto" w:fill="auto"/>
            <w:noWrap/>
            <w:hideMark/>
          </w:tcPr>
          <w:p w14:paraId="4555119B" w14:textId="77777777" w:rsidR="006F0BB0" w:rsidRPr="006F0BB0" w:rsidRDefault="006F0BB0" w:rsidP="007D1DBA">
            <w:pPr>
              <w:jc w:val="right"/>
              <w:rPr>
                <w:sz w:val="18"/>
                <w:szCs w:val="18"/>
                <w:lang w:val="es-419" w:eastAsia="es-419"/>
              </w:rPr>
            </w:pPr>
            <w:r w:rsidRPr="006F0BB0">
              <w:rPr>
                <w:sz w:val="18"/>
                <w:szCs w:val="18"/>
                <w:lang w:val="es-419" w:eastAsia="es-419"/>
              </w:rPr>
              <w:t>22 287</w:t>
            </w:r>
          </w:p>
        </w:tc>
        <w:tc>
          <w:tcPr>
            <w:tcW w:w="950" w:type="dxa"/>
            <w:tcBorders>
              <w:top w:val="nil"/>
              <w:left w:val="nil"/>
              <w:bottom w:val="single" w:sz="4" w:space="0" w:color="auto"/>
              <w:right w:val="single" w:sz="4" w:space="0" w:color="auto"/>
            </w:tcBorders>
            <w:shd w:val="clear" w:color="auto" w:fill="auto"/>
            <w:noWrap/>
            <w:hideMark/>
          </w:tcPr>
          <w:p w14:paraId="6B914079" w14:textId="77777777" w:rsidR="006F0BB0" w:rsidRPr="006F0BB0" w:rsidRDefault="006F0BB0" w:rsidP="007D1DBA">
            <w:pPr>
              <w:jc w:val="right"/>
              <w:rPr>
                <w:sz w:val="18"/>
                <w:szCs w:val="18"/>
                <w:lang w:val="es-419" w:eastAsia="es-419"/>
              </w:rPr>
            </w:pPr>
            <w:r w:rsidRPr="006F0BB0">
              <w:rPr>
                <w:sz w:val="18"/>
                <w:szCs w:val="18"/>
                <w:lang w:val="es-419" w:eastAsia="es-419"/>
              </w:rPr>
              <w:t>22 956</w:t>
            </w:r>
          </w:p>
        </w:tc>
        <w:tc>
          <w:tcPr>
            <w:tcW w:w="950" w:type="dxa"/>
            <w:tcBorders>
              <w:top w:val="nil"/>
              <w:left w:val="nil"/>
              <w:bottom w:val="single" w:sz="4" w:space="0" w:color="auto"/>
              <w:right w:val="single" w:sz="4" w:space="0" w:color="auto"/>
            </w:tcBorders>
            <w:shd w:val="clear" w:color="auto" w:fill="auto"/>
            <w:noWrap/>
            <w:hideMark/>
          </w:tcPr>
          <w:p w14:paraId="3E6341A4" w14:textId="77777777" w:rsidR="006F0BB0" w:rsidRPr="006F0BB0" w:rsidRDefault="006F0BB0" w:rsidP="007D1DBA">
            <w:pPr>
              <w:jc w:val="right"/>
              <w:rPr>
                <w:sz w:val="18"/>
                <w:szCs w:val="18"/>
                <w:lang w:val="es-419" w:eastAsia="es-419"/>
              </w:rPr>
            </w:pPr>
            <w:r w:rsidRPr="006F0BB0">
              <w:rPr>
                <w:sz w:val="18"/>
                <w:szCs w:val="18"/>
                <w:lang w:val="es-419" w:eastAsia="es-419"/>
              </w:rPr>
              <w:t>23 644</w:t>
            </w:r>
          </w:p>
        </w:tc>
        <w:tc>
          <w:tcPr>
            <w:tcW w:w="950" w:type="dxa"/>
            <w:tcBorders>
              <w:top w:val="nil"/>
              <w:left w:val="nil"/>
              <w:bottom w:val="single" w:sz="4" w:space="0" w:color="auto"/>
              <w:right w:val="single" w:sz="4" w:space="0" w:color="auto"/>
            </w:tcBorders>
            <w:shd w:val="clear" w:color="auto" w:fill="auto"/>
            <w:noWrap/>
            <w:hideMark/>
          </w:tcPr>
          <w:p w14:paraId="00DA08C6" w14:textId="77777777" w:rsidR="006F0BB0" w:rsidRPr="006F0BB0" w:rsidRDefault="006F0BB0" w:rsidP="007D1DBA">
            <w:pPr>
              <w:jc w:val="right"/>
              <w:rPr>
                <w:sz w:val="18"/>
                <w:szCs w:val="18"/>
                <w:lang w:val="es-419" w:eastAsia="es-419"/>
              </w:rPr>
            </w:pPr>
            <w:r w:rsidRPr="006F0BB0">
              <w:rPr>
                <w:sz w:val="18"/>
                <w:szCs w:val="18"/>
                <w:lang w:val="es-419" w:eastAsia="es-419"/>
              </w:rPr>
              <w:t>24 354</w:t>
            </w:r>
          </w:p>
        </w:tc>
        <w:tc>
          <w:tcPr>
            <w:tcW w:w="950" w:type="dxa"/>
            <w:tcBorders>
              <w:top w:val="nil"/>
              <w:left w:val="nil"/>
              <w:bottom w:val="single" w:sz="4" w:space="0" w:color="auto"/>
              <w:right w:val="single" w:sz="4" w:space="0" w:color="auto"/>
            </w:tcBorders>
            <w:shd w:val="clear" w:color="auto" w:fill="auto"/>
            <w:noWrap/>
            <w:hideMark/>
          </w:tcPr>
          <w:p w14:paraId="478F3F63" w14:textId="77777777" w:rsidR="006F0BB0" w:rsidRPr="006F0BB0" w:rsidRDefault="006F0BB0" w:rsidP="007D1DBA">
            <w:pPr>
              <w:jc w:val="right"/>
              <w:rPr>
                <w:sz w:val="18"/>
                <w:szCs w:val="18"/>
                <w:lang w:val="es-419" w:eastAsia="es-419"/>
              </w:rPr>
            </w:pPr>
            <w:r w:rsidRPr="006F0BB0">
              <w:rPr>
                <w:sz w:val="18"/>
                <w:szCs w:val="18"/>
                <w:lang w:val="es-419" w:eastAsia="es-419"/>
              </w:rPr>
              <w:t>25 084</w:t>
            </w:r>
          </w:p>
        </w:tc>
        <w:tc>
          <w:tcPr>
            <w:tcW w:w="950" w:type="dxa"/>
            <w:tcBorders>
              <w:top w:val="nil"/>
              <w:left w:val="nil"/>
              <w:bottom w:val="single" w:sz="4" w:space="0" w:color="auto"/>
              <w:right w:val="single" w:sz="4" w:space="0" w:color="auto"/>
            </w:tcBorders>
            <w:shd w:val="clear" w:color="auto" w:fill="auto"/>
            <w:noWrap/>
            <w:hideMark/>
          </w:tcPr>
          <w:p w14:paraId="5D7FA04A" w14:textId="77777777" w:rsidR="006F0BB0" w:rsidRPr="006F0BB0" w:rsidRDefault="006F0BB0" w:rsidP="007D1DBA">
            <w:pPr>
              <w:jc w:val="right"/>
              <w:rPr>
                <w:sz w:val="18"/>
                <w:szCs w:val="18"/>
                <w:lang w:val="es-419" w:eastAsia="es-419"/>
              </w:rPr>
            </w:pPr>
            <w:r w:rsidRPr="006F0BB0">
              <w:rPr>
                <w:sz w:val="18"/>
                <w:szCs w:val="18"/>
                <w:lang w:val="es-419" w:eastAsia="es-419"/>
              </w:rPr>
              <w:t>25 837</w:t>
            </w:r>
          </w:p>
        </w:tc>
        <w:tc>
          <w:tcPr>
            <w:tcW w:w="950" w:type="dxa"/>
            <w:tcBorders>
              <w:top w:val="nil"/>
              <w:left w:val="nil"/>
              <w:bottom w:val="single" w:sz="4" w:space="0" w:color="auto"/>
              <w:right w:val="single" w:sz="4" w:space="0" w:color="auto"/>
            </w:tcBorders>
            <w:shd w:val="clear" w:color="auto" w:fill="auto"/>
            <w:noWrap/>
            <w:hideMark/>
          </w:tcPr>
          <w:p w14:paraId="04352EB2" w14:textId="77777777" w:rsidR="006F0BB0" w:rsidRPr="006F0BB0" w:rsidRDefault="006F0BB0" w:rsidP="007D1DBA">
            <w:pPr>
              <w:jc w:val="right"/>
              <w:rPr>
                <w:sz w:val="18"/>
                <w:szCs w:val="18"/>
                <w:lang w:val="es-419" w:eastAsia="es-419"/>
              </w:rPr>
            </w:pPr>
            <w:r w:rsidRPr="006F0BB0">
              <w:rPr>
                <w:sz w:val="18"/>
                <w:szCs w:val="18"/>
                <w:lang w:val="es-419" w:eastAsia="es-419"/>
              </w:rPr>
              <w:t>23 651</w:t>
            </w:r>
          </w:p>
        </w:tc>
        <w:tc>
          <w:tcPr>
            <w:tcW w:w="1005" w:type="dxa"/>
            <w:tcBorders>
              <w:top w:val="nil"/>
              <w:left w:val="nil"/>
              <w:bottom w:val="single" w:sz="4" w:space="0" w:color="auto"/>
              <w:right w:val="single" w:sz="4" w:space="0" w:color="auto"/>
            </w:tcBorders>
            <w:shd w:val="clear" w:color="auto" w:fill="auto"/>
            <w:noWrap/>
            <w:hideMark/>
          </w:tcPr>
          <w:p w14:paraId="074D2727" w14:textId="77777777" w:rsidR="006F0BB0" w:rsidRPr="006F0BB0" w:rsidRDefault="006F0BB0" w:rsidP="007D1DBA">
            <w:pPr>
              <w:jc w:val="right"/>
              <w:rPr>
                <w:sz w:val="18"/>
                <w:szCs w:val="18"/>
                <w:lang w:val="es-419" w:eastAsia="es-419"/>
              </w:rPr>
            </w:pPr>
            <w:r w:rsidRPr="006F0BB0">
              <w:rPr>
                <w:sz w:val="18"/>
                <w:szCs w:val="18"/>
                <w:lang w:val="es-419" w:eastAsia="es-419"/>
              </w:rPr>
              <w:t>69 476</w:t>
            </w:r>
          </w:p>
        </w:tc>
        <w:tc>
          <w:tcPr>
            <w:tcW w:w="1181" w:type="dxa"/>
            <w:tcBorders>
              <w:top w:val="nil"/>
              <w:left w:val="nil"/>
              <w:bottom w:val="single" w:sz="4" w:space="0" w:color="auto"/>
              <w:right w:val="single" w:sz="4" w:space="0" w:color="auto"/>
            </w:tcBorders>
            <w:shd w:val="clear" w:color="auto" w:fill="auto"/>
            <w:noWrap/>
            <w:hideMark/>
          </w:tcPr>
          <w:p w14:paraId="35E3B765" w14:textId="77777777" w:rsidR="006F0BB0" w:rsidRPr="006F0BB0" w:rsidRDefault="006F0BB0" w:rsidP="007D1DBA">
            <w:pPr>
              <w:jc w:val="right"/>
              <w:rPr>
                <w:sz w:val="18"/>
                <w:szCs w:val="18"/>
                <w:lang w:val="es-419" w:eastAsia="es-419"/>
              </w:rPr>
            </w:pPr>
            <w:r w:rsidRPr="006F0BB0">
              <w:rPr>
                <w:sz w:val="18"/>
                <w:szCs w:val="18"/>
                <w:lang w:val="es-419" w:eastAsia="es-419"/>
              </w:rPr>
              <w:t>37,2%</w:t>
            </w:r>
          </w:p>
        </w:tc>
      </w:tr>
      <w:tr w:rsidR="006F0BB0" w:rsidRPr="006F0BB0" w14:paraId="3687431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51E856" w14:textId="77777777" w:rsidR="006F0BB0" w:rsidRPr="006F0BB0" w:rsidRDefault="006F0BB0" w:rsidP="007D1DBA">
            <w:pPr>
              <w:jc w:val="left"/>
              <w:rPr>
                <w:sz w:val="18"/>
                <w:szCs w:val="18"/>
                <w:lang w:val="es-419" w:eastAsia="es-419"/>
              </w:rPr>
            </w:pPr>
            <w:r w:rsidRPr="006F0BB0">
              <w:rPr>
                <w:sz w:val="18"/>
                <w:szCs w:val="18"/>
                <w:lang w:val="es-419" w:eastAsia="es-419"/>
              </w:rPr>
              <w:t>Tuvalu</w:t>
            </w:r>
          </w:p>
        </w:tc>
        <w:tc>
          <w:tcPr>
            <w:tcW w:w="950" w:type="dxa"/>
            <w:tcBorders>
              <w:top w:val="nil"/>
              <w:left w:val="nil"/>
              <w:bottom w:val="single" w:sz="4" w:space="0" w:color="auto"/>
              <w:right w:val="single" w:sz="4" w:space="0" w:color="auto"/>
            </w:tcBorders>
            <w:shd w:val="clear" w:color="auto" w:fill="auto"/>
            <w:noWrap/>
            <w:hideMark/>
          </w:tcPr>
          <w:p w14:paraId="314AD6ED" w14:textId="77777777" w:rsidR="006F0BB0" w:rsidRPr="006F0BB0" w:rsidRDefault="006F0BB0" w:rsidP="007D1DBA">
            <w:pPr>
              <w:jc w:val="right"/>
              <w:rPr>
                <w:sz w:val="18"/>
                <w:szCs w:val="18"/>
                <w:lang w:val="es-419" w:eastAsia="es-419"/>
              </w:rPr>
            </w:pPr>
            <w:r w:rsidRPr="006F0BB0">
              <w:rPr>
                <w:sz w:val="18"/>
                <w:szCs w:val="18"/>
                <w:lang w:val="es-419" w:eastAsia="es-419"/>
              </w:rPr>
              <w:t>1 006</w:t>
            </w:r>
          </w:p>
        </w:tc>
        <w:tc>
          <w:tcPr>
            <w:tcW w:w="950" w:type="dxa"/>
            <w:tcBorders>
              <w:top w:val="nil"/>
              <w:left w:val="nil"/>
              <w:bottom w:val="single" w:sz="4" w:space="0" w:color="auto"/>
              <w:right w:val="single" w:sz="4" w:space="0" w:color="auto"/>
            </w:tcBorders>
            <w:shd w:val="clear" w:color="auto" w:fill="auto"/>
            <w:noWrap/>
            <w:hideMark/>
          </w:tcPr>
          <w:p w14:paraId="1F2417F8" w14:textId="77777777" w:rsidR="006F0BB0" w:rsidRPr="006F0BB0" w:rsidRDefault="006F0BB0" w:rsidP="007D1DBA">
            <w:pPr>
              <w:jc w:val="right"/>
              <w:rPr>
                <w:sz w:val="18"/>
                <w:szCs w:val="18"/>
                <w:lang w:val="es-419" w:eastAsia="es-419"/>
              </w:rPr>
            </w:pPr>
            <w:r w:rsidRPr="006F0BB0">
              <w:rPr>
                <w:sz w:val="18"/>
                <w:szCs w:val="18"/>
                <w:lang w:val="es-419" w:eastAsia="es-419"/>
              </w:rPr>
              <w:t>1 036</w:t>
            </w:r>
          </w:p>
        </w:tc>
        <w:tc>
          <w:tcPr>
            <w:tcW w:w="950" w:type="dxa"/>
            <w:tcBorders>
              <w:top w:val="nil"/>
              <w:left w:val="nil"/>
              <w:bottom w:val="single" w:sz="4" w:space="0" w:color="auto"/>
              <w:right w:val="single" w:sz="4" w:space="0" w:color="auto"/>
            </w:tcBorders>
            <w:shd w:val="clear" w:color="auto" w:fill="auto"/>
            <w:noWrap/>
            <w:hideMark/>
          </w:tcPr>
          <w:p w14:paraId="46B83EB7" w14:textId="77777777" w:rsidR="006F0BB0" w:rsidRPr="006F0BB0" w:rsidRDefault="006F0BB0" w:rsidP="007D1DBA">
            <w:pPr>
              <w:jc w:val="right"/>
              <w:rPr>
                <w:sz w:val="18"/>
                <w:szCs w:val="18"/>
                <w:lang w:val="es-419" w:eastAsia="es-419"/>
              </w:rPr>
            </w:pPr>
            <w:r w:rsidRPr="006F0BB0">
              <w:rPr>
                <w:sz w:val="18"/>
                <w:szCs w:val="18"/>
                <w:lang w:val="es-419" w:eastAsia="es-419"/>
              </w:rPr>
              <w:t>1 067</w:t>
            </w:r>
          </w:p>
        </w:tc>
        <w:tc>
          <w:tcPr>
            <w:tcW w:w="950" w:type="dxa"/>
            <w:tcBorders>
              <w:top w:val="nil"/>
              <w:left w:val="nil"/>
              <w:bottom w:val="single" w:sz="4" w:space="0" w:color="auto"/>
              <w:right w:val="single" w:sz="4" w:space="0" w:color="auto"/>
            </w:tcBorders>
            <w:shd w:val="clear" w:color="auto" w:fill="auto"/>
            <w:noWrap/>
            <w:hideMark/>
          </w:tcPr>
          <w:p w14:paraId="254AC01C" w14:textId="77777777" w:rsidR="006F0BB0" w:rsidRPr="006F0BB0" w:rsidRDefault="006F0BB0" w:rsidP="007D1DBA">
            <w:pPr>
              <w:jc w:val="right"/>
              <w:rPr>
                <w:sz w:val="18"/>
                <w:szCs w:val="18"/>
                <w:lang w:val="es-419" w:eastAsia="es-419"/>
              </w:rPr>
            </w:pPr>
            <w:r w:rsidRPr="006F0BB0">
              <w:rPr>
                <w:sz w:val="18"/>
                <w:szCs w:val="18"/>
                <w:lang w:val="es-419" w:eastAsia="es-419"/>
              </w:rPr>
              <w:t>1 099</w:t>
            </w:r>
          </w:p>
        </w:tc>
        <w:tc>
          <w:tcPr>
            <w:tcW w:w="950" w:type="dxa"/>
            <w:tcBorders>
              <w:top w:val="nil"/>
              <w:left w:val="nil"/>
              <w:bottom w:val="single" w:sz="4" w:space="0" w:color="auto"/>
              <w:right w:val="single" w:sz="4" w:space="0" w:color="auto"/>
            </w:tcBorders>
            <w:shd w:val="clear" w:color="auto" w:fill="auto"/>
            <w:noWrap/>
            <w:hideMark/>
          </w:tcPr>
          <w:p w14:paraId="3FB8AC8B" w14:textId="77777777" w:rsidR="006F0BB0" w:rsidRPr="006F0BB0" w:rsidRDefault="006F0BB0" w:rsidP="007D1DBA">
            <w:pPr>
              <w:jc w:val="right"/>
              <w:rPr>
                <w:sz w:val="18"/>
                <w:szCs w:val="18"/>
                <w:lang w:val="es-419" w:eastAsia="es-419"/>
              </w:rPr>
            </w:pPr>
            <w:r w:rsidRPr="006F0BB0">
              <w:rPr>
                <w:sz w:val="18"/>
                <w:szCs w:val="18"/>
                <w:lang w:val="es-419" w:eastAsia="es-419"/>
              </w:rPr>
              <w:t>1 132</w:t>
            </w:r>
          </w:p>
        </w:tc>
        <w:tc>
          <w:tcPr>
            <w:tcW w:w="950" w:type="dxa"/>
            <w:tcBorders>
              <w:top w:val="nil"/>
              <w:left w:val="nil"/>
              <w:bottom w:val="single" w:sz="4" w:space="0" w:color="auto"/>
              <w:right w:val="single" w:sz="4" w:space="0" w:color="auto"/>
            </w:tcBorders>
            <w:shd w:val="clear" w:color="auto" w:fill="auto"/>
            <w:noWrap/>
            <w:hideMark/>
          </w:tcPr>
          <w:p w14:paraId="2AC01715" w14:textId="77777777" w:rsidR="006F0BB0" w:rsidRPr="006F0BB0" w:rsidRDefault="006F0BB0" w:rsidP="007D1DBA">
            <w:pPr>
              <w:jc w:val="right"/>
              <w:rPr>
                <w:sz w:val="18"/>
                <w:szCs w:val="18"/>
                <w:lang w:val="es-419" w:eastAsia="es-419"/>
              </w:rPr>
            </w:pPr>
            <w:r w:rsidRPr="006F0BB0">
              <w:rPr>
                <w:sz w:val="18"/>
                <w:szCs w:val="18"/>
                <w:lang w:val="es-419" w:eastAsia="es-419"/>
              </w:rPr>
              <w:t>1 166</w:t>
            </w:r>
          </w:p>
        </w:tc>
        <w:tc>
          <w:tcPr>
            <w:tcW w:w="950" w:type="dxa"/>
            <w:tcBorders>
              <w:top w:val="nil"/>
              <w:left w:val="nil"/>
              <w:bottom w:val="single" w:sz="4" w:space="0" w:color="auto"/>
              <w:right w:val="single" w:sz="4" w:space="0" w:color="auto"/>
            </w:tcBorders>
            <w:shd w:val="clear" w:color="auto" w:fill="auto"/>
            <w:noWrap/>
            <w:hideMark/>
          </w:tcPr>
          <w:p w14:paraId="26423827" w14:textId="77777777" w:rsidR="006F0BB0" w:rsidRPr="006F0BB0" w:rsidRDefault="006F0BB0" w:rsidP="007D1DBA">
            <w:pPr>
              <w:jc w:val="right"/>
              <w:rPr>
                <w:sz w:val="18"/>
                <w:szCs w:val="18"/>
                <w:lang w:val="es-419" w:eastAsia="es-419"/>
              </w:rPr>
            </w:pPr>
            <w:r w:rsidRPr="006F0BB0">
              <w:rPr>
                <w:sz w:val="18"/>
                <w:szCs w:val="18"/>
                <w:lang w:val="es-419" w:eastAsia="es-419"/>
              </w:rPr>
              <w:t>1 068</w:t>
            </w:r>
          </w:p>
        </w:tc>
        <w:tc>
          <w:tcPr>
            <w:tcW w:w="1005" w:type="dxa"/>
            <w:tcBorders>
              <w:top w:val="nil"/>
              <w:left w:val="nil"/>
              <w:bottom w:val="single" w:sz="4" w:space="0" w:color="auto"/>
              <w:right w:val="single" w:sz="4" w:space="0" w:color="auto"/>
            </w:tcBorders>
            <w:shd w:val="clear" w:color="auto" w:fill="auto"/>
            <w:noWrap/>
            <w:hideMark/>
          </w:tcPr>
          <w:p w14:paraId="5570FA7F" w14:textId="77777777" w:rsidR="006F0BB0" w:rsidRPr="006F0BB0" w:rsidRDefault="006F0BB0" w:rsidP="007D1DBA">
            <w:pPr>
              <w:jc w:val="right"/>
              <w:rPr>
                <w:sz w:val="18"/>
                <w:szCs w:val="18"/>
                <w:lang w:val="es-419" w:eastAsia="es-419"/>
              </w:rPr>
            </w:pPr>
            <w:r w:rsidRPr="006F0BB0">
              <w:rPr>
                <w:sz w:val="18"/>
                <w:szCs w:val="18"/>
                <w:lang w:val="es-419" w:eastAsia="es-419"/>
              </w:rPr>
              <w:t>3 001</w:t>
            </w:r>
          </w:p>
        </w:tc>
        <w:tc>
          <w:tcPr>
            <w:tcW w:w="1181" w:type="dxa"/>
            <w:tcBorders>
              <w:top w:val="nil"/>
              <w:left w:val="nil"/>
              <w:bottom w:val="single" w:sz="4" w:space="0" w:color="auto"/>
              <w:right w:val="single" w:sz="4" w:space="0" w:color="auto"/>
            </w:tcBorders>
            <w:shd w:val="clear" w:color="auto" w:fill="auto"/>
            <w:noWrap/>
            <w:hideMark/>
          </w:tcPr>
          <w:p w14:paraId="6A46BB2B" w14:textId="77777777" w:rsidR="006F0BB0" w:rsidRPr="006F0BB0" w:rsidRDefault="006F0BB0" w:rsidP="007D1DBA">
            <w:pPr>
              <w:jc w:val="right"/>
              <w:rPr>
                <w:sz w:val="18"/>
                <w:szCs w:val="18"/>
                <w:lang w:val="es-419" w:eastAsia="es-419"/>
              </w:rPr>
            </w:pPr>
            <w:r w:rsidRPr="006F0BB0">
              <w:rPr>
                <w:sz w:val="18"/>
                <w:szCs w:val="18"/>
                <w:lang w:val="es-419" w:eastAsia="es-419"/>
              </w:rPr>
              <w:t>38,9%</w:t>
            </w:r>
          </w:p>
        </w:tc>
      </w:tr>
      <w:tr w:rsidR="006F0BB0" w:rsidRPr="006F0BB0" w14:paraId="23599CD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2523AA"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Kenya</w:t>
            </w:r>
            <w:proofErr w:type="spellEnd"/>
          </w:p>
        </w:tc>
        <w:tc>
          <w:tcPr>
            <w:tcW w:w="950" w:type="dxa"/>
            <w:tcBorders>
              <w:top w:val="nil"/>
              <w:left w:val="nil"/>
              <w:bottom w:val="single" w:sz="4" w:space="0" w:color="auto"/>
              <w:right w:val="single" w:sz="4" w:space="0" w:color="auto"/>
            </w:tcBorders>
            <w:shd w:val="clear" w:color="auto" w:fill="auto"/>
            <w:noWrap/>
            <w:hideMark/>
          </w:tcPr>
          <w:p w14:paraId="71D622F2" w14:textId="77777777" w:rsidR="006F0BB0" w:rsidRPr="006F0BB0" w:rsidRDefault="006F0BB0" w:rsidP="007D1DBA">
            <w:pPr>
              <w:jc w:val="right"/>
              <w:rPr>
                <w:sz w:val="18"/>
                <w:szCs w:val="18"/>
                <w:lang w:val="es-419" w:eastAsia="es-419"/>
              </w:rPr>
            </w:pPr>
            <w:r w:rsidRPr="006F0BB0">
              <w:rPr>
                <w:sz w:val="18"/>
                <w:szCs w:val="18"/>
                <w:lang w:val="es-419" w:eastAsia="es-419"/>
              </w:rPr>
              <w:t>588 860</w:t>
            </w:r>
          </w:p>
        </w:tc>
        <w:tc>
          <w:tcPr>
            <w:tcW w:w="950" w:type="dxa"/>
            <w:tcBorders>
              <w:top w:val="nil"/>
              <w:left w:val="nil"/>
              <w:bottom w:val="single" w:sz="4" w:space="0" w:color="auto"/>
              <w:right w:val="single" w:sz="4" w:space="0" w:color="auto"/>
            </w:tcBorders>
            <w:shd w:val="clear" w:color="auto" w:fill="auto"/>
            <w:noWrap/>
            <w:hideMark/>
          </w:tcPr>
          <w:p w14:paraId="3F079739" w14:textId="77777777" w:rsidR="006F0BB0" w:rsidRPr="006F0BB0" w:rsidRDefault="006F0BB0" w:rsidP="007D1DBA">
            <w:pPr>
              <w:jc w:val="right"/>
              <w:rPr>
                <w:sz w:val="18"/>
                <w:szCs w:val="18"/>
                <w:lang w:val="es-419" w:eastAsia="es-419"/>
              </w:rPr>
            </w:pPr>
            <w:r w:rsidRPr="006F0BB0">
              <w:rPr>
                <w:sz w:val="18"/>
                <w:szCs w:val="18"/>
                <w:lang w:val="es-419" w:eastAsia="es-419"/>
              </w:rPr>
              <w:t>606 526</w:t>
            </w:r>
          </w:p>
        </w:tc>
        <w:tc>
          <w:tcPr>
            <w:tcW w:w="950" w:type="dxa"/>
            <w:tcBorders>
              <w:top w:val="nil"/>
              <w:left w:val="nil"/>
              <w:bottom w:val="single" w:sz="4" w:space="0" w:color="auto"/>
              <w:right w:val="single" w:sz="4" w:space="0" w:color="auto"/>
            </w:tcBorders>
            <w:shd w:val="clear" w:color="auto" w:fill="auto"/>
            <w:noWrap/>
            <w:hideMark/>
          </w:tcPr>
          <w:p w14:paraId="2141428C" w14:textId="77777777" w:rsidR="006F0BB0" w:rsidRPr="006F0BB0" w:rsidRDefault="006F0BB0" w:rsidP="007D1DBA">
            <w:pPr>
              <w:jc w:val="right"/>
              <w:rPr>
                <w:sz w:val="18"/>
                <w:szCs w:val="18"/>
                <w:lang w:val="es-419" w:eastAsia="es-419"/>
              </w:rPr>
            </w:pPr>
            <w:r w:rsidRPr="006F0BB0">
              <w:rPr>
                <w:sz w:val="18"/>
                <w:szCs w:val="18"/>
                <w:lang w:val="es-419" w:eastAsia="es-419"/>
              </w:rPr>
              <w:t>624 722</w:t>
            </w:r>
          </w:p>
        </w:tc>
        <w:tc>
          <w:tcPr>
            <w:tcW w:w="950" w:type="dxa"/>
            <w:tcBorders>
              <w:top w:val="nil"/>
              <w:left w:val="nil"/>
              <w:bottom w:val="single" w:sz="4" w:space="0" w:color="auto"/>
              <w:right w:val="single" w:sz="4" w:space="0" w:color="auto"/>
            </w:tcBorders>
            <w:shd w:val="clear" w:color="auto" w:fill="auto"/>
            <w:noWrap/>
            <w:hideMark/>
          </w:tcPr>
          <w:p w14:paraId="5FA2AA5B" w14:textId="77777777" w:rsidR="006F0BB0" w:rsidRPr="006F0BB0" w:rsidRDefault="006F0BB0" w:rsidP="007D1DBA">
            <w:pPr>
              <w:jc w:val="right"/>
              <w:rPr>
                <w:sz w:val="18"/>
                <w:szCs w:val="18"/>
                <w:lang w:val="es-419" w:eastAsia="es-419"/>
              </w:rPr>
            </w:pPr>
            <w:r w:rsidRPr="006F0BB0">
              <w:rPr>
                <w:sz w:val="18"/>
                <w:szCs w:val="18"/>
                <w:lang w:val="es-419" w:eastAsia="es-419"/>
              </w:rPr>
              <w:t>643 463</w:t>
            </w:r>
          </w:p>
        </w:tc>
        <w:tc>
          <w:tcPr>
            <w:tcW w:w="950" w:type="dxa"/>
            <w:tcBorders>
              <w:top w:val="nil"/>
              <w:left w:val="nil"/>
              <w:bottom w:val="single" w:sz="4" w:space="0" w:color="auto"/>
              <w:right w:val="single" w:sz="4" w:space="0" w:color="auto"/>
            </w:tcBorders>
            <w:shd w:val="clear" w:color="auto" w:fill="auto"/>
            <w:noWrap/>
            <w:hideMark/>
          </w:tcPr>
          <w:p w14:paraId="7E6E596B" w14:textId="77777777" w:rsidR="006F0BB0" w:rsidRPr="006F0BB0" w:rsidRDefault="006F0BB0" w:rsidP="007D1DBA">
            <w:pPr>
              <w:jc w:val="right"/>
              <w:rPr>
                <w:sz w:val="18"/>
                <w:szCs w:val="18"/>
                <w:lang w:val="es-419" w:eastAsia="es-419"/>
              </w:rPr>
            </w:pPr>
            <w:r w:rsidRPr="006F0BB0">
              <w:rPr>
                <w:sz w:val="18"/>
                <w:szCs w:val="18"/>
                <w:lang w:val="es-419" w:eastAsia="es-419"/>
              </w:rPr>
              <w:t>662 767</w:t>
            </w:r>
          </w:p>
        </w:tc>
        <w:tc>
          <w:tcPr>
            <w:tcW w:w="950" w:type="dxa"/>
            <w:tcBorders>
              <w:top w:val="nil"/>
              <w:left w:val="nil"/>
              <w:bottom w:val="single" w:sz="4" w:space="0" w:color="auto"/>
              <w:right w:val="single" w:sz="4" w:space="0" w:color="auto"/>
            </w:tcBorders>
            <w:shd w:val="clear" w:color="auto" w:fill="auto"/>
            <w:noWrap/>
            <w:hideMark/>
          </w:tcPr>
          <w:p w14:paraId="6A696171" w14:textId="77777777" w:rsidR="006F0BB0" w:rsidRPr="006F0BB0" w:rsidRDefault="006F0BB0" w:rsidP="007D1DBA">
            <w:pPr>
              <w:jc w:val="right"/>
              <w:rPr>
                <w:sz w:val="18"/>
                <w:szCs w:val="18"/>
                <w:lang w:val="es-419" w:eastAsia="es-419"/>
              </w:rPr>
            </w:pPr>
            <w:r w:rsidRPr="006F0BB0">
              <w:rPr>
                <w:sz w:val="18"/>
                <w:szCs w:val="18"/>
                <w:lang w:val="es-419" w:eastAsia="es-419"/>
              </w:rPr>
              <w:t>682 650</w:t>
            </w:r>
          </w:p>
        </w:tc>
        <w:tc>
          <w:tcPr>
            <w:tcW w:w="950" w:type="dxa"/>
            <w:tcBorders>
              <w:top w:val="nil"/>
              <w:left w:val="nil"/>
              <w:bottom w:val="single" w:sz="4" w:space="0" w:color="auto"/>
              <w:right w:val="single" w:sz="4" w:space="0" w:color="auto"/>
            </w:tcBorders>
            <w:shd w:val="clear" w:color="auto" w:fill="auto"/>
            <w:noWrap/>
            <w:hideMark/>
          </w:tcPr>
          <w:p w14:paraId="67CC2AC1" w14:textId="77777777" w:rsidR="006F0BB0" w:rsidRPr="006F0BB0" w:rsidRDefault="006F0BB0" w:rsidP="007D1DBA">
            <w:pPr>
              <w:jc w:val="right"/>
              <w:rPr>
                <w:sz w:val="18"/>
                <w:szCs w:val="18"/>
                <w:lang w:val="es-419" w:eastAsia="es-419"/>
              </w:rPr>
            </w:pPr>
            <w:r w:rsidRPr="006F0BB0">
              <w:rPr>
                <w:sz w:val="18"/>
                <w:szCs w:val="18"/>
                <w:lang w:val="es-419" w:eastAsia="es-419"/>
              </w:rPr>
              <w:t>624 904</w:t>
            </w:r>
          </w:p>
        </w:tc>
        <w:tc>
          <w:tcPr>
            <w:tcW w:w="1005" w:type="dxa"/>
            <w:tcBorders>
              <w:top w:val="nil"/>
              <w:left w:val="nil"/>
              <w:bottom w:val="single" w:sz="4" w:space="0" w:color="auto"/>
              <w:right w:val="single" w:sz="4" w:space="0" w:color="auto"/>
            </w:tcBorders>
            <w:shd w:val="clear" w:color="auto" w:fill="auto"/>
            <w:noWrap/>
            <w:hideMark/>
          </w:tcPr>
          <w:p w14:paraId="1E910DE0" w14:textId="77777777" w:rsidR="006F0BB0" w:rsidRPr="006F0BB0" w:rsidRDefault="006F0BB0" w:rsidP="007D1DBA">
            <w:pPr>
              <w:jc w:val="right"/>
              <w:rPr>
                <w:sz w:val="18"/>
                <w:szCs w:val="18"/>
                <w:lang w:val="es-419" w:eastAsia="es-419"/>
              </w:rPr>
            </w:pPr>
            <w:r w:rsidRPr="006F0BB0">
              <w:rPr>
                <w:sz w:val="18"/>
                <w:szCs w:val="18"/>
                <w:lang w:val="es-419" w:eastAsia="es-419"/>
              </w:rPr>
              <w:t>1 740 408</w:t>
            </w:r>
          </w:p>
        </w:tc>
        <w:tc>
          <w:tcPr>
            <w:tcW w:w="1181" w:type="dxa"/>
            <w:tcBorders>
              <w:top w:val="nil"/>
              <w:left w:val="nil"/>
              <w:bottom w:val="single" w:sz="4" w:space="0" w:color="auto"/>
              <w:right w:val="single" w:sz="4" w:space="0" w:color="auto"/>
            </w:tcBorders>
            <w:shd w:val="clear" w:color="auto" w:fill="auto"/>
            <w:noWrap/>
            <w:hideMark/>
          </w:tcPr>
          <w:p w14:paraId="3DCE0319" w14:textId="77777777" w:rsidR="006F0BB0" w:rsidRPr="006F0BB0" w:rsidRDefault="006F0BB0" w:rsidP="007D1DBA">
            <w:pPr>
              <w:jc w:val="right"/>
              <w:rPr>
                <w:sz w:val="18"/>
                <w:szCs w:val="18"/>
                <w:lang w:val="es-419" w:eastAsia="es-419"/>
              </w:rPr>
            </w:pPr>
            <w:r w:rsidRPr="006F0BB0">
              <w:rPr>
                <w:sz w:val="18"/>
                <w:szCs w:val="18"/>
                <w:lang w:val="es-419" w:eastAsia="es-419"/>
              </w:rPr>
              <w:t>39,2%</w:t>
            </w:r>
          </w:p>
        </w:tc>
      </w:tr>
      <w:tr w:rsidR="006F0BB0" w:rsidRPr="006F0BB0" w14:paraId="01E5449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FE1C362" w14:textId="77777777" w:rsidR="006F0BB0" w:rsidRPr="006F0BB0" w:rsidRDefault="006F0BB0" w:rsidP="007D1DBA">
            <w:pPr>
              <w:jc w:val="left"/>
              <w:rPr>
                <w:sz w:val="18"/>
                <w:szCs w:val="18"/>
                <w:lang w:val="es-419" w:eastAsia="es-419"/>
              </w:rPr>
            </w:pPr>
            <w:r w:rsidRPr="006F0BB0">
              <w:rPr>
                <w:sz w:val="18"/>
                <w:szCs w:val="18"/>
                <w:lang w:val="es-419" w:eastAsia="es-419"/>
              </w:rPr>
              <w:t>Afganistán</w:t>
            </w:r>
          </w:p>
        </w:tc>
        <w:tc>
          <w:tcPr>
            <w:tcW w:w="950" w:type="dxa"/>
            <w:tcBorders>
              <w:top w:val="nil"/>
              <w:left w:val="nil"/>
              <w:bottom w:val="single" w:sz="4" w:space="0" w:color="auto"/>
              <w:right w:val="single" w:sz="4" w:space="0" w:color="auto"/>
            </w:tcBorders>
            <w:shd w:val="clear" w:color="auto" w:fill="auto"/>
            <w:noWrap/>
            <w:hideMark/>
          </w:tcPr>
          <w:p w14:paraId="53116F0D" w14:textId="77777777" w:rsidR="006F0BB0" w:rsidRPr="006F0BB0" w:rsidRDefault="006F0BB0" w:rsidP="007D1DBA">
            <w:pPr>
              <w:jc w:val="right"/>
              <w:rPr>
                <w:sz w:val="18"/>
                <w:szCs w:val="18"/>
                <w:lang w:val="es-419" w:eastAsia="es-419"/>
              </w:rPr>
            </w:pPr>
            <w:r w:rsidRPr="006F0BB0">
              <w:rPr>
                <w:sz w:val="18"/>
                <w:szCs w:val="18"/>
                <w:lang w:val="es-419" w:eastAsia="es-419"/>
              </w:rPr>
              <w:t>275 000</w:t>
            </w:r>
          </w:p>
        </w:tc>
        <w:tc>
          <w:tcPr>
            <w:tcW w:w="950" w:type="dxa"/>
            <w:tcBorders>
              <w:top w:val="nil"/>
              <w:left w:val="nil"/>
              <w:bottom w:val="single" w:sz="4" w:space="0" w:color="auto"/>
              <w:right w:val="single" w:sz="4" w:space="0" w:color="auto"/>
            </w:tcBorders>
            <w:shd w:val="clear" w:color="auto" w:fill="auto"/>
            <w:noWrap/>
            <w:hideMark/>
          </w:tcPr>
          <w:p w14:paraId="5EDE2781" w14:textId="77777777" w:rsidR="006F0BB0" w:rsidRPr="006F0BB0" w:rsidRDefault="006F0BB0" w:rsidP="007D1DBA">
            <w:pPr>
              <w:jc w:val="right"/>
              <w:rPr>
                <w:sz w:val="18"/>
                <w:szCs w:val="18"/>
                <w:lang w:val="es-419" w:eastAsia="es-419"/>
              </w:rPr>
            </w:pPr>
            <w:r w:rsidRPr="006F0BB0">
              <w:rPr>
                <w:sz w:val="18"/>
                <w:szCs w:val="18"/>
                <w:lang w:val="es-419" w:eastAsia="es-419"/>
              </w:rPr>
              <w:t>283 250</w:t>
            </w:r>
          </w:p>
        </w:tc>
        <w:tc>
          <w:tcPr>
            <w:tcW w:w="950" w:type="dxa"/>
            <w:tcBorders>
              <w:top w:val="nil"/>
              <w:left w:val="nil"/>
              <w:bottom w:val="single" w:sz="4" w:space="0" w:color="auto"/>
              <w:right w:val="single" w:sz="4" w:space="0" w:color="auto"/>
            </w:tcBorders>
            <w:shd w:val="clear" w:color="auto" w:fill="auto"/>
            <w:noWrap/>
            <w:hideMark/>
          </w:tcPr>
          <w:p w14:paraId="0B9E5B48" w14:textId="77777777" w:rsidR="006F0BB0" w:rsidRPr="006F0BB0" w:rsidRDefault="006F0BB0" w:rsidP="007D1DBA">
            <w:pPr>
              <w:jc w:val="right"/>
              <w:rPr>
                <w:sz w:val="18"/>
                <w:szCs w:val="18"/>
                <w:lang w:val="es-419" w:eastAsia="es-419"/>
              </w:rPr>
            </w:pPr>
            <w:r w:rsidRPr="006F0BB0">
              <w:rPr>
                <w:sz w:val="18"/>
                <w:szCs w:val="18"/>
                <w:lang w:val="es-419" w:eastAsia="es-419"/>
              </w:rPr>
              <w:t>291 748</w:t>
            </w:r>
          </w:p>
        </w:tc>
        <w:tc>
          <w:tcPr>
            <w:tcW w:w="950" w:type="dxa"/>
            <w:tcBorders>
              <w:top w:val="nil"/>
              <w:left w:val="nil"/>
              <w:bottom w:val="single" w:sz="4" w:space="0" w:color="auto"/>
              <w:right w:val="single" w:sz="4" w:space="0" w:color="auto"/>
            </w:tcBorders>
            <w:shd w:val="clear" w:color="auto" w:fill="auto"/>
            <w:noWrap/>
            <w:hideMark/>
          </w:tcPr>
          <w:p w14:paraId="55207D58" w14:textId="77777777" w:rsidR="006F0BB0" w:rsidRPr="006F0BB0" w:rsidRDefault="006F0BB0" w:rsidP="007D1DBA">
            <w:pPr>
              <w:jc w:val="right"/>
              <w:rPr>
                <w:sz w:val="18"/>
                <w:szCs w:val="18"/>
                <w:lang w:val="es-419" w:eastAsia="es-419"/>
              </w:rPr>
            </w:pPr>
            <w:r w:rsidRPr="006F0BB0">
              <w:rPr>
                <w:sz w:val="18"/>
                <w:szCs w:val="18"/>
                <w:lang w:val="es-419" w:eastAsia="es-419"/>
              </w:rPr>
              <w:t>300 500</w:t>
            </w:r>
          </w:p>
        </w:tc>
        <w:tc>
          <w:tcPr>
            <w:tcW w:w="950" w:type="dxa"/>
            <w:tcBorders>
              <w:top w:val="nil"/>
              <w:left w:val="nil"/>
              <w:bottom w:val="single" w:sz="4" w:space="0" w:color="auto"/>
              <w:right w:val="single" w:sz="4" w:space="0" w:color="auto"/>
            </w:tcBorders>
            <w:shd w:val="clear" w:color="auto" w:fill="auto"/>
            <w:noWrap/>
            <w:hideMark/>
          </w:tcPr>
          <w:p w14:paraId="5A758EE8" w14:textId="77777777" w:rsidR="006F0BB0" w:rsidRPr="006F0BB0" w:rsidRDefault="006F0BB0" w:rsidP="007D1DBA">
            <w:pPr>
              <w:jc w:val="right"/>
              <w:rPr>
                <w:sz w:val="18"/>
                <w:szCs w:val="18"/>
                <w:lang w:val="es-419" w:eastAsia="es-419"/>
              </w:rPr>
            </w:pPr>
            <w:r w:rsidRPr="006F0BB0">
              <w:rPr>
                <w:sz w:val="18"/>
                <w:szCs w:val="18"/>
                <w:lang w:val="es-419" w:eastAsia="es-419"/>
              </w:rPr>
              <w:t>309 515</w:t>
            </w:r>
          </w:p>
        </w:tc>
        <w:tc>
          <w:tcPr>
            <w:tcW w:w="950" w:type="dxa"/>
            <w:tcBorders>
              <w:top w:val="nil"/>
              <w:left w:val="nil"/>
              <w:bottom w:val="single" w:sz="4" w:space="0" w:color="auto"/>
              <w:right w:val="single" w:sz="4" w:space="0" w:color="auto"/>
            </w:tcBorders>
            <w:shd w:val="clear" w:color="auto" w:fill="auto"/>
            <w:noWrap/>
            <w:hideMark/>
          </w:tcPr>
          <w:p w14:paraId="6AF8305F" w14:textId="77777777" w:rsidR="006F0BB0" w:rsidRPr="006F0BB0" w:rsidRDefault="006F0BB0" w:rsidP="007D1DBA">
            <w:pPr>
              <w:jc w:val="right"/>
              <w:rPr>
                <w:sz w:val="18"/>
                <w:szCs w:val="18"/>
                <w:lang w:val="es-419" w:eastAsia="es-419"/>
              </w:rPr>
            </w:pPr>
            <w:r w:rsidRPr="006F0BB0">
              <w:rPr>
                <w:sz w:val="18"/>
                <w:szCs w:val="18"/>
                <w:lang w:val="es-419" w:eastAsia="es-419"/>
              </w:rPr>
              <w:t>318 800</w:t>
            </w:r>
          </w:p>
        </w:tc>
        <w:tc>
          <w:tcPr>
            <w:tcW w:w="950" w:type="dxa"/>
            <w:tcBorders>
              <w:top w:val="nil"/>
              <w:left w:val="nil"/>
              <w:bottom w:val="single" w:sz="4" w:space="0" w:color="auto"/>
              <w:right w:val="single" w:sz="4" w:space="0" w:color="auto"/>
            </w:tcBorders>
            <w:shd w:val="clear" w:color="auto" w:fill="auto"/>
            <w:noWrap/>
            <w:hideMark/>
          </w:tcPr>
          <w:p w14:paraId="4E64A166" w14:textId="77777777" w:rsidR="006F0BB0" w:rsidRPr="006F0BB0" w:rsidRDefault="006F0BB0" w:rsidP="007D1DBA">
            <w:pPr>
              <w:jc w:val="right"/>
              <w:rPr>
                <w:sz w:val="18"/>
                <w:szCs w:val="18"/>
                <w:lang w:val="es-419" w:eastAsia="es-419"/>
              </w:rPr>
            </w:pPr>
            <w:r w:rsidRPr="006F0BB0">
              <w:rPr>
                <w:sz w:val="18"/>
                <w:szCs w:val="18"/>
                <w:lang w:val="es-419" w:eastAsia="es-419"/>
              </w:rPr>
              <w:t>291 832</w:t>
            </w:r>
          </w:p>
        </w:tc>
        <w:tc>
          <w:tcPr>
            <w:tcW w:w="1005" w:type="dxa"/>
            <w:tcBorders>
              <w:top w:val="nil"/>
              <w:left w:val="nil"/>
              <w:bottom w:val="single" w:sz="4" w:space="0" w:color="auto"/>
              <w:right w:val="single" w:sz="4" w:space="0" w:color="auto"/>
            </w:tcBorders>
            <w:shd w:val="clear" w:color="auto" w:fill="auto"/>
            <w:noWrap/>
            <w:hideMark/>
          </w:tcPr>
          <w:p w14:paraId="0590ADAF" w14:textId="77777777" w:rsidR="006F0BB0" w:rsidRPr="006F0BB0" w:rsidRDefault="006F0BB0" w:rsidP="007D1DBA">
            <w:pPr>
              <w:jc w:val="right"/>
              <w:rPr>
                <w:sz w:val="18"/>
                <w:szCs w:val="18"/>
                <w:lang w:val="es-419" w:eastAsia="es-419"/>
              </w:rPr>
            </w:pPr>
            <w:r w:rsidRPr="006F0BB0">
              <w:rPr>
                <w:sz w:val="18"/>
                <w:szCs w:val="18"/>
                <w:lang w:val="es-419" w:eastAsia="es-419"/>
              </w:rPr>
              <w:t>795 080</w:t>
            </w:r>
          </w:p>
        </w:tc>
        <w:tc>
          <w:tcPr>
            <w:tcW w:w="1181" w:type="dxa"/>
            <w:tcBorders>
              <w:top w:val="nil"/>
              <w:left w:val="nil"/>
              <w:bottom w:val="single" w:sz="4" w:space="0" w:color="auto"/>
              <w:right w:val="single" w:sz="4" w:space="0" w:color="auto"/>
            </w:tcBorders>
            <w:shd w:val="clear" w:color="auto" w:fill="auto"/>
            <w:noWrap/>
            <w:hideMark/>
          </w:tcPr>
          <w:p w14:paraId="1A63CE12" w14:textId="77777777" w:rsidR="006F0BB0" w:rsidRPr="006F0BB0" w:rsidRDefault="006F0BB0" w:rsidP="007D1DBA">
            <w:pPr>
              <w:jc w:val="right"/>
              <w:rPr>
                <w:sz w:val="18"/>
                <w:szCs w:val="18"/>
                <w:lang w:val="es-419" w:eastAsia="es-419"/>
              </w:rPr>
            </w:pPr>
            <w:r w:rsidRPr="006F0BB0">
              <w:rPr>
                <w:sz w:val="18"/>
                <w:szCs w:val="18"/>
                <w:lang w:val="es-419" w:eastAsia="es-419"/>
              </w:rPr>
              <w:t>40,1%</w:t>
            </w:r>
          </w:p>
        </w:tc>
      </w:tr>
      <w:tr w:rsidR="006F0BB0" w:rsidRPr="006F0BB0" w14:paraId="5A2AD60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83E862" w14:textId="77777777" w:rsidR="006F0BB0" w:rsidRPr="006F0BB0" w:rsidRDefault="006F0BB0" w:rsidP="007D1DBA">
            <w:pPr>
              <w:jc w:val="left"/>
              <w:rPr>
                <w:sz w:val="18"/>
                <w:szCs w:val="18"/>
                <w:lang w:val="es-419" w:eastAsia="es-419"/>
              </w:rPr>
            </w:pPr>
            <w:r w:rsidRPr="006F0BB0">
              <w:rPr>
                <w:sz w:val="18"/>
                <w:szCs w:val="18"/>
                <w:lang w:val="es-419" w:eastAsia="es-419"/>
              </w:rPr>
              <w:t>Tonga</w:t>
            </w:r>
          </w:p>
        </w:tc>
        <w:tc>
          <w:tcPr>
            <w:tcW w:w="950" w:type="dxa"/>
            <w:tcBorders>
              <w:top w:val="nil"/>
              <w:left w:val="nil"/>
              <w:bottom w:val="single" w:sz="4" w:space="0" w:color="auto"/>
              <w:right w:val="single" w:sz="4" w:space="0" w:color="auto"/>
            </w:tcBorders>
            <w:shd w:val="clear" w:color="auto" w:fill="auto"/>
            <w:noWrap/>
            <w:hideMark/>
          </w:tcPr>
          <w:p w14:paraId="0676C78E" w14:textId="77777777" w:rsidR="006F0BB0" w:rsidRPr="006F0BB0" w:rsidRDefault="006F0BB0" w:rsidP="007D1DBA">
            <w:pPr>
              <w:jc w:val="right"/>
              <w:rPr>
                <w:sz w:val="18"/>
                <w:szCs w:val="18"/>
                <w:lang w:val="es-419" w:eastAsia="es-419"/>
              </w:rPr>
            </w:pPr>
            <w:r w:rsidRPr="006F0BB0">
              <w:rPr>
                <w:sz w:val="18"/>
                <w:szCs w:val="18"/>
                <w:lang w:val="es-419" w:eastAsia="es-419"/>
              </w:rPr>
              <w:t>1 802</w:t>
            </w:r>
          </w:p>
        </w:tc>
        <w:tc>
          <w:tcPr>
            <w:tcW w:w="950" w:type="dxa"/>
            <w:tcBorders>
              <w:top w:val="nil"/>
              <w:left w:val="nil"/>
              <w:bottom w:val="single" w:sz="4" w:space="0" w:color="auto"/>
              <w:right w:val="single" w:sz="4" w:space="0" w:color="auto"/>
            </w:tcBorders>
            <w:shd w:val="clear" w:color="auto" w:fill="auto"/>
            <w:noWrap/>
            <w:hideMark/>
          </w:tcPr>
          <w:p w14:paraId="15D255CD" w14:textId="77777777" w:rsidR="006F0BB0" w:rsidRPr="006F0BB0" w:rsidRDefault="006F0BB0" w:rsidP="007D1DBA">
            <w:pPr>
              <w:jc w:val="right"/>
              <w:rPr>
                <w:sz w:val="18"/>
                <w:szCs w:val="18"/>
                <w:lang w:val="es-419" w:eastAsia="es-419"/>
              </w:rPr>
            </w:pPr>
            <w:r w:rsidRPr="006F0BB0">
              <w:rPr>
                <w:sz w:val="18"/>
                <w:szCs w:val="18"/>
                <w:lang w:val="es-419" w:eastAsia="es-419"/>
              </w:rPr>
              <w:t>1 856</w:t>
            </w:r>
          </w:p>
        </w:tc>
        <w:tc>
          <w:tcPr>
            <w:tcW w:w="950" w:type="dxa"/>
            <w:tcBorders>
              <w:top w:val="nil"/>
              <w:left w:val="nil"/>
              <w:bottom w:val="single" w:sz="4" w:space="0" w:color="auto"/>
              <w:right w:val="single" w:sz="4" w:space="0" w:color="auto"/>
            </w:tcBorders>
            <w:shd w:val="clear" w:color="auto" w:fill="auto"/>
            <w:noWrap/>
            <w:hideMark/>
          </w:tcPr>
          <w:p w14:paraId="41324A53" w14:textId="77777777" w:rsidR="006F0BB0" w:rsidRPr="006F0BB0" w:rsidRDefault="006F0BB0" w:rsidP="007D1DBA">
            <w:pPr>
              <w:jc w:val="right"/>
              <w:rPr>
                <w:sz w:val="18"/>
                <w:szCs w:val="18"/>
                <w:lang w:val="es-419" w:eastAsia="es-419"/>
              </w:rPr>
            </w:pPr>
            <w:r w:rsidRPr="006F0BB0">
              <w:rPr>
                <w:sz w:val="18"/>
                <w:szCs w:val="18"/>
                <w:lang w:val="es-419" w:eastAsia="es-419"/>
              </w:rPr>
              <w:t>1 912</w:t>
            </w:r>
          </w:p>
        </w:tc>
        <w:tc>
          <w:tcPr>
            <w:tcW w:w="950" w:type="dxa"/>
            <w:tcBorders>
              <w:top w:val="nil"/>
              <w:left w:val="nil"/>
              <w:bottom w:val="single" w:sz="4" w:space="0" w:color="auto"/>
              <w:right w:val="single" w:sz="4" w:space="0" w:color="auto"/>
            </w:tcBorders>
            <w:shd w:val="clear" w:color="auto" w:fill="auto"/>
            <w:noWrap/>
            <w:hideMark/>
          </w:tcPr>
          <w:p w14:paraId="415A3C7A" w14:textId="77777777" w:rsidR="006F0BB0" w:rsidRPr="006F0BB0" w:rsidRDefault="006F0BB0" w:rsidP="007D1DBA">
            <w:pPr>
              <w:jc w:val="right"/>
              <w:rPr>
                <w:sz w:val="18"/>
                <w:szCs w:val="18"/>
                <w:lang w:val="es-419" w:eastAsia="es-419"/>
              </w:rPr>
            </w:pPr>
            <w:r w:rsidRPr="006F0BB0">
              <w:rPr>
                <w:sz w:val="18"/>
                <w:szCs w:val="18"/>
                <w:lang w:val="es-419" w:eastAsia="es-419"/>
              </w:rPr>
              <w:t>1 969</w:t>
            </w:r>
          </w:p>
        </w:tc>
        <w:tc>
          <w:tcPr>
            <w:tcW w:w="950" w:type="dxa"/>
            <w:tcBorders>
              <w:top w:val="nil"/>
              <w:left w:val="nil"/>
              <w:bottom w:val="single" w:sz="4" w:space="0" w:color="auto"/>
              <w:right w:val="single" w:sz="4" w:space="0" w:color="auto"/>
            </w:tcBorders>
            <w:shd w:val="clear" w:color="auto" w:fill="auto"/>
            <w:noWrap/>
            <w:hideMark/>
          </w:tcPr>
          <w:p w14:paraId="3DCEE47E" w14:textId="77777777" w:rsidR="006F0BB0" w:rsidRPr="006F0BB0" w:rsidRDefault="006F0BB0" w:rsidP="007D1DBA">
            <w:pPr>
              <w:jc w:val="right"/>
              <w:rPr>
                <w:sz w:val="18"/>
                <w:szCs w:val="18"/>
                <w:lang w:val="es-419" w:eastAsia="es-419"/>
              </w:rPr>
            </w:pPr>
            <w:r w:rsidRPr="006F0BB0">
              <w:rPr>
                <w:sz w:val="18"/>
                <w:szCs w:val="18"/>
                <w:lang w:val="es-419" w:eastAsia="es-419"/>
              </w:rPr>
              <w:t>2 028</w:t>
            </w:r>
          </w:p>
        </w:tc>
        <w:tc>
          <w:tcPr>
            <w:tcW w:w="950" w:type="dxa"/>
            <w:tcBorders>
              <w:top w:val="nil"/>
              <w:left w:val="nil"/>
              <w:bottom w:val="single" w:sz="4" w:space="0" w:color="auto"/>
              <w:right w:val="single" w:sz="4" w:space="0" w:color="auto"/>
            </w:tcBorders>
            <w:shd w:val="clear" w:color="auto" w:fill="auto"/>
            <w:noWrap/>
            <w:hideMark/>
          </w:tcPr>
          <w:p w14:paraId="45209D40" w14:textId="77777777" w:rsidR="006F0BB0" w:rsidRPr="006F0BB0" w:rsidRDefault="006F0BB0" w:rsidP="007D1DBA">
            <w:pPr>
              <w:jc w:val="right"/>
              <w:rPr>
                <w:sz w:val="18"/>
                <w:szCs w:val="18"/>
                <w:lang w:val="es-419" w:eastAsia="es-419"/>
              </w:rPr>
            </w:pPr>
            <w:r w:rsidRPr="006F0BB0">
              <w:rPr>
                <w:sz w:val="18"/>
                <w:szCs w:val="18"/>
                <w:lang w:val="es-419" w:eastAsia="es-419"/>
              </w:rPr>
              <w:t>2 089</w:t>
            </w:r>
          </w:p>
        </w:tc>
        <w:tc>
          <w:tcPr>
            <w:tcW w:w="950" w:type="dxa"/>
            <w:tcBorders>
              <w:top w:val="nil"/>
              <w:left w:val="nil"/>
              <w:bottom w:val="single" w:sz="4" w:space="0" w:color="auto"/>
              <w:right w:val="single" w:sz="4" w:space="0" w:color="auto"/>
            </w:tcBorders>
            <w:shd w:val="clear" w:color="auto" w:fill="auto"/>
            <w:noWrap/>
            <w:hideMark/>
          </w:tcPr>
          <w:p w14:paraId="0F3D742C" w14:textId="77777777" w:rsidR="006F0BB0" w:rsidRPr="006F0BB0" w:rsidRDefault="006F0BB0" w:rsidP="007D1DBA">
            <w:pPr>
              <w:jc w:val="right"/>
              <w:rPr>
                <w:sz w:val="18"/>
                <w:szCs w:val="18"/>
                <w:lang w:val="es-419" w:eastAsia="es-419"/>
              </w:rPr>
            </w:pPr>
            <w:r w:rsidRPr="006F0BB0">
              <w:rPr>
                <w:sz w:val="18"/>
                <w:szCs w:val="18"/>
                <w:lang w:val="es-419" w:eastAsia="es-419"/>
              </w:rPr>
              <w:t>1 912</w:t>
            </w:r>
          </w:p>
        </w:tc>
        <w:tc>
          <w:tcPr>
            <w:tcW w:w="1005" w:type="dxa"/>
            <w:tcBorders>
              <w:top w:val="nil"/>
              <w:left w:val="nil"/>
              <w:bottom w:val="single" w:sz="4" w:space="0" w:color="auto"/>
              <w:right w:val="single" w:sz="4" w:space="0" w:color="auto"/>
            </w:tcBorders>
            <w:shd w:val="clear" w:color="auto" w:fill="auto"/>
            <w:noWrap/>
            <w:hideMark/>
          </w:tcPr>
          <w:p w14:paraId="439E803F" w14:textId="77777777" w:rsidR="006F0BB0" w:rsidRPr="006F0BB0" w:rsidRDefault="006F0BB0" w:rsidP="007D1DBA">
            <w:pPr>
              <w:jc w:val="right"/>
              <w:rPr>
                <w:sz w:val="18"/>
                <w:szCs w:val="18"/>
                <w:lang w:val="es-419" w:eastAsia="es-419"/>
              </w:rPr>
            </w:pPr>
            <w:r w:rsidRPr="006F0BB0">
              <w:rPr>
                <w:sz w:val="18"/>
                <w:szCs w:val="18"/>
                <w:lang w:val="es-419" w:eastAsia="es-419"/>
              </w:rPr>
              <w:t>4 912</w:t>
            </w:r>
          </w:p>
        </w:tc>
        <w:tc>
          <w:tcPr>
            <w:tcW w:w="1181" w:type="dxa"/>
            <w:tcBorders>
              <w:top w:val="nil"/>
              <w:left w:val="nil"/>
              <w:bottom w:val="single" w:sz="4" w:space="0" w:color="auto"/>
              <w:right w:val="single" w:sz="4" w:space="0" w:color="auto"/>
            </w:tcBorders>
            <w:shd w:val="clear" w:color="auto" w:fill="auto"/>
            <w:noWrap/>
            <w:hideMark/>
          </w:tcPr>
          <w:p w14:paraId="32AAB692" w14:textId="77777777" w:rsidR="006F0BB0" w:rsidRPr="006F0BB0" w:rsidRDefault="006F0BB0" w:rsidP="007D1DBA">
            <w:pPr>
              <w:jc w:val="right"/>
              <w:rPr>
                <w:sz w:val="18"/>
                <w:szCs w:val="18"/>
                <w:lang w:val="es-419" w:eastAsia="es-419"/>
              </w:rPr>
            </w:pPr>
            <w:r w:rsidRPr="006F0BB0">
              <w:rPr>
                <w:sz w:val="18"/>
                <w:szCs w:val="18"/>
                <w:lang w:val="es-419" w:eastAsia="es-419"/>
              </w:rPr>
              <w:t>42,5%</w:t>
            </w:r>
          </w:p>
        </w:tc>
      </w:tr>
      <w:tr w:rsidR="006F0BB0" w:rsidRPr="006F0BB0" w14:paraId="385DDD3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61C653" w14:textId="77777777" w:rsidR="006F0BB0" w:rsidRPr="006F0BB0" w:rsidRDefault="006F0BB0" w:rsidP="007D1DBA">
            <w:pPr>
              <w:jc w:val="left"/>
              <w:rPr>
                <w:sz w:val="18"/>
                <w:szCs w:val="18"/>
                <w:lang w:val="es-419" w:eastAsia="es-419"/>
              </w:rPr>
            </w:pPr>
            <w:r w:rsidRPr="006F0BB0">
              <w:rPr>
                <w:sz w:val="18"/>
                <w:szCs w:val="18"/>
                <w:lang w:val="es-419" w:eastAsia="es-419"/>
              </w:rPr>
              <w:t>Antigua y Barbuda</w:t>
            </w:r>
          </w:p>
        </w:tc>
        <w:tc>
          <w:tcPr>
            <w:tcW w:w="950" w:type="dxa"/>
            <w:tcBorders>
              <w:top w:val="nil"/>
              <w:left w:val="nil"/>
              <w:bottom w:val="single" w:sz="4" w:space="0" w:color="auto"/>
              <w:right w:val="single" w:sz="4" w:space="0" w:color="auto"/>
            </w:tcBorders>
            <w:shd w:val="clear" w:color="auto" w:fill="auto"/>
            <w:noWrap/>
            <w:hideMark/>
          </w:tcPr>
          <w:p w14:paraId="1A023AB1" w14:textId="77777777" w:rsidR="006F0BB0" w:rsidRPr="006F0BB0" w:rsidRDefault="006F0BB0" w:rsidP="007D1DBA">
            <w:pPr>
              <w:jc w:val="right"/>
              <w:rPr>
                <w:sz w:val="18"/>
                <w:szCs w:val="18"/>
                <w:lang w:val="es-419" w:eastAsia="es-419"/>
              </w:rPr>
            </w:pPr>
            <w:r w:rsidRPr="006F0BB0">
              <w:rPr>
                <w:sz w:val="18"/>
                <w:szCs w:val="18"/>
                <w:lang w:val="es-419" w:eastAsia="es-419"/>
              </w:rPr>
              <w:t>4 079</w:t>
            </w:r>
          </w:p>
        </w:tc>
        <w:tc>
          <w:tcPr>
            <w:tcW w:w="950" w:type="dxa"/>
            <w:tcBorders>
              <w:top w:val="nil"/>
              <w:left w:val="nil"/>
              <w:bottom w:val="single" w:sz="4" w:space="0" w:color="auto"/>
              <w:right w:val="single" w:sz="4" w:space="0" w:color="auto"/>
            </w:tcBorders>
            <w:shd w:val="clear" w:color="auto" w:fill="auto"/>
            <w:noWrap/>
            <w:hideMark/>
          </w:tcPr>
          <w:p w14:paraId="6292584A" w14:textId="77777777" w:rsidR="006F0BB0" w:rsidRPr="006F0BB0" w:rsidRDefault="006F0BB0" w:rsidP="007D1DBA">
            <w:pPr>
              <w:jc w:val="right"/>
              <w:rPr>
                <w:sz w:val="18"/>
                <w:szCs w:val="18"/>
                <w:lang w:val="es-419" w:eastAsia="es-419"/>
              </w:rPr>
            </w:pPr>
            <w:r w:rsidRPr="006F0BB0">
              <w:rPr>
                <w:sz w:val="18"/>
                <w:szCs w:val="18"/>
                <w:lang w:val="es-419" w:eastAsia="es-419"/>
              </w:rPr>
              <w:t>4 201</w:t>
            </w:r>
          </w:p>
        </w:tc>
        <w:tc>
          <w:tcPr>
            <w:tcW w:w="950" w:type="dxa"/>
            <w:tcBorders>
              <w:top w:val="nil"/>
              <w:left w:val="nil"/>
              <w:bottom w:val="single" w:sz="4" w:space="0" w:color="auto"/>
              <w:right w:val="single" w:sz="4" w:space="0" w:color="auto"/>
            </w:tcBorders>
            <w:shd w:val="clear" w:color="auto" w:fill="auto"/>
            <w:noWrap/>
            <w:hideMark/>
          </w:tcPr>
          <w:p w14:paraId="2351ED5F" w14:textId="77777777" w:rsidR="006F0BB0" w:rsidRPr="006F0BB0" w:rsidRDefault="006F0BB0" w:rsidP="007D1DBA">
            <w:pPr>
              <w:jc w:val="right"/>
              <w:rPr>
                <w:sz w:val="18"/>
                <w:szCs w:val="18"/>
                <w:lang w:val="es-419" w:eastAsia="es-419"/>
              </w:rPr>
            </w:pPr>
            <w:r w:rsidRPr="006F0BB0">
              <w:rPr>
                <w:sz w:val="18"/>
                <w:szCs w:val="18"/>
                <w:lang w:val="es-419" w:eastAsia="es-419"/>
              </w:rPr>
              <w:t>4 327</w:t>
            </w:r>
          </w:p>
        </w:tc>
        <w:tc>
          <w:tcPr>
            <w:tcW w:w="950" w:type="dxa"/>
            <w:tcBorders>
              <w:top w:val="nil"/>
              <w:left w:val="nil"/>
              <w:bottom w:val="single" w:sz="4" w:space="0" w:color="auto"/>
              <w:right w:val="single" w:sz="4" w:space="0" w:color="auto"/>
            </w:tcBorders>
            <w:shd w:val="clear" w:color="auto" w:fill="auto"/>
            <w:noWrap/>
            <w:hideMark/>
          </w:tcPr>
          <w:p w14:paraId="190C0ADD" w14:textId="77777777" w:rsidR="006F0BB0" w:rsidRPr="006F0BB0" w:rsidRDefault="006F0BB0" w:rsidP="007D1DBA">
            <w:pPr>
              <w:jc w:val="right"/>
              <w:rPr>
                <w:sz w:val="18"/>
                <w:szCs w:val="18"/>
                <w:lang w:val="es-419" w:eastAsia="es-419"/>
              </w:rPr>
            </w:pPr>
            <w:r w:rsidRPr="006F0BB0">
              <w:rPr>
                <w:sz w:val="18"/>
                <w:szCs w:val="18"/>
                <w:lang w:val="es-419" w:eastAsia="es-419"/>
              </w:rPr>
              <w:t>4 457</w:t>
            </w:r>
          </w:p>
        </w:tc>
        <w:tc>
          <w:tcPr>
            <w:tcW w:w="950" w:type="dxa"/>
            <w:tcBorders>
              <w:top w:val="nil"/>
              <w:left w:val="nil"/>
              <w:bottom w:val="single" w:sz="4" w:space="0" w:color="auto"/>
              <w:right w:val="single" w:sz="4" w:space="0" w:color="auto"/>
            </w:tcBorders>
            <w:shd w:val="clear" w:color="auto" w:fill="auto"/>
            <w:noWrap/>
            <w:hideMark/>
          </w:tcPr>
          <w:p w14:paraId="7E098058" w14:textId="77777777" w:rsidR="006F0BB0" w:rsidRPr="006F0BB0" w:rsidRDefault="006F0BB0" w:rsidP="007D1DBA">
            <w:pPr>
              <w:jc w:val="right"/>
              <w:rPr>
                <w:sz w:val="18"/>
                <w:szCs w:val="18"/>
                <w:lang w:val="es-419" w:eastAsia="es-419"/>
              </w:rPr>
            </w:pPr>
            <w:r w:rsidRPr="006F0BB0">
              <w:rPr>
                <w:sz w:val="18"/>
                <w:szCs w:val="18"/>
                <w:lang w:val="es-419" w:eastAsia="es-419"/>
              </w:rPr>
              <w:t>4 591</w:t>
            </w:r>
          </w:p>
        </w:tc>
        <w:tc>
          <w:tcPr>
            <w:tcW w:w="950" w:type="dxa"/>
            <w:tcBorders>
              <w:top w:val="nil"/>
              <w:left w:val="nil"/>
              <w:bottom w:val="single" w:sz="4" w:space="0" w:color="auto"/>
              <w:right w:val="single" w:sz="4" w:space="0" w:color="auto"/>
            </w:tcBorders>
            <w:shd w:val="clear" w:color="auto" w:fill="auto"/>
            <w:noWrap/>
            <w:hideMark/>
          </w:tcPr>
          <w:p w14:paraId="4D8DBBC9" w14:textId="77777777" w:rsidR="006F0BB0" w:rsidRPr="006F0BB0" w:rsidRDefault="006F0BB0" w:rsidP="007D1DBA">
            <w:pPr>
              <w:jc w:val="right"/>
              <w:rPr>
                <w:sz w:val="18"/>
                <w:szCs w:val="18"/>
                <w:lang w:val="es-419" w:eastAsia="es-419"/>
              </w:rPr>
            </w:pPr>
            <w:r w:rsidRPr="006F0BB0">
              <w:rPr>
                <w:sz w:val="18"/>
                <w:szCs w:val="18"/>
                <w:lang w:val="es-419" w:eastAsia="es-419"/>
              </w:rPr>
              <w:t>4 729</w:t>
            </w:r>
          </w:p>
        </w:tc>
        <w:tc>
          <w:tcPr>
            <w:tcW w:w="950" w:type="dxa"/>
            <w:tcBorders>
              <w:top w:val="nil"/>
              <w:left w:val="nil"/>
              <w:bottom w:val="single" w:sz="4" w:space="0" w:color="auto"/>
              <w:right w:val="single" w:sz="4" w:space="0" w:color="auto"/>
            </w:tcBorders>
            <w:shd w:val="clear" w:color="auto" w:fill="auto"/>
            <w:noWrap/>
            <w:hideMark/>
          </w:tcPr>
          <w:p w14:paraId="5169E5C3" w14:textId="77777777" w:rsidR="006F0BB0" w:rsidRPr="006F0BB0" w:rsidRDefault="006F0BB0" w:rsidP="007D1DBA">
            <w:pPr>
              <w:jc w:val="right"/>
              <w:rPr>
                <w:sz w:val="18"/>
                <w:szCs w:val="18"/>
                <w:lang w:val="es-419" w:eastAsia="es-419"/>
              </w:rPr>
            </w:pPr>
            <w:r w:rsidRPr="006F0BB0">
              <w:rPr>
                <w:sz w:val="18"/>
                <w:szCs w:val="18"/>
                <w:lang w:val="es-419" w:eastAsia="es-419"/>
              </w:rPr>
              <w:t>4 329</w:t>
            </w:r>
          </w:p>
        </w:tc>
        <w:tc>
          <w:tcPr>
            <w:tcW w:w="1005" w:type="dxa"/>
            <w:tcBorders>
              <w:top w:val="nil"/>
              <w:left w:val="nil"/>
              <w:bottom w:val="single" w:sz="4" w:space="0" w:color="auto"/>
              <w:right w:val="single" w:sz="4" w:space="0" w:color="auto"/>
            </w:tcBorders>
            <w:shd w:val="clear" w:color="auto" w:fill="auto"/>
            <w:noWrap/>
            <w:hideMark/>
          </w:tcPr>
          <w:p w14:paraId="66A03836" w14:textId="77777777" w:rsidR="006F0BB0" w:rsidRPr="006F0BB0" w:rsidRDefault="006F0BB0" w:rsidP="007D1DBA">
            <w:pPr>
              <w:jc w:val="right"/>
              <w:rPr>
                <w:sz w:val="18"/>
                <w:szCs w:val="18"/>
                <w:lang w:val="es-419" w:eastAsia="es-419"/>
              </w:rPr>
            </w:pPr>
            <w:r w:rsidRPr="006F0BB0">
              <w:rPr>
                <w:sz w:val="18"/>
                <w:szCs w:val="18"/>
                <w:lang w:val="es-419" w:eastAsia="es-419"/>
              </w:rPr>
              <w:t>10 805</w:t>
            </w:r>
          </w:p>
        </w:tc>
        <w:tc>
          <w:tcPr>
            <w:tcW w:w="1181" w:type="dxa"/>
            <w:tcBorders>
              <w:top w:val="nil"/>
              <w:left w:val="nil"/>
              <w:bottom w:val="single" w:sz="4" w:space="0" w:color="auto"/>
              <w:right w:val="single" w:sz="4" w:space="0" w:color="auto"/>
            </w:tcBorders>
            <w:shd w:val="clear" w:color="auto" w:fill="auto"/>
            <w:noWrap/>
            <w:hideMark/>
          </w:tcPr>
          <w:p w14:paraId="2B996FAC" w14:textId="77777777" w:rsidR="006F0BB0" w:rsidRPr="006F0BB0" w:rsidRDefault="006F0BB0" w:rsidP="007D1DBA">
            <w:pPr>
              <w:jc w:val="right"/>
              <w:rPr>
                <w:sz w:val="18"/>
                <w:szCs w:val="18"/>
                <w:lang w:val="es-419" w:eastAsia="es-419"/>
              </w:rPr>
            </w:pPr>
            <w:r w:rsidRPr="006F0BB0">
              <w:rPr>
                <w:sz w:val="18"/>
                <w:szCs w:val="18"/>
                <w:lang w:val="es-419" w:eastAsia="es-419"/>
              </w:rPr>
              <w:t>43,8%</w:t>
            </w:r>
          </w:p>
        </w:tc>
      </w:tr>
      <w:tr w:rsidR="006F0BB0" w:rsidRPr="006F0BB0" w14:paraId="7D4C82C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FC8EFB" w14:textId="77777777" w:rsidR="006F0BB0" w:rsidRPr="006F0BB0" w:rsidRDefault="006F0BB0" w:rsidP="007D1DBA">
            <w:pPr>
              <w:jc w:val="left"/>
              <w:rPr>
                <w:sz w:val="18"/>
                <w:szCs w:val="18"/>
                <w:lang w:val="es-419" w:eastAsia="es-419"/>
              </w:rPr>
            </w:pPr>
            <w:r w:rsidRPr="006F0BB0">
              <w:rPr>
                <w:sz w:val="18"/>
                <w:szCs w:val="18"/>
                <w:lang w:val="es-419" w:eastAsia="es-419"/>
              </w:rPr>
              <w:t>Malawi</w:t>
            </w:r>
          </w:p>
        </w:tc>
        <w:tc>
          <w:tcPr>
            <w:tcW w:w="950" w:type="dxa"/>
            <w:tcBorders>
              <w:top w:val="nil"/>
              <w:left w:val="nil"/>
              <w:bottom w:val="single" w:sz="4" w:space="0" w:color="auto"/>
              <w:right w:val="single" w:sz="4" w:space="0" w:color="auto"/>
            </w:tcBorders>
            <w:shd w:val="clear" w:color="auto" w:fill="auto"/>
            <w:noWrap/>
            <w:hideMark/>
          </w:tcPr>
          <w:p w14:paraId="0B05DA4D" w14:textId="77777777" w:rsidR="006F0BB0" w:rsidRPr="006F0BB0" w:rsidRDefault="006F0BB0" w:rsidP="007D1DBA">
            <w:pPr>
              <w:jc w:val="right"/>
              <w:rPr>
                <w:sz w:val="18"/>
                <w:szCs w:val="18"/>
                <w:lang w:val="es-419" w:eastAsia="es-419"/>
              </w:rPr>
            </w:pPr>
            <w:r w:rsidRPr="006F0BB0">
              <w:rPr>
                <w:sz w:val="18"/>
                <w:szCs w:val="18"/>
                <w:lang w:val="es-419" w:eastAsia="es-419"/>
              </w:rPr>
              <w:t>188 503</w:t>
            </w:r>
          </w:p>
        </w:tc>
        <w:tc>
          <w:tcPr>
            <w:tcW w:w="950" w:type="dxa"/>
            <w:tcBorders>
              <w:top w:val="nil"/>
              <w:left w:val="nil"/>
              <w:bottom w:val="single" w:sz="4" w:space="0" w:color="auto"/>
              <w:right w:val="single" w:sz="4" w:space="0" w:color="auto"/>
            </w:tcBorders>
            <w:shd w:val="clear" w:color="auto" w:fill="auto"/>
            <w:noWrap/>
            <w:hideMark/>
          </w:tcPr>
          <w:p w14:paraId="7A946867" w14:textId="77777777" w:rsidR="006F0BB0" w:rsidRPr="006F0BB0" w:rsidRDefault="006F0BB0" w:rsidP="007D1DBA">
            <w:pPr>
              <w:jc w:val="right"/>
              <w:rPr>
                <w:sz w:val="18"/>
                <w:szCs w:val="18"/>
                <w:lang w:val="es-419" w:eastAsia="es-419"/>
              </w:rPr>
            </w:pPr>
            <w:r w:rsidRPr="006F0BB0">
              <w:rPr>
                <w:sz w:val="18"/>
                <w:szCs w:val="18"/>
                <w:lang w:val="es-419" w:eastAsia="es-419"/>
              </w:rPr>
              <w:t>194 158</w:t>
            </w:r>
          </w:p>
        </w:tc>
        <w:tc>
          <w:tcPr>
            <w:tcW w:w="950" w:type="dxa"/>
            <w:tcBorders>
              <w:top w:val="nil"/>
              <w:left w:val="nil"/>
              <w:bottom w:val="single" w:sz="4" w:space="0" w:color="auto"/>
              <w:right w:val="single" w:sz="4" w:space="0" w:color="auto"/>
            </w:tcBorders>
            <w:shd w:val="clear" w:color="auto" w:fill="auto"/>
            <w:noWrap/>
            <w:hideMark/>
          </w:tcPr>
          <w:p w14:paraId="2A762C9C" w14:textId="77777777" w:rsidR="006F0BB0" w:rsidRPr="006F0BB0" w:rsidRDefault="006F0BB0" w:rsidP="007D1DBA">
            <w:pPr>
              <w:jc w:val="right"/>
              <w:rPr>
                <w:sz w:val="18"/>
                <w:szCs w:val="18"/>
                <w:lang w:val="es-419" w:eastAsia="es-419"/>
              </w:rPr>
            </w:pPr>
            <w:r w:rsidRPr="006F0BB0">
              <w:rPr>
                <w:sz w:val="18"/>
                <w:szCs w:val="18"/>
                <w:lang w:val="es-419" w:eastAsia="es-419"/>
              </w:rPr>
              <w:t>199 983</w:t>
            </w:r>
          </w:p>
        </w:tc>
        <w:tc>
          <w:tcPr>
            <w:tcW w:w="950" w:type="dxa"/>
            <w:tcBorders>
              <w:top w:val="nil"/>
              <w:left w:val="nil"/>
              <w:bottom w:val="single" w:sz="4" w:space="0" w:color="auto"/>
              <w:right w:val="single" w:sz="4" w:space="0" w:color="auto"/>
            </w:tcBorders>
            <w:shd w:val="clear" w:color="auto" w:fill="auto"/>
            <w:noWrap/>
            <w:hideMark/>
          </w:tcPr>
          <w:p w14:paraId="129A1373" w14:textId="77777777" w:rsidR="006F0BB0" w:rsidRPr="006F0BB0" w:rsidRDefault="006F0BB0" w:rsidP="007D1DBA">
            <w:pPr>
              <w:jc w:val="right"/>
              <w:rPr>
                <w:sz w:val="18"/>
                <w:szCs w:val="18"/>
                <w:lang w:val="es-419" w:eastAsia="es-419"/>
              </w:rPr>
            </w:pPr>
            <w:r w:rsidRPr="006F0BB0">
              <w:rPr>
                <w:sz w:val="18"/>
                <w:szCs w:val="18"/>
                <w:lang w:val="es-419" w:eastAsia="es-419"/>
              </w:rPr>
              <w:t>205 982</w:t>
            </w:r>
          </w:p>
        </w:tc>
        <w:tc>
          <w:tcPr>
            <w:tcW w:w="950" w:type="dxa"/>
            <w:tcBorders>
              <w:top w:val="nil"/>
              <w:left w:val="nil"/>
              <w:bottom w:val="single" w:sz="4" w:space="0" w:color="auto"/>
              <w:right w:val="single" w:sz="4" w:space="0" w:color="auto"/>
            </w:tcBorders>
            <w:shd w:val="clear" w:color="auto" w:fill="auto"/>
            <w:noWrap/>
            <w:hideMark/>
          </w:tcPr>
          <w:p w14:paraId="3BE8CDC9" w14:textId="77777777" w:rsidR="006F0BB0" w:rsidRPr="006F0BB0" w:rsidRDefault="006F0BB0" w:rsidP="007D1DBA">
            <w:pPr>
              <w:jc w:val="right"/>
              <w:rPr>
                <w:sz w:val="18"/>
                <w:szCs w:val="18"/>
                <w:lang w:val="es-419" w:eastAsia="es-419"/>
              </w:rPr>
            </w:pPr>
            <w:r w:rsidRPr="006F0BB0">
              <w:rPr>
                <w:sz w:val="18"/>
                <w:szCs w:val="18"/>
                <w:lang w:val="es-419" w:eastAsia="es-419"/>
              </w:rPr>
              <w:t>212 162</w:t>
            </w:r>
          </w:p>
        </w:tc>
        <w:tc>
          <w:tcPr>
            <w:tcW w:w="950" w:type="dxa"/>
            <w:tcBorders>
              <w:top w:val="nil"/>
              <w:left w:val="nil"/>
              <w:bottom w:val="single" w:sz="4" w:space="0" w:color="auto"/>
              <w:right w:val="single" w:sz="4" w:space="0" w:color="auto"/>
            </w:tcBorders>
            <w:shd w:val="clear" w:color="auto" w:fill="auto"/>
            <w:noWrap/>
            <w:hideMark/>
          </w:tcPr>
          <w:p w14:paraId="6D2B7BE6" w14:textId="77777777" w:rsidR="006F0BB0" w:rsidRPr="006F0BB0" w:rsidRDefault="006F0BB0" w:rsidP="007D1DBA">
            <w:pPr>
              <w:jc w:val="right"/>
              <w:rPr>
                <w:sz w:val="18"/>
                <w:szCs w:val="18"/>
                <w:lang w:val="es-419" w:eastAsia="es-419"/>
              </w:rPr>
            </w:pPr>
            <w:r w:rsidRPr="006F0BB0">
              <w:rPr>
                <w:sz w:val="18"/>
                <w:szCs w:val="18"/>
                <w:lang w:val="es-419" w:eastAsia="es-419"/>
              </w:rPr>
              <w:t>218 527</w:t>
            </w:r>
          </w:p>
        </w:tc>
        <w:tc>
          <w:tcPr>
            <w:tcW w:w="950" w:type="dxa"/>
            <w:tcBorders>
              <w:top w:val="nil"/>
              <w:left w:val="nil"/>
              <w:bottom w:val="single" w:sz="4" w:space="0" w:color="auto"/>
              <w:right w:val="single" w:sz="4" w:space="0" w:color="auto"/>
            </w:tcBorders>
            <w:shd w:val="clear" w:color="auto" w:fill="auto"/>
            <w:noWrap/>
            <w:hideMark/>
          </w:tcPr>
          <w:p w14:paraId="383D0544" w14:textId="77777777" w:rsidR="006F0BB0" w:rsidRPr="006F0BB0" w:rsidRDefault="006F0BB0" w:rsidP="007D1DBA">
            <w:pPr>
              <w:jc w:val="right"/>
              <w:rPr>
                <w:sz w:val="18"/>
                <w:szCs w:val="18"/>
                <w:lang w:val="es-419" w:eastAsia="es-419"/>
              </w:rPr>
            </w:pPr>
            <w:r w:rsidRPr="006F0BB0">
              <w:rPr>
                <w:sz w:val="18"/>
                <w:szCs w:val="18"/>
                <w:lang w:val="es-419" w:eastAsia="es-419"/>
              </w:rPr>
              <w:t>200 041</w:t>
            </w:r>
          </w:p>
        </w:tc>
        <w:tc>
          <w:tcPr>
            <w:tcW w:w="1005" w:type="dxa"/>
            <w:tcBorders>
              <w:top w:val="nil"/>
              <w:left w:val="nil"/>
              <w:bottom w:val="single" w:sz="4" w:space="0" w:color="auto"/>
              <w:right w:val="single" w:sz="4" w:space="0" w:color="auto"/>
            </w:tcBorders>
            <w:shd w:val="clear" w:color="auto" w:fill="auto"/>
            <w:noWrap/>
            <w:hideMark/>
          </w:tcPr>
          <w:p w14:paraId="17FFCBF6" w14:textId="77777777" w:rsidR="006F0BB0" w:rsidRPr="006F0BB0" w:rsidRDefault="006F0BB0" w:rsidP="007D1DBA">
            <w:pPr>
              <w:jc w:val="right"/>
              <w:rPr>
                <w:sz w:val="18"/>
                <w:szCs w:val="18"/>
                <w:lang w:val="es-419" w:eastAsia="es-419"/>
              </w:rPr>
            </w:pPr>
            <w:r w:rsidRPr="006F0BB0">
              <w:rPr>
                <w:sz w:val="18"/>
                <w:szCs w:val="18"/>
                <w:lang w:val="es-419" w:eastAsia="es-419"/>
              </w:rPr>
              <w:t>430 988</w:t>
            </w:r>
          </w:p>
        </w:tc>
        <w:tc>
          <w:tcPr>
            <w:tcW w:w="1181" w:type="dxa"/>
            <w:tcBorders>
              <w:top w:val="nil"/>
              <w:left w:val="nil"/>
              <w:bottom w:val="single" w:sz="4" w:space="0" w:color="auto"/>
              <w:right w:val="single" w:sz="4" w:space="0" w:color="auto"/>
            </w:tcBorders>
            <w:shd w:val="clear" w:color="auto" w:fill="auto"/>
            <w:noWrap/>
            <w:hideMark/>
          </w:tcPr>
          <w:p w14:paraId="4B405011" w14:textId="77777777" w:rsidR="006F0BB0" w:rsidRPr="006F0BB0" w:rsidRDefault="006F0BB0" w:rsidP="007D1DBA">
            <w:pPr>
              <w:jc w:val="right"/>
              <w:rPr>
                <w:sz w:val="18"/>
                <w:szCs w:val="18"/>
                <w:lang w:val="es-419" w:eastAsia="es-419"/>
              </w:rPr>
            </w:pPr>
            <w:r w:rsidRPr="006F0BB0">
              <w:rPr>
                <w:sz w:val="18"/>
                <w:szCs w:val="18"/>
                <w:lang w:val="es-419" w:eastAsia="es-419"/>
              </w:rPr>
              <w:t>50,7%</w:t>
            </w:r>
          </w:p>
        </w:tc>
      </w:tr>
      <w:tr w:rsidR="006F0BB0" w:rsidRPr="006F0BB0" w14:paraId="6B3153A9"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40F323" w14:textId="77777777" w:rsidR="006F0BB0" w:rsidRPr="006F0BB0" w:rsidRDefault="006F0BB0" w:rsidP="007D1DBA">
            <w:pPr>
              <w:jc w:val="left"/>
              <w:rPr>
                <w:sz w:val="18"/>
                <w:szCs w:val="18"/>
                <w:lang w:val="es-419" w:eastAsia="es-419"/>
              </w:rPr>
            </w:pPr>
            <w:r w:rsidRPr="006F0BB0">
              <w:rPr>
                <w:sz w:val="18"/>
                <w:szCs w:val="18"/>
                <w:lang w:val="es-419" w:eastAsia="es-419"/>
              </w:rPr>
              <w:t>Eswatini</w:t>
            </w:r>
          </w:p>
        </w:tc>
        <w:tc>
          <w:tcPr>
            <w:tcW w:w="950" w:type="dxa"/>
            <w:tcBorders>
              <w:top w:val="nil"/>
              <w:left w:val="nil"/>
              <w:bottom w:val="single" w:sz="4" w:space="0" w:color="auto"/>
              <w:right w:val="single" w:sz="4" w:space="0" w:color="auto"/>
            </w:tcBorders>
            <w:shd w:val="clear" w:color="auto" w:fill="auto"/>
            <w:noWrap/>
            <w:hideMark/>
          </w:tcPr>
          <w:p w14:paraId="05BC7B6E" w14:textId="77777777" w:rsidR="006F0BB0" w:rsidRPr="006F0BB0" w:rsidRDefault="006F0BB0" w:rsidP="007D1DBA">
            <w:pPr>
              <w:jc w:val="right"/>
              <w:rPr>
                <w:sz w:val="18"/>
                <w:szCs w:val="18"/>
                <w:lang w:val="es-419" w:eastAsia="es-419"/>
              </w:rPr>
            </w:pPr>
            <w:r w:rsidRPr="006F0BB0">
              <w:rPr>
                <w:sz w:val="18"/>
                <w:szCs w:val="18"/>
                <w:lang w:val="es-419" w:eastAsia="es-419"/>
              </w:rPr>
              <w:t>33 980</w:t>
            </w:r>
          </w:p>
        </w:tc>
        <w:tc>
          <w:tcPr>
            <w:tcW w:w="950" w:type="dxa"/>
            <w:tcBorders>
              <w:top w:val="nil"/>
              <w:left w:val="nil"/>
              <w:bottom w:val="single" w:sz="4" w:space="0" w:color="auto"/>
              <w:right w:val="single" w:sz="4" w:space="0" w:color="auto"/>
            </w:tcBorders>
            <w:shd w:val="clear" w:color="auto" w:fill="auto"/>
            <w:noWrap/>
            <w:hideMark/>
          </w:tcPr>
          <w:p w14:paraId="2AD7EC3A" w14:textId="77777777" w:rsidR="006F0BB0" w:rsidRPr="006F0BB0" w:rsidRDefault="006F0BB0" w:rsidP="007D1DBA">
            <w:pPr>
              <w:jc w:val="right"/>
              <w:rPr>
                <w:sz w:val="18"/>
                <w:szCs w:val="18"/>
                <w:lang w:val="es-419" w:eastAsia="es-419"/>
              </w:rPr>
            </w:pPr>
            <w:r w:rsidRPr="006F0BB0">
              <w:rPr>
                <w:sz w:val="18"/>
                <w:szCs w:val="18"/>
                <w:lang w:val="es-419" w:eastAsia="es-419"/>
              </w:rPr>
              <w:t>34 999</w:t>
            </w:r>
          </w:p>
        </w:tc>
        <w:tc>
          <w:tcPr>
            <w:tcW w:w="950" w:type="dxa"/>
            <w:tcBorders>
              <w:top w:val="nil"/>
              <w:left w:val="nil"/>
              <w:bottom w:val="single" w:sz="4" w:space="0" w:color="auto"/>
              <w:right w:val="single" w:sz="4" w:space="0" w:color="auto"/>
            </w:tcBorders>
            <w:shd w:val="clear" w:color="auto" w:fill="auto"/>
            <w:noWrap/>
            <w:hideMark/>
          </w:tcPr>
          <w:p w14:paraId="388E2890" w14:textId="77777777" w:rsidR="006F0BB0" w:rsidRPr="006F0BB0" w:rsidRDefault="006F0BB0" w:rsidP="007D1DBA">
            <w:pPr>
              <w:jc w:val="right"/>
              <w:rPr>
                <w:sz w:val="18"/>
                <w:szCs w:val="18"/>
                <w:lang w:val="es-419" w:eastAsia="es-419"/>
              </w:rPr>
            </w:pPr>
            <w:r w:rsidRPr="006F0BB0">
              <w:rPr>
                <w:sz w:val="18"/>
                <w:szCs w:val="18"/>
                <w:lang w:val="es-419" w:eastAsia="es-419"/>
              </w:rPr>
              <w:t>36 049</w:t>
            </w:r>
          </w:p>
        </w:tc>
        <w:tc>
          <w:tcPr>
            <w:tcW w:w="950" w:type="dxa"/>
            <w:tcBorders>
              <w:top w:val="nil"/>
              <w:left w:val="nil"/>
              <w:bottom w:val="single" w:sz="4" w:space="0" w:color="auto"/>
              <w:right w:val="single" w:sz="4" w:space="0" w:color="auto"/>
            </w:tcBorders>
            <w:shd w:val="clear" w:color="auto" w:fill="auto"/>
            <w:noWrap/>
            <w:hideMark/>
          </w:tcPr>
          <w:p w14:paraId="40B6FEB2" w14:textId="77777777" w:rsidR="006F0BB0" w:rsidRPr="006F0BB0" w:rsidRDefault="006F0BB0" w:rsidP="007D1DBA">
            <w:pPr>
              <w:jc w:val="right"/>
              <w:rPr>
                <w:sz w:val="18"/>
                <w:szCs w:val="18"/>
                <w:lang w:val="es-419" w:eastAsia="es-419"/>
              </w:rPr>
            </w:pPr>
            <w:r w:rsidRPr="006F0BB0">
              <w:rPr>
                <w:sz w:val="18"/>
                <w:szCs w:val="18"/>
                <w:lang w:val="es-419" w:eastAsia="es-419"/>
              </w:rPr>
              <w:t>37 131</w:t>
            </w:r>
          </w:p>
        </w:tc>
        <w:tc>
          <w:tcPr>
            <w:tcW w:w="950" w:type="dxa"/>
            <w:tcBorders>
              <w:top w:val="nil"/>
              <w:left w:val="nil"/>
              <w:bottom w:val="single" w:sz="4" w:space="0" w:color="auto"/>
              <w:right w:val="single" w:sz="4" w:space="0" w:color="auto"/>
            </w:tcBorders>
            <w:shd w:val="clear" w:color="auto" w:fill="auto"/>
            <w:noWrap/>
            <w:hideMark/>
          </w:tcPr>
          <w:p w14:paraId="4755B919" w14:textId="77777777" w:rsidR="006F0BB0" w:rsidRPr="006F0BB0" w:rsidRDefault="006F0BB0" w:rsidP="007D1DBA">
            <w:pPr>
              <w:jc w:val="right"/>
              <w:rPr>
                <w:sz w:val="18"/>
                <w:szCs w:val="18"/>
                <w:lang w:val="es-419" w:eastAsia="es-419"/>
              </w:rPr>
            </w:pPr>
            <w:r w:rsidRPr="006F0BB0">
              <w:rPr>
                <w:sz w:val="18"/>
                <w:szCs w:val="18"/>
                <w:lang w:val="es-419" w:eastAsia="es-419"/>
              </w:rPr>
              <w:t>38 245</w:t>
            </w:r>
          </w:p>
        </w:tc>
        <w:tc>
          <w:tcPr>
            <w:tcW w:w="950" w:type="dxa"/>
            <w:tcBorders>
              <w:top w:val="nil"/>
              <w:left w:val="nil"/>
              <w:bottom w:val="single" w:sz="4" w:space="0" w:color="auto"/>
              <w:right w:val="single" w:sz="4" w:space="0" w:color="auto"/>
            </w:tcBorders>
            <w:shd w:val="clear" w:color="auto" w:fill="auto"/>
            <w:noWrap/>
            <w:hideMark/>
          </w:tcPr>
          <w:p w14:paraId="3EAAC408" w14:textId="77777777" w:rsidR="006F0BB0" w:rsidRPr="006F0BB0" w:rsidRDefault="006F0BB0" w:rsidP="007D1DBA">
            <w:pPr>
              <w:jc w:val="right"/>
              <w:rPr>
                <w:sz w:val="18"/>
                <w:szCs w:val="18"/>
                <w:lang w:val="es-419" w:eastAsia="es-419"/>
              </w:rPr>
            </w:pPr>
            <w:r w:rsidRPr="006F0BB0">
              <w:rPr>
                <w:sz w:val="18"/>
                <w:szCs w:val="18"/>
                <w:lang w:val="es-419" w:eastAsia="es-419"/>
              </w:rPr>
              <w:t>39 392</w:t>
            </w:r>
          </w:p>
        </w:tc>
        <w:tc>
          <w:tcPr>
            <w:tcW w:w="950" w:type="dxa"/>
            <w:tcBorders>
              <w:top w:val="nil"/>
              <w:left w:val="nil"/>
              <w:bottom w:val="single" w:sz="4" w:space="0" w:color="auto"/>
              <w:right w:val="single" w:sz="4" w:space="0" w:color="auto"/>
            </w:tcBorders>
            <w:shd w:val="clear" w:color="auto" w:fill="auto"/>
            <w:noWrap/>
            <w:hideMark/>
          </w:tcPr>
          <w:p w14:paraId="382F397A" w14:textId="77777777" w:rsidR="006F0BB0" w:rsidRPr="006F0BB0" w:rsidRDefault="006F0BB0" w:rsidP="007D1DBA">
            <w:pPr>
              <w:jc w:val="right"/>
              <w:rPr>
                <w:sz w:val="18"/>
                <w:szCs w:val="18"/>
                <w:lang w:val="es-419" w:eastAsia="es-419"/>
              </w:rPr>
            </w:pPr>
            <w:r w:rsidRPr="006F0BB0">
              <w:rPr>
                <w:sz w:val="18"/>
                <w:szCs w:val="18"/>
                <w:lang w:val="es-419" w:eastAsia="es-419"/>
              </w:rPr>
              <w:t>36 060</w:t>
            </w:r>
          </w:p>
        </w:tc>
        <w:tc>
          <w:tcPr>
            <w:tcW w:w="1005" w:type="dxa"/>
            <w:tcBorders>
              <w:top w:val="nil"/>
              <w:left w:val="nil"/>
              <w:bottom w:val="single" w:sz="4" w:space="0" w:color="auto"/>
              <w:right w:val="single" w:sz="4" w:space="0" w:color="auto"/>
            </w:tcBorders>
            <w:shd w:val="clear" w:color="auto" w:fill="auto"/>
            <w:noWrap/>
            <w:hideMark/>
          </w:tcPr>
          <w:p w14:paraId="06BCDD9B" w14:textId="77777777" w:rsidR="006F0BB0" w:rsidRPr="006F0BB0" w:rsidRDefault="006F0BB0" w:rsidP="007D1DBA">
            <w:pPr>
              <w:jc w:val="right"/>
              <w:rPr>
                <w:sz w:val="18"/>
                <w:szCs w:val="18"/>
                <w:lang w:val="es-419" w:eastAsia="es-419"/>
              </w:rPr>
            </w:pPr>
            <w:r w:rsidRPr="006F0BB0">
              <w:rPr>
                <w:sz w:val="18"/>
                <w:szCs w:val="18"/>
                <w:lang w:val="es-419" w:eastAsia="es-419"/>
              </w:rPr>
              <w:t>72 955</w:t>
            </w:r>
          </w:p>
        </w:tc>
        <w:tc>
          <w:tcPr>
            <w:tcW w:w="1181" w:type="dxa"/>
            <w:tcBorders>
              <w:top w:val="nil"/>
              <w:left w:val="nil"/>
              <w:bottom w:val="single" w:sz="4" w:space="0" w:color="auto"/>
              <w:right w:val="single" w:sz="4" w:space="0" w:color="auto"/>
            </w:tcBorders>
            <w:shd w:val="clear" w:color="auto" w:fill="auto"/>
            <w:noWrap/>
            <w:hideMark/>
          </w:tcPr>
          <w:p w14:paraId="168E4672" w14:textId="77777777" w:rsidR="006F0BB0" w:rsidRPr="006F0BB0" w:rsidRDefault="006F0BB0" w:rsidP="007D1DBA">
            <w:pPr>
              <w:jc w:val="right"/>
              <w:rPr>
                <w:sz w:val="18"/>
                <w:szCs w:val="18"/>
                <w:lang w:val="es-419" w:eastAsia="es-419"/>
              </w:rPr>
            </w:pPr>
            <w:r w:rsidRPr="006F0BB0">
              <w:rPr>
                <w:sz w:val="18"/>
                <w:szCs w:val="18"/>
                <w:lang w:val="es-419" w:eastAsia="es-419"/>
              </w:rPr>
              <w:t>54,0%</w:t>
            </w:r>
          </w:p>
        </w:tc>
      </w:tr>
      <w:tr w:rsidR="006F0BB0" w:rsidRPr="006F0BB0" w14:paraId="6C781E2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6368D6" w14:textId="77777777" w:rsidR="006F0BB0" w:rsidRPr="006F0BB0" w:rsidRDefault="006F0BB0" w:rsidP="007D1DBA">
            <w:pPr>
              <w:jc w:val="left"/>
              <w:rPr>
                <w:sz w:val="18"/>
                <w:szCs w:val="18"/>
                <w:lang w:val="es-419" w:eastAsia="es-419"/>
              </w:rPr>
            </w:pPr>
            <w:r w:rsidRPr="006F0BB0">
              <w:rPr>
                <w:sz w:val="18"/>
                <w:szCs w:val="18"/>
                <w:lang w:val="es-419" w:eastAsia="es-419"/>
              </w:rPr>
              <w:t>Armenia</w:t>
            </w:r>
          </w:p>
        </w:tc>
        <w:tc>
          <w:tcPr>
            <w:tcW w:w="950" w:type="dxa"/>
            <w:tcBorders>
              <w:top w:val="nil"/>
              <w:left w:val="nil"/>
              <w:bottom w:val="single" w:sz="4" w:space="0" w:color="auto"/>
              <w:right w:val="single" w:sz="4" w:space="0" w:color="auto"/>
            </w:tcBorders>
            <w:shd w:val="clear" w:color="auto" w:fill="auto"/>
            <w:noWrap/>
            <w:hideMark/>
          </w:tcPr>
          <w:p w14:paraId="26B9D00E" w14:textId="77777777" w:rsidR="006F0BB0" w:rsidRPr="006F0BB0" w:rsidRDefault="006F0BB0" w:rsidP="007D1DBA">
            <w:pPr>
              <w:jc w:val="right"/>
              <w:rPr>
                <w:sz w:val="18"/>
                <w:szCs w:val="18"/>
                <w:lang w:val="es-419" w:eastAsia="es-419"/>
              </w:rPr>
            </w:pPr>
            <w:r w:rsidRPr="006F0BB0">
              <w:rPr>
                <w:sz w:val="18"/>
                <w:szCs w:val="18"/>
                <w:lang w:val="es-419" w:eastAsia="es-419"/>
              </w:rPr>
              <w:t>137 680</w:t>
            </w:r>
          </w:p>
        </w:tc>
        <w:tc>
          <w:tcPr>
            <w:tcW w:w="950" w:type="dxa"/>
            <w:tcBorders>
              <w:top w:val="nil"/>
              <w:left w:val="nil"/>
              <w:bottom w:val="single" w:sz="4" w:space="0" w:color="auto"/>
              <w:right w:val="single" w:sz="4" w:space="0" w:color="auto"/>
            </w:tcBorders>
            <w:shd w:val="clear" w:color="auto" w:fill="auto"/>
            <w:noWrap/>
            <w:hideMark/>
          </w:tcPr>
          <w:p w14:paraId="416F7BA8" w14:textId="77777777" w:rsidR="006F0BB0" w:rsidRPr="006F0BB0" w:rsidRDefault="006F0BB0" w:rsidP="007D1DBA">
            <w:pPr>
              <w:jc w:val="right"/>
              <w:rPr>
                <w:sz w:val="18"/>
                <w:szCs w:val="18"/>
                <w:lang w:val="es-419" w:eastAsia="es-419"/>
              </w:rPr>
            </w:pPr>
            <w:r w:rsidRPr="006F0BB0">
              <w:rPr>
                <w:sz w:val="18"/>
                <w:szCs w:val="18"/>
                <w:lang w:val="es-419" w:eastAsia="es-419"/>
              </w:rPr>
              <w:t>141 810</w:t>
            </w:r>
          </w:p>
        </w:tc>
        <w:tc>
          <w:tcPr>
            <w:tcW w:w="950" w:type="dxa"/>
            <w:tcBorders>
              <w:top w:val="nil"/>
              <w:left w:val="nil"/>
              <w:bottom w:val="single" w:sz="4" w:space="0" w:color="auto"/>
              <w:right w:val="single" w:sz="4" w:space="0" w:color="auto"/>
            </w:tcBorders>
            <w:shd w:val="clear" w:color="auto" w:fill="auto"/>
            <w:noWrap/>
            <w:hideMark/>
          </w:tcPr>
          <w:p w14:paraId="6CE7BC50" w14:textId="77777777" w:rsidR="006F0BB0" w:rsidRPr="006F0BB0" w:rsidRDefault="006F0BB0" w:rsidP="007D1DBA">
            <w:pPr>
              <w:jc w:val="right"/>
              <w:rPr>
                <w:sz w:val="18"/>
                <w:szCs w:val="18"/>
                <w:lang w:val="es-419" w:eastAsia="es-419"/>
              </w:rPr>
            </w:pPr>
            <w:r w:rsidRPr="006F0BB0">
              <w:rPr>
                <w:sz w:val="18"/>
                <w:szCs w:val="18"/>
                <w:lang w:val="es-419" w:eastAsia="es-419"/>
              </w:rPr>
              <w:t>146 065</w:t>
            </w:r>
          </w:p>
        </w:tc>
        <w:tc>
          <w:tcPr>
            <w:tcW w:w="950" w:type="dxa"/>
            <w:tcBorders>
              <w:top w:val="nil"/>
              <w:left w:val="nil"/>
              <w:bottom w:val="single" w:sz="4" w:space="0" w:color="auto"/>
              <w:right w:val="single" w:sz="4" w:space="0" w:color="auto"/>
            </w:tcBorders>
            <w:shd w:val="clear" w:color="auto" w:fill="auto"/>
            <w:noWrap/>
            <w:hideMark/>
          </w:tcPr>
          <w:p w14:paraId="11303291" w14:textId="77777777" w:rsidR="006F0BB0" w:rsidRPr="006F0BB0" w:rsidRDefault="006F0BB0" w:rsidP="007D1DBA">
            <w:pPr>
              <w:jc w:val="right"/>
              <w:rPr>
                <w:sz w:val="18"/>
                <w:szCs w:val="18"/>
                <w:lang w:val="es-419" w:eastAsia="es-419"/>
              </w:rPr>
            </w:pPr>
            <w:r w:rsidRPr="006F0BB0">
              <w:rPr>
                <w:sz w:val="18"/>
                <w:szCs w:val="18"/>
                <w:lang w:val="es-419" w:eastAsia="es-419"/>
              </w:rPr>
              <w:t>150 447</w:t>
            </w:r>
          </w:p>
        </w:tc>
        <w:tc>
          <w:tcPr>
            <w:tcW w:w="950" w:type="dxa"/>
            <w:tcBorders>
              <w:top w:val="nil"/>
              <w:left w:val="nil"/>
              <w:bottom w:val="single" w:sz="4" w:space="0" w:color="auto"/>
              <w:right w:val="single" w:sz="4" w:space="0" w:color="auto"/>
            </w:tcBorders>
            <w:shd w:val="clear" w:color="auto" w:fill="auto"/>
            <w:noWrap/>
            <w:hideMark/>
          </w:tcPr>
          <w:p w14:paraId="01108E91" w14:textId="77777777" w:rsidR="006F0BB0" w:rsidRPr="006F0BB0" w:rsidRDefault="006F0BB0" w:rsidP="007D1DBA">
            <w:pPr>
              <w:jc w:val="right"/>
              <w:rPr>
                <w:sz w:val="18"/>
                <w:szCs w:val="18"/>
                <w:lang w:val="es-419" w:eastAsia="es-419"/>
              </w:rPr>
            </w:pPr>
            <w:r w:rsidRPr="006F0BB0">
              <w:rPr>
                <w:sz w:val="18"/>
                <w:szCs w:val="18"/>
                <w:lang w:val="es-419" w:eastAsia="es-419"/>
              </w:rPr>
              <w:t>154 960</w:t>
            </w:r>
          </w:p>
        </w:tc>
        <w:tc>
          <w:tcPr>
            <w:tcW w:w="950" w:type="dxa"/>
            <w:tcBorders>
              <w:top w:val="nil"/>
              <w:left w:val="nil"/>
              <w:bottom w:val="single" w:sz="4" w:space="0" w:color="auto"/>
              <w:right w:val="single" w:sz="4" w:space="0" w:color="auto"/>
            </w:tcBorders>
            <w:shd w:val="clear" w:color="auto" w:fill="auto"/>
            <w:noWrap/>
            <w:hideMark/>
          </w:tcPr>
          <w:p w14:paraId="7339F264" w14:textId="77777777" w:rsidR="006F0BB0" w:rsidRPr="006F0BB0" w:rsidRDefault="006F0BB0" w:rsidP="007D1DBA">
            <w:pPr>
              <w:jc w:val="right"/>
              <w:rPr>
                <w:sz w:val="18"/>
                <w:szCs w:val="18"/>
                <w:lang w:val="es-419" w:eastAsia="es-419"/>
              </w:rPr>
            </w:pPr>
            <w:r w:rsidRPr="006F0BB0">
              <w:rPr>
                <w:sz w:val="18"/>
                <w:szCs w:val="18"/>
                <w:lang w:val="es-419" w:eastAsia="es-419"/>
              </w:rPr>
              <w:t>159 609</w:t>
            </w:r>
          </w:p>
        </w:tc>
        <w:tc>
          <w:tcPr>
            <w:tcW w:w="950" w:type="dxa"/>
            <w:tcBorders>
              <w:top w:val="nil"/>
              <w:left w:val="nil"/>
              <w:bottom w:val="single" w:sz="4" w:space="0" w:color="auto"/>
              <w:right w:val="single" w:sz="4" w:space="0" w:color="auto"/>
            </w:tcBorders>
            <w:shd w:val="clear" w:color="auto" w:fill="auto"/>
            <w:noWrap/>
            <w:hideMark/>
          </w:tcPr>
          <w:p w14:paraId="1114DC7F" w14:textId="77777777" w:rsidR="006F0BB0" w:rsidRPr="006F0BB0" w:rsidRDefault="006F0BB0" w:rsidP="007D1DBA">
            <w:pPr>
              <w:jc w:val="right"/>
              <w:rPr>
                <w:sz w:val="18"/>
                <w:szCs w:val="18"/>
                <w:lang w:val="es-419" w:eastAsia="es-419"/>
              </w:rPr>
            </w:pPr>
            <w:r w:rsidRPr="006F0BB0">
              <w:rPr>
                <w:sz w:val="18"/>
                <w:szCs w:val="18"/>
                <w:lang w:val="es-419" w:eastAsia="es-419"/>
              </w:rPr>
              <w:t>146 107</w:t>
            </w:r>
          </w:p>
        </w:tc>
        <w:tc>
          <w:tcPr>
            <w:tcW w:w="1005" w:type="dxa"/>
            <w:tcBorders>
              <w:top w:val="nil"/>
              <w:left w:val="nil"/>
              <w:bottom w:val="single" w:sz="4" w:space="0" w:color="auto"/>
              <w:right w:val="single" w:sz="4" w:space="0" w:color="auto"/>
            </w:tcBorders>
            <w:shd w:val="clear" w:color="auto" w:fill="auto"/>
            <w:noWrap/>
            <w:hideMark/>
          </w:tcPr>
          <w:p w14:paraId="685B9E05" w14:textId="77777777" w:rsidR="006F0BB0" w:rsidRPr="006F0BB0" w:rsidRDefault="006F0BB0" w:rsidP="007D1DBA">
            <w:pPr>
              <w:jc w:val="right"/>
              <w:rPr>
                <w:sz w:val="18"/>
                <w:szCs w:val="18"/>
                <w:lang w:val="es-419" w:eastAsia="es-419"/>
              </w:rPr>
            </w:pPr>
            <w:r w:rsidRPr="006F0BB0">
              <w:rPr>
                <w:sz w:val="18"/>
                <w:szCs w:val="18"/>
                <w:lang w:val="es-419" w:eastAsia="es-419"/>
              </w:rPr>
              <w:t>295 158</w:t>
            </w:r>
          </w:p>
        </w:tc>
        <w:tc>
          <w:tcPr>
            <w:tcW w:w="1181" w:type="dxa"/>
            <w:tcBorders>
              <w:top w:val="nil"/>
              <w:left w:val="nil"/>
              <w:bottom w:val="single" w:sz="4" w:space="0" w:color="auto"/>
              <w:right w:val="single" w:sz="4" w:space="0" w:color="auto"/>
            </w:tcBorders>
            <w:shd w:val="clear" w:color="auto" w:fill="auto"/>
            <w:noWrap/>
            <w:hideMark/>
          </w:tcPr>
          <w:p w14:paraId="1DCA1443" w14:textId="77777777" w:rsidR="006F0BB0" w:rsidRPr="006F0BB0" w:rsidRDefault="006F0BB0" w:rsidP="007D1DBA">
            <w:pPr>
              <w:jc w:val="right"/>
              <w:rPr>
                <w:sz w:val="18"/>
                <w:szCs w:val="18"/>
                <w:lang w:val="es-419" w:eastAsia="es-419"/>
              </w:rPr>
            </w:pPr>
            <w:r w:rsidRPr="006F0BB0">
              <w:rPr>
                <w:sz w:val="18"/>
                <w:szCs w:val="18"/>
                <w:lang w:val="es-419" w:eastAsia="es-419"/>
              </w:rPr>
              <w:t>54,1%</w:t>
            </w:r>
          </w:p>
        </w:tc>
      </w:tr>
      <w:tr w:rsidR="006F0BB0" w:rsidRPr="006F0BB0" w14:paraId="323225C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7290FB6" w14:textId="77777777" w:rsidR="006F0BB0" w:rsidRPr="006F0BB0" w:rsidRDefault="006F0BB0" w:rsidP="007D1DBA">
            <w:pPr>
              <w:jc w:val="left"/>
              <w:rPr>
                <w:sz w:val="18"/>
                <w:szCs w:val="18"/>
                <w:lang w:val="es-419" w:eastAsia="es-419"/>
              </w:rPr>
            </w:pPr>
            <w:r w:rsidRPr="006F0BB0">
              <w:rPr>
                <w:sz w:val="18"/>
                <w:szCs w:val="18"/>
                <w:lang w:val="es-419" w:eastAsia="es-419"/>
              </w:rPr>
              <w:t>Uruguay</w:t>
            </w:r>
          </w:p>
        </w:tc>
        <w:tc>
          <w:tcPr>
            <w:tcW w:w="950" w:type="dxa"/>
            <w:tcBorders>
              <w:top w:val="nil"/>
              <w:left w:val="nil"/>
              <w:bottom w:val="single" w:sz="4" w:space="0" w:color="auto"/>
              <w:right w:val="single" w:sz="4" w:space="0" w:color="auto"/>
            </w:tcBorders>
            <w:shd w:val="clear" w:color="auto" w:fill="auto"/>
            <w:noWrap/>
            <w:hideMark/>
          </w:tcPr>
          <w:p w14:paraId="5D4CA1A4" w14:textId="77777777" w:rsidR="006F0BB0" w:rsidRPr="006F0BB0" w:rsidRDefault="006F0BB0" w:rsidP="007D1DBA">
            <w:pPr>
              <w:jc w:val="right"/>
              <w:rPr>
                <w:sz w:val="18"/>
                <w:szCs w:val="18"/>
                <w:lang w:val="es-419" w:eastAsia="es-419"/>
              </w:rPr>
            </w:pPr>
            <w:r w:rsidRPr="006F0BB0">
              <w:rPr>
                <w:sz w:val="18"/>
                <w:szCs w:val="18"/>
                <w:lang w:val="es-419" w:eastAsia="es-419"/>
              </w:rPr>
              <w:t>448 663</w:t>
            </w:r>
          </w:p>
        </w:tc>
        <w:tc>
          <w:tcPr>
            <w:tcW w:w="950" w:type="dxa"/>
            <w:tcBorders>
              <w:top w:val="nil"/>
              <w:left w:val="nil"/>
              <w:bottom w:val="single" w:sz="4" w:space="0" w:color="auto"/>
              <w:right w:val="single" w:sz="4" w:space="0" w:color="auto"/>
            </w:tcBorders>
            <w:shd w:val="clear" w:color="auto" w:fill="auto"/>
            <w:noWrap/>
            <w:hideMark/>
          </w:tcPr>
          <w:p w14:paraId="5FE1F954" w14:textId="77777777" w:rsidR="006F0BB0" w:rsidRPr="006F0BB0" w:rsidRDefault="006F0BB0" w:rsidP="007D1DBA">
            <w:pPr>
              <w:jc w:val="right"/>
              <w:rPr>
                <w:sz w:val="18"/>
                <w:szCs w:val="18"/>
                <w:lang w:val="es-419" w:eastAsia="es-419"/>
              </w:rPr>
            </w:pPr>
            <w:r w:rsidRPr="006F0BB0">
              <w:rPr>
                <w:sz w:val="18"/>
                <w:szCs w:val="18"/>
                <w:lang w:val="es-419" w:eastAsia="es-419"/>
              </w:rPr>
              <w:t>462 123</w:t>
            </w:r>
          </w:p>
        </w:tc>
        <w:tc>
          <w:tcPr>
            <w:tcW w:w="950" w:type="dxa"/>
            <w:tcBorders>
              <w:top w:val="nil"/>
              <w:left w:val="nil"/>
              <w:bottom w:val="single" w:sz="4" w:space="0" w:color="auto"/>
              <w:right w:val="single" w:sz="4" w:space="0" w:color="auto"/>
            </w:tcBorders>
            <w:shd w:val="clear" w:color="auto" w:fill="auto"/>
            <w:noWrap/>
            <w:hideMark/>
          </w:tcPr>
          <w:p w14:paraId="7B26E2CE" w14:textId="77777777" w:rsidR="006F0BB0" w:rsidRPr="006F0BB0" w:rsidRDefault="006F0BB0" w:rsidP="007D1DBA">
            <w:pPr>
              <w:jc w:val="right"/>
              <w:rPr>
                <w:sz w:val="18"/>
                <w:szCs w:val="18"/>
                <w:lang w:val="es-419" w:eastAsia="es-419"/>
              </w:rPr>
            </w:pPr>
            <w:r w:rsidRPr="006F0BB0">
              <w:rPr>
                <w:sz w:val="18"/>
                <w:szCs w:val="18"/>
                <w:lang w:val="es-419" w:eastAsia="es-419"/>
              </w:rPr>
              <w:t>475 987</w:t>
            </w:r>
          </w:p>
        </w:tc>
        <w:tc>
          <w:tcPr>
            <w:tcW w:w="950" w:type="dxa"/>
            <w:tcBorders>
              <w:top w:val="nil"/>
              <w:left w:val="nil"/>
              <w:bottom w:val="single" w:sz="4" w:space="0" w:color="auto"/>
              <w:right w:val="single" w:sz="4" w:space="0" w:color="auto"/>
            </w:tcBorders>
            <w:shd w:val="clear" w:color="auto" w:fill="auto"/>
            <w:noWrap/>
            <w:hideMark/>
          </w:tcPr>
          <w:p w14:paraId="1DD7EA21" w14:textId="77777777" w:rsidR="006F0BB0" w:rsidRPr="006F0BB0" w:rsidRDefault="006F0BB0" w:rsidP="007D1DBA">
            <w:pPr>
              <w:jc w:val="right"/>
              <w:rPr>
                <w:sz w:val="18"/>
                <w:szCs w:val="18"/>
                <w:lang w:val="es-419" w:eastAsia="es-419"/>
              </w:rPr>
            </w:pPr>
            <w:r w:rsidRPr="006F0BB0">
              <w:rPr>
                <w:sz w:val="18"/>
                <w:szCs w:val="18"/>
                <w:lang w:val="es-419" w:eastAsia="es-419"/>
              </w:rPr>
              <w:t>490 266</w:t>
            </w:r>
          </w:p>
        </w:tc>
        <w:tc>
          <w:tcPr>
            <w:tcW w:w="950" w:type="dxa"/>
            <w:tcBorders>
              <w:top w:val="nil"/>
              <w:left w:val="nil"/>
              <w:bottom w:val="single" w:sz="4" w:space="0" w:color="auto"/>
              <w:right w:val="single" w:sz="4" w:space="0" w:color="auto"/>
            </w:tcBorders>
            <w:shd w:val="clear" w:color="auto" w:fill="auto"/>
            <w:noWrap/>
            <w:hideMark/>
          </w:tcPr>
          <w:p w14:paraId="7F3DC009" w14:textId="77777777" w:rsidR="006F0BB0" w:rsidRPr="006F0BB0" w:rsidRDefault="006F0BB0" w:rsidP="007D1DBA">
            <w:pPr>
              <w:jc w:val="right"/>
              <w:rPr>
                <w:sz w:val="18"/>
                <w:szCs w:val="18"/>
                <w:lang w:val="es-419" w:eastAsia="es-419"/>
              </w:rPr>
            </w:pPr>
            <w:r w:rsidRPr="006F0BB0">
              <w:rPr>
                <w:sz w:val="18"/>
                <w:szCs w:val="18"/>
                <w:lang w:val="es-419" w:eastAsia="es-419"/>
              </w:rPr>
              <w:t>504 974</w:t>
            </w:r>
          </w:p>
        </w:tc>
        <w:tc>
          <w:tcPr>
            <w:tcW w:w="950" w:type="dxa"/>
            <w:tcBorders>
              <w:top w:val="nil"/>
              <w:left w:val="nil"/>
              <w:bottom w:val="single" w:sz="4" w:space="0" w:color="auto"/>
              <w:right w:val="single" w:sz="4" w:space="0" w:color="auto"/>
            </w:tcBorders>
            <w:shd w:val="clear" w:color="auto" w:fill="auto"/>
            <w:noWrap/>
            <w:hideMark/>
          </w:tcPr>
          <w:p w14:paraId="7EFD277B" w14:textId="77777777" w:rsidR="006F0BB0" w:rsidRPr="006F0BB0" w:rsidRDefault="006F0BB0" w:rsidP="007D1DBA">
            <w:pPr>
              <w:jc w:val="right"/>
              <w:rPr>
                <w:sz w:val="18"/>
                <w:szCs w:val="18"/>
                <w:lang w:val="es-419" w:eastAsia="es-419"/>
              </w:rPr>
            </w:pPr>
            <w:r w:rsidRPr="006F0BB0">
              <w:rPr>
                <w:sz w:val="18"/>
                <w:szCs w:val="18"/>
                <w:lang w:val="es-419" w:eastAsia="es-419"/>
              </w:rPr>
              <w:t>520 123</w:t>
            </w:r>
          </w:p>
        </w:tc>
        <w:tc>
          <w:tcPr>
            <w:tcW w:w="950" w:type="dxa"/>
            <w:tcBorders>
              <w:top w:val="nil"/>
              <w:left w:val="nil"/>
              <w:bottom w:val="single" w:sz="4" w:space="0" w:color="auto"/>
              <w:right w:val="single" w:sz="4" w:space="0" w:color="auto"/>
            </w:tcBorders>
            <w:shd w:val="clear" w:color="auto" w:fill="auto"/>
            <w:noWrap/>
            <w:hideMark/>
          </w:tcPr>
          <w:p w14:paraId="50E09098" w14:textId="77777777" w:rsidR="006F0BB0" w:rsidRPr="006F0BB0" w:rsidRDefault="006F0BB0" w:rsidP="007D1DBA">
            <w:pPr>
              <w:jc w:val="right"/>
              <w:rPr>
                <w:sz w:val="18"/>
                <w:szCs w:val="18"/>
                <w:lang w:val="es-419" w:eastAsia="es-419"/>
              </w:rPr>
            </w:pPr>
            <w:r w:rsidRPr="006F0BB0">
              <w:rPr>
                <w:sz w:val="18"/>
                <w:szCs w:val="18"/>
                <w:lang w:val="es-419" w:eastAsia="es-419"/>
              </w:rPr>
              <w:t>476 125</w:t>
            </w:r>
          </w:p>
        </w:tc>
        <w:tc>
          <w:tcPr>
            <w:tcW w:w="1005" w:type="dxa"/>
            <w:tcBorders>
              <w:top w:val="nil"/>
              <w:left w:val="nil"/>
              <w:bottom w:val="single" w:sz="4" w:space="0" w:color="auto"/>
              <w:right w:val="single" w:sz="4" w:space="0" w:color="auto"/>
            </w:tcBorders>
            <w:shd w:val="clear" w:color="auto" w:fill="auto"/>
            <w:noWrap/>
            <w:hideMark/>
          </w:tcPr>
          <w:p w14:paraId="5217FB3F" w14:textId="77777777" w:rsidR="006F0BB0" w:rsidRPr="006F0BB0" w:rsidRDefault="006F0BB0" w:rsidP="007D1DBA">
            <w:pPr>
              <w:jc w:val="right"/>
              <w:rPr>
                <w:sz w:val="18"/>
                <w:szCs w:val="18"/>
                <w:lang w:val="es-419" w:eastAsia="es-419"/>
              </w:rPr>
            </w:pPr>
            <w:r w:rsidRPr="006F0BB0">
              <w:rPr>
                <w:sz w:val="18"/>
                <w:szCs w:val="18"/>
                <w:lang w:val="es-419" w:eastAsia="es-419"/>
              </w:rPr>
              <w:t>948 075</w:t>
            </w:r>
          </w:p>
        </w:tc>
        <w:tc>
          <w:tcPr>
            <w:tcW w:w="1181" w:type="dxa"/>
            <w:tcBorders>
              <w:top w:val="nil"/>
              <w:left w:val="nil"/>
              <w:bottom w:val="single" w:sz="4" w:space="0" w:color="auto"/>
              <w:right w:val="single" w:sz="4" w:space="0" w:color="auto"/>
            </w:tcBorders>
            <w:shd w:val="clear" w:color="auto" w:fill="auto"/>
            <w:noWrap/>
            <w:hideMark/>
          </w:tcPr>
          <w:p w14:paraId="7D0E8C88" w14:textId="77777777" w:rsidR="006F0BB0" w:rsidRPr="006F0BB0" w:rsidRDefault="006F0BB0" w:rsidP="007D1DBA">
            <w:pPr>
              <w:jc w:val="right"/>
              <w:rPr>
                <w:sz w:val="18"/>
                <w:szCs w:val="18"/>
                <w:lang w:val="es-419" w:eastAsia="es-419"/>
              </w:rPr>
            </w:pPr>
            <w:r w:rsidRPr="006F0BB0">
              <w:rPr>
                <w:sz w:val="18"/>
                <w:szCs w:val="18"/>
                <w:lang w:val="es-419" w:eastAsia="es-419"/>
              </w:rPr>
              <w:t>54,9%</w:t>
            </w:r>
          </w:p>
        </w:tc>
      </w:tr>
      <w:tr w:rsidR="006F0BB0" w:rsidRPr="006F0BB0" w14:paraId="1810E55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E0448B" w14:textId="77777777" w:rsidR="006F0BB0" w:rsidRPr="006F0BB0" w:rsidRDefault="006F0BB0" w:rsidP="007D1DBA">
            <w:pPr>
              <w:jc w:val="left"/>
              <w:rPr>
                <w:sz w:val="18"/>
                <w:szCs w:val="18"/>
                <w:lang w:val="es-419" w:eastAsia="es-419"/>
              </w:rPr>
            </w:pPr>
            <w:r w:rsidRPr="006F0BB0">
              <w:rPr>
                <w:sz w:val="18"/>
                <w:szCs w:val="18"/>
                <w:lang w:val="es-419" w:eastAsia="es-419"/>
              </w:rPr>
              <w:t>Burkina Faso</w:t>
            </w:r>
          </w:p>
        </w:tc>
        <w:tc>
          <w:tcPr>
            <w:tcW w:w="950" w:type="dxa"/>
            <w:tcBorders>
              <w:top w:val="nil"/>
              <w:left w:val="nil"/>
              <w:bottom w:val="single" w:sz="4" w:space="0" w:color="auto"/>
              <w:right w:val="single" w:sz="4" w:space="0" w:color="auto"/>
            </w:tcBorders>
            <w:shd w:val="clear" w:color="auto" w:fill="auto"/>
            <w:noWrap/>
            <w:hideMark/>
          </w:tcPr>
          <w:p w14:paraId="5EB26EFF" w14:textId="77777777" w:rsidR="006F0BB0" w:rsidRPr="006F0BB0" w:rsidRDefault="006F0BB0" w:rsidP="007D1DBA">
            <w:pPr>
              <w:jc w:val="right"/>
              <w:rPr>
                <w:sz w:val="18"/>
                <w:szCs w:val="18"/>
                <w:lang w:val="es-419" w:eastAsia="es-419"/>
              </w:rPr>
            </w:pPr>
            <w:r w:rsidRPr="006F0BB0">
              <w:rPr>
                <w:sz w:val="18"/>
                <w:szCs w:val="18"/>
                <w:lang w:val="es-419" w:eastAsia="es-419"/>
              </w:rPr>
              <w:t>622 456</w:t>
            </w:r>
          </w:p>
        </w:tc>
        <w:tc>
          <w:tcPr>
            <w:tcW w:w="950" w:type="dxa"/>
            <w:tcBorders>
              <w:top w:val="nil"/>
              <w:left w:val="nil"/>
              <w:bottom w:val="single" w:sz="4" w:space="0" w:color="auto"/>
              <w:right w:val="single" w:sz="4" w:space="0" w:color="auto"/>
            </w:tcBorders>
            <w:shd w:val="clear" w:color="auto" w:fill="auto"/>
            <w:noWrap/>
            <w:hideMark/>
          </w:tcPr>
          <w:p w14:paraId="7E59190E" w14:textId="77777777" w:rsidR="006F0BB0" w:rsidRPr="006F0BB0" w:rsidRDefault="006F0BB0" w:rsidP="007D1DBA">
            <w:pPr>
              <w:jc w:val="right"/>
              <w:rPr>
                <w:sz w:val="18"/>
                <w:szCs w:val="18"/>
                <w:lang w:val="es-419" w:eastAsia="es-419"/>
              </w:rPr>
            </w:pPr>
            <w:r w:rsidRPr="006F0BB0">
              <w:rPr>
                <w:sz w:val="18"/>
                <w:szCs w:val="18"/>
                <w:lang w:val="es-419" w:eastAsia="es-419"/>
              </w:rPr>
              <w:t>641 130</w:t>
            </w:r>
          </w:p>
        </w:tc>
        <w:tc>
          <w:tcPr>
            <w:tcW w:w="950" w:type="dxa"/>
            <w:tcBorders>
              <w:top w:val="nil"/>
              <w:left w:val="nil"/>
              <w:bottom w:val="single" w:sz="4" w:space="0" w:color="auto"/>
              <w:right w:val="single" w:sz="4" w:space="0" w:color="auto"/>
            </w:tcBorders>
            <w:shd w:val="clear" w:color="auto" w:fill="auto"/>
            <w:noWrap/>
            <w:hideMark/>
          </w:tcPr>
          <w:p w14:paraId="3B2327EC" w14:textId="77777777" w:rsidR="006F0BB0" w:rsidRPr="006F0BB0" w:rsidRDefault="006F0BB0" w:rsidP="007D1DBA">
            <w:pPr>
              <w:jc w:val="right"/>
              <w:rPr>
                <w:sz w:val="18"/>
                <w:szCs w:val="18"/>
                <w:lang w:val="es-419" w:eastAsia="es-419"/>
              </w:rPr>
            </w:pPr>
            <w:r w:rsidRPr="006F0BB0">
              <w:rPr>
                <w:sz w:val="18"/>
                <w:szCs w:val="18"/>
                <w:lang w:val="es-419" w:eastAsia="es-419"/>
              </w:rPr>
              <w:t>660 364</w:t>
            </w:r>
          </w:p>
        </w:tc>
        <w:tc>
          <w:tcPr>
            <w:tcW w:w="950" w:type="dxa"/>
            <w:tcBorders>
              <w:top w:val="nil"/>
              <w:left w:val="nil"/>
              <w:bottom w:val="single" w:sz="4" w:space="0" w:color="auto"/>
              <w:right w:val="single" w:sz="4" w:space="0" w:color="auto"/>
            </w:tcBorders>
            <w:shd w:val="clear" w:color="auto" w:fill="auto"/>
            <w:noWrap/>
            <w:hideMark/>
          </w:tcPr>
          <w:p w14:paraId="4EBF49B2" w14:textId="77777777" w:rsidR="006F0BB0" w:rsidRPr="006F0BB0" w:rsidRDefault="006F0BB0" w:rsidP="007D1DBA">
            <w:pPr>
              <w:jc w:val="right"/>
              <w:rPr>
                <w:sz w:val="18"/>
                <w:szCs w:val="18"/>
                <w:lang w:val="es-419" w:eastAsia="es-419"/>
              </w:rPr>
            </w:pPr>
            <w:r w:rsidRPr="006F0BB0">
              <w:rPr>
                <w:sz w:val="18"/>
                <w:szCs w:val="18"/>
                <w:lang w:val="es-419" w:eastAsia="es-419"/>
              </w:rPr>
              <w:t>680 174</w:t>
            </w:r>
          </w:p>
        </w:tc>
        <w:tc>
          <w:tcPr>
            <w:tcW w:w="950" w:type="dxa"/>
            <w:tcBorders>
              <w:top w:val="nil"/>
              <w:left w:val="nil"/>
              <w:bottom w:val="single" w:sz="4" w:space="0" w:color="auto"/>
              <w:right w:val="single" w:sz="4" w:space="0" w:color="auto"/>
            </w:tcBorders>
            <w:shd w:val="clear" w:color="auto" w:fill="auto"/>
            <w:noWrap/>
            <w:hideMark/>
          </w:tcPr>
          <w:p w14:paraId="1B7B1E03" w14:textId="77777777" w:rsidR="006F0BB0" w:rsidRPr="006F0BB0" w:rsidRDefault="006F0BB0" w:rsidP="007D1DBA">
            <w:pPr>
              <w:jc w:val="right"/>
              <w:rPr>
                <w:sz w:val="18"/>
                <w:szCs w:val="18"/>
                <w:lang w:val="es-419" w:eastAsia="es-419"/>
              </w:rPr>
            </w:pPr>
            <w:r w:rsidRPr="006F0BB0">
              <w:rPr>
                <w:sz w:val="18"/>
                <w:szCs w:val="18"/>
                <w:lang w:val="es-419" w:eastAsia="es-419"/>
              </w:rPr>
              <w:t>700 580</w:t>
            </w:r>
          </w:p>
        </w:tc>
        <w:tc>
          <w:tcPr>
            <w:tcW w:w="950" w:type="dxa"/>
            <w:tcBorders>
              <w:top w:val="nil"/>
              <w:left w:val="nil"/>
              <w:bottom w:val="single" w:sz="4" w:space="0" w:color="auto"/>
              <w:right w:val="single" w:sz="4" w:space="0" w:color="auto"/>
            </w:tcBorders>
            <w:shd w:val="clear" w:color="auto" w:fill="auto"/>
            <w:noWrap/>
            <w:hideMark/>
          </w:tcPr>
          <w:p w14:paraId="5D3B2597" w14:textId="77777777" w:rsidR="006F0BB0" w:rsidRPr="006F0BB0" w:rsidRDefault="006F0BB0" w:rsidP="007D1DBA">
            <w:pPr>
              <w:jc w:val="right"/>
              <w:rPr>
                <w:sz w:val="18"/>
                <w:szCs w:val="18"/>
                <w:lang w:val="es-419" w:eastAsia="es-419"/>
              </w:rPr>
            </w:pPr>
            <w:r w:rsidRPr="006F0BB0">
              <w:rPr>
                <w:sz w:val="18"/>
                <w:szCs w:val="18"/>
                <w:lang w:val="es-419" w:eastAsia="es-419"/>
              </w:rPr>
              <w:t>721 597</w:t>
            </w:r>
          </w:p>
        </w:tc>
        <w:tc>
          <w:tcPr>
            <w:tcW w:w="950" w:type="dxa"/>
            <w:tcBorders>
              <w:top w:val="nil"/>
              <w:left w:val="nil"/>
              <w:bottom w:val="single" w:sz="4" w:space="0" w:color="auto"/>
              <w:right w:val="single" w:sz="4" w:space="0" w:color="auto"/>
            </w:tcBorders>
            <w:shd w:val="clear" w:color="auto" w:fill="auto"/>
            <w:noWrap/>
            <w:hideMark/>
          </w:tcPr>
          <w:p w14:paraId="411DFD27" w14:textId="77777777" w:rsidR="006F0BB0" w:rsidRPr="006F0BB0" w:rsidRDefault="006F0BB0" w:rsidP="007D1DBA">
            <w:pPr>
              <w:jc w:val="right"/>
              <w:rPr>
                <w:sz w:val="18"/>
                <w:szCs w:val="18"/>
                <w:lang w:val="es-419" w:eastAsia="es-419"/>
              </w:rPr>
            </w:pPr>
            <w:r w:rsidRPr="006F0BB0">
              <w:rPr>
                <w:sz w:val="18"/>
                <w:szCs w:val="18"/>
                <w:lang w:val="es-419" w:eastAsia="es-419"/>
              </w:rPr>
              <w:t>660 556</w:t>
            </w:r>
          </w:p>
        </w:tc>
        <w:tc>
          <w:tcPr>
            <w:tcW w:w="1005" w:type="dxa"/>
            <w:tcBorders>
              <w:top w:val="nil"/>
              <w:left w:val="nil"/>
              <w:bottom w:val="single" w:sz="4" w:space="0" w:color="auto"/>
              <w:right w:val="single" w:sz="4" w:space="0" w:color="auto"/>
            </w:tcBorders>
            <w:shd w:val="clear" w:color="auto" w:fill="auto"/>
            <w:noWrap/>
            <w:hideMark/>
          </w:tcPr>
          <w:p w14:paraId="36859F34" w14:textId="77777777" w:rsidR="006F0BB0" w:rsidRPr="006F0BB0" w:rsidRDefault="006F0BB0" w:rsidP="007D1DBA">
            <w:pPr>
              <w:jc w:val="right"/>
              <w:rPr>
                <w:sz w:val="18"/>
                <w:szCs w:val="18"/>
                <w:lang w:val="es-419" w:eastAsia="es-419"/>
              </w:rPr>
            </w:pPr>
            <w:r w:rsidRPr="006F0BB0">
              <w:rPr>
                <w:sz w:val="18"/>
                <w:szCs w:val="18"/>
                <w:lang w:val="es-419" w:eastAsia="es-419"/>
              </w:rPr>
              <w:t>1 278 365</w:t>
            </w:r>
          </w:p>
        </w:tc>
        <w:tc>
          <w:tcPr>
            <w:tcW w:w="1181" w:type="dxa"/>
            <w:tcBorders>
              <w:top w:val="nil"/>
              <w:left w:val="nil"/>
              <w:bottom w:val="single" w:sz="4" w:space="0" w:color="auto"/>
              <w:right w:val="single" w:sz="4" w:space="0" w:color="auto"/>
            </w:tcBorders>
            <w:shd w:val="clear" w:color="auto" w:fill="auto"/>
            <w:noWrap/>
            <w:hideMark/>
          </w:tcPr>
          <w:p w14:paraId="3F396628" w14:textId="77777777" w:rsidR="006F0BB0" w:rsidRPr="006F0BB0" w:rsidRDefault="006F0BB0" w:rsidP="007D1DBA">
            <w:pPr>
              <w:jc w:val="right"/>
              <w:rPr>
                <w:sz w:val="18"/>
                <w:szCs w:val="18"/>
                <w:lang w:val="es-419" w:eastAsia="es-419"/>
              </w:rPr>
            </w:pPr>
            <w:r w:rsidRPr="006F0BB0">
              <w:rPr>
                <w:sz w:val="18"/>
                <w:szCs w:val="18"/>
                <w:lang w:val="es-419" w:eastAsia="es-419"/>
              </w:rPr>
              <w:t>56,4%</w:t>
            </w:r>
          </w:p>
        </w:tc>
      </w:tr>
      <w:tr w:rsidR="006F0BB0" w:rsidRPr="006F0BB0" w14:paraId="208F49A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3A5DFE" w14:textId="77777777" w:rsidR="006F0BB0" w:rsidRPr="006F0BB0" w:rsidRDefault="006F0BB0" w:rsidP="007D1DBA">
            <w:pPr>
              <w:jc w:val="left"/>
              <w:rPr>
                <w:sz w:val="18"/>
                <w:szCs w:val="18"/>
                <w:lang w:val="es-419" w:eastAsia="es-419"/>
              </w:rPr>
            </w:pPr>
            <w:r w:rsidRPr="006F0BB0">
              <w:rPr>
                <w:sz w:val="18"/>
                <w:szCs w:val="18"/>
                <w:lang w:val="es-419" w:eastAsia="es-419"/>
              </w:rPr>
              <w:t>Haití</w:t>
            </w:r>
          </w:p>
        </w:tc>
        <w:tc>
          <w:tcPr>
            <w:tcW w:w="950" w:type="dxa"/>
            <w:tcBorders>
              <w:top w:val="nil"/>
              <w:left w:val="nil"/>
              <w:bottom w:val="single" w:sz="4" w:space="0" w:color="auto"/>
              <w:right w:val="single" w:sz="4" w:space="0" w:color="auto"/>
            </w:tcBorders>
            <w:shd w:val="clear" w:color="auto" w:fill="auto"/>
            <w:noWrap/>
            <w:hideMark/>
          </w:tcPr>
          <w:p w14:paraId="6934C5FE" w14:textId="77777777" w:rsidR="006F0BB0" w:rsidRPr="006F0BB0" w:rsidRDefault="006F0BB0" w:rsidP="007D1DBA">
            <w:pPr>
              <w:jc w:val="right"/>
              <w:rPr>
                <w:sz w:val="18"/>
                <w:szCs w:val="18"/>
                <w:lang w:val="es-419" w:eastAsia="es-419"/>
              </w:rPr>
            </w:pPr>
            <w:r w:rsidRPr="006F0BB0">
              <w:rPr>
                <w:sz w:val="18"/>
                <w:szCs w:val="18"/>
                <w:lang w:val="es-419" w:eastAsia="es-419"/>
              </w:rPr>
              <w:t>93 303</w:t>
            </w:r>
          </w:p>
        </w:tc>
        <w:tc>
          <w:tcPr>
            <w:tcW w:w="950" w:type="dxa"/>
            <w:tcBorders>
              <w:top w:val="nil"/>
              <w:left w:val="nil"/>
              <w:bottom w:val="single" w:sz="4" w:space="0" w:color="auto"/>
              <w:right w:val="single" w:sz="4" w:space="0" w:color="auto"/>
            </w:tcBorders>
            <w:shd w:val="clear" w:color="auto" w:fill="auto"/>
            <w:noWrap/>
            <w:hideMark/>
          </w:tcPr>
          <w:p w14:paraId="289C909E" w14:textId="77777777" w:rsidR="006F0BB0" w:rsidRPr="006F0BB0" w:rsidRDefault="006F0BB0" w:rsidP="007D1DBA">
            <w:pPr>
              <w:jc w:val="right"/>
              <w:rPr>
                <w:sz w:val="18"/>
                <w:szCs w:val="18"/>
                <w:lang w:val="es-419" w:eastAsia="es-419"/>
              </w:rPr>
            </w:pPr>
            <w:r w:rsidRPr="006F0BB0">
              <w:rPr>
                <w:sz w:val="18"/>
                <w:szCs w:val="18"/>
                <w:lang w:val="es-419" w:eastAsia="es-419"/>
              </w:rPr>
              <w:t>96 102</w:t>
            </w:r>
          </w:p>
        </w:tc>
        <w:tc>
          <w:tcPr>
            <w:tcW w:w="950" w:type="dxa"/>
            <w:tcBorders>
              <w:top w:val="nil"/>
              <w:left w:val="nil"/>
              <w:bottom w:val="single" w:sz="4" w:space="0" w:color="auto"/>
              <w:right w:val="single" w:sz="4" w:space="0" w:color="auto"/>
            </w:tcBorders>
            <w:shd w:val="clear" w:color="auto" w:fill="auto"/>
            <w:noWrap/>
            <w:hideMark/>
          </w:tcPr>
          <w:p w14:paraId="1964D418" w14:textId="77777777" w:rsidR="006F0BB0" w:rsidRPr="006F0BB0" w:rsidRDefault="006F0BB0" w:rsidP="007D1DBA">
            <w:pPr>
              <w:jc w:val="right"/>
              <w:rPr>
                <w:sz w:val="18"/>
                <w:szCs w:val="18"/>
                <w:lang w:val="es-419" w:eastAsia="es-419"/>
              </w:rPr>
            </w:pPr>
            <w:r w:rsidRPr="006F0BB0">
              <w:rPr>
                <w:sz w:val="18"/>
                <w:szCs w:val="18"/>
                <w:lang w:val="es-419" w:eastAsia="es-419"/>
              </w:rPr>
              <w:t>98 985</w:t>
            </w:r>
          </w:p>
        </w:tc>
        <w:tc>
          <w:tcPr>
            <w:tcW w:w="950" w:type="dxa"/>
            <w:tcBorders>
              <w:top w:val="nil"/>
              <w:left w:val="nil"/>
              <w:bottom w:val="single" w:sz="4" w:space="0" w:color="auto"/>
              <w:right w:val="single" w:sz="4" w:space="0" w:color="auto"/>
            </w:tcBorders>
            <w:shd w:val="clear" w:color="auto" w:fill="auto"/>
            <w:noWrap/>
            <w:hideMark/>
          </w:tcPr>
          <w:p w14:paraId="4C295643" w14:textId="77777777" w:rsidR="006F0BB0" w:rsidRPr="006F0BB0" w:rsidRDefault="006F0BB0" w:rsidP="007D1DBA">
            <w:pPr>
              <w:jc w:val="right"/>
              <w:rPr>
                <w:sz w:val="18"/>
                <w:szCs w:val="18"/>
                <w:lang w:val="es-419" w:eastAsia="es-419"/>
              </w:rPr>
            </w:pPr>
            <w:r w:rsidRPr="006F0BB0">
              <w:rPr>
                <w:sz w:val="18"/>
                <w:szCs w:val="18"/>
                <w:lang w:val="es-419" w:eastAsia="es-419"/>
              </w:rPr>
              <w:t>101 955</w:t>
            </w:r>
          </w:p>
        </w:tc>
        <w:tc>
          <w:tcPr>
            <w:tcW w:w="950" w:type="dxa"/>
            <w:tcBorders>
              <w:top w:val="nil"/>
              <w:left w:val="nil"/>
              <w:bottom w:val="single" w:sz="4" w:space="0" w:color="auto"/>
              <w:right w:val="single" w:sz="4" w:space="0" w:color="auto"/>
            </w:tcBorders>
            <w:shd w:val="clear" w:color="auto" w:fill="auto"/>
            <w:noWrap/>
            <w:hideMark/>
          </w:tcPr>
          <w:p w14:paraId="68DF355C" w14:textId="77777777" w:rsidR="006F0BB0" w:rsidRPr="006F0BB0" w:rsidRDefault="006F0BB0" w:rsidP="007D1DBA">
            <w:pPr>
              <w:jc w:val="right"/>
              <w:rPr>
                <w:sz w:val="18"/>
                <w:szCs w:val="18"/>
                <w:lang w:val="es-419" w:eastAsia="es-419"/>
              </w:rPr>
            </w:pPr>
            <w:r w:rsidRPr="006F0BB0">
              <w:rPr>
                <w:sz w:val="18"/>
                <w:szCs w:val="18"/>
                <w:lang w:val="es-419" w:eastAsia="es-419"/>
              </w:rPr>
              <w:t>105 013</w:t>
            </w:r>
          </w:p>
        </w:tc>
        <w:tc>
          <w:tcPr>
            <w:tcW w:w="950" w:type="dxa"/>
            <w:tcBorders>
              <w:top w:val="nil"/>
              <w:left w:val="nil"/>
              <w:bottom w:val="single" w:sz="4" w:space="0" w:color="auto"/>
              <w:right w:val="single" w:sz="4" w:space="0" w:color="auto"/>
            </w:tcBorders>
            <w:shd w:val="clear" w:color="auto" w:fill="auto"/>
            <w:noWrap/>
            <w:hideMark/>
          </w:tcPr>
          <w:p w14:paraId="560EEF46" w14:textId="77777777" w:rsidR="006F0BB0" w:rsidRPr="006F0BB0" w:rsidRDefault="006F0BB0" w:rsidP="007D1DBA">
            <w:pPr>
              <w:jc w:val="right"/>
              <w:rPr>
                <w:sz w:val="18"/>
                <w:szCs w:val="18"/>
                <w:lang w:val="es-419" w:eastAsia="es-419"/>
              </w:rPr>
            </w:pPr>
            <w:r w:rsidRPr="006F0BB0">
              <w:rPr>
                <w:sz w:val="18"/>
                <w:szCs w:val="18"/>
                <w:lang w:val="es-419" w:eastAsia="es-419"/>
              </w:rPr>
              <w:t>108 164</w:t>
            </w:r>
          </w:p>
        </w:tc>
        <w:tc>
          <w:tcPr>
            <w:tcW w:w="950" w:type="dxa"/>
            <w:tcBorders>
              <w:top w:val="nil"/>
              <w:left w:val="nil"/>
              <w:bottom w:val="single" w:sz="4" w:space="0" w:color="auto"/>
              <w:right w:val="single" w:sz="4" w:space="0" w:color="auto"/>
            </w:tcBorders>
            <w:shd w:val="clear" w:color="auto" w:fill="auto"/>
            <w:noWrap/>
            <w:hideMark/>
          </w:tcPr>
          <w:p w14:paraId="15FE3D01" w14:textId="77777777" w:rsidR="006F0BB0" w:rsidRPr="006F0BB0" w:rsidRDefault="006F0BB0" w:rsidP="007D1DBA">
            <w:pPr>
              <w:jc w:val="right"/>
              <w:rPr>
                <w:sz w:val="18"/>
                <w:szCs w:val="18"/>
                <w:lang w:val="es-419" w:eastAsia="es-419"/>
              </w:rPr>
            </w:pPr>
            <w:r w:rsidRPr="006F0BB0">
              <w:rPr>
                <w:sz w:val="18"/>
                <w:szCs w:val="18"/>
                <w:lang w:val="es-419" w:eastAsia="es-419"/>
              </w:rPr>
              <w:t>99 014</w:t>
            </w:r>
          </w:p>
        </w:tc>
        <w:tc>
          <w:tcPr>
            <w:tcW w:w="1005" w:type="dxa"/>
            <w:tcBorders>
              <w:top w:val="nil"/>
              <w:left w:val="nil"/>
              <w:bottom w:val="single" w:sz="4" w:space="0" w:color="auto"/>
              <w:right w:val="single" w:sz="4" w:space="0" w:color="auto"/>
            </w:tcBorders>
            <w:shd w:val="clear" w:color="auto" w:fill="auto"/>
            <w:noWrap/>
            <w:hideMark/>
          </w:tcPr>
          <w:p w14:paraId="55770A68" w14:textId="77777777" w:rsidR="006F0BB0" w:rsidRPr="006F0BB0" w:rsidRDefault="006F0BB0" w:rsidP="007D1DBA">
            <w:pPr>
              <w:jc w:val="right"/>
              <w:rPr>
                <w:sz w:val="18"/>
                <w:szCs w:val="18"/>
                <w:lang w:val="es-419" w:eastAsia="es-419"/>
              </w:rPr>
            </w:pPr>
            <w:r w:rsidRPr="006F0BB0">
              <w:rPr>
                <w:sz w:val="18"/>
                <w:szCs w:val="18"/>
                <w:lang w:val="es-419" w:eastAsia="es-419"/>
              </w:rPr>
              <w:t>176 663</w:t>
            </w:r>
          </w:p>
        </w:tc>
        <w:tc>
          <w:tcPr>
            <w:tcW w:w="1181" w:type="dxa"/>
            <w:tcBorders>
              <w:top w:val="nil"/>
              <w:left w:val="nil"/>
              <w:bottom w:val="single" w:sz="4" w:space="0" w:color="auto"/>
              <w:right w:val="single" w:sz="4" w:space="0" w:color="auto"/>
            </w:tcBorders>
            <w:shd w:val="clear" w:color="auto" w:fill="auto"/>
            <w:noWrap/>
            <w:hideMark/>
          </w:tcPr>
          <w:p w14:paraId="52D716B7" w14:textId="77777777" w:rsidR="006F0BB0" w:rsidRPr="006F0BB0" w:rsidRDefault="006F0BB0" w:rsidP="007D1DBA">
            <w:pPr>
              <w:jc w:val="right"/>
              <w:rPr>
                <w:sz w:val="18"/>
                <w:szCs w:val="18"/>
                <w:lang w:val="es-419" w:eastAsia="es-419"/>
              </w:rPr>
            </w:pPr>
            <w:r w:rsidRPr="006F0BB0">
              <w:rPr>
                <w:sz w:val="18"/>
                <w:szCs w:val="18"/>
                <w:lang w:val="es-419" w:eastAsia="es-419"/>
              </w:rPr>
              <w:t>61,2%</w:t>
            </w:r>
          </w:p>
        </w:tc>
      </w:tr>
      <w:tr w:rsidR="006F0BB0" w:rsidRPr="006F0BB0" w14:paraId="469D770A"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08E648" w14:textId="77777777" w:rsidR="006F0BB0" w:rsidRPr="006F0BB0" w:rsidRDefault="006F0BB0" w:rsidP="007D1DBA">
            <w:pPr>
              <w:jc w:val="left"/>
              <w:rPr>
                <w:sz w:val="18"/>
                <w:szCs w:val="18"/>
                <w:lang w:val="es-419" w:eastAsia="es-419"/>
              </w:rPr>
            </w:pPr>
            <w:r w:rsidRPr="006F0BB0">
              <w:rPr>
                <w:sz w:val="18"/>
                <w:szCs w:val="18"/>
                <w:lang w:val="es-419" w:eastAsia="es-419"/>
              </w:rPr>
              <w:t>Sri Lanka</w:t>
            </w:r>
          </w:p>
        </w:tc>
        <w:tc>
          <w:tcPr>
            <w:tcW w:w="950" w:type="dxa"/>
            <w:tcBorders>
              <w:top w:val="nil"/>
              <w:left w:val="nil"/>
              <w:bottom w:val="single" w:sz="4" w:space="0" w:color="auto"/>
              <w:right w:val="single" w:sz="4" w:space="0" w:color="auto"/>
            </w:tcBorders>
            <w:shd w:val="clear" w:color="auto" w:fill="auto"/>
            <w:noWrap/>
            <w:hideMark/>
          </w:tcPr>
          <w:p w14:paraId="5477197E" w14:textId="77777777" w:rsidR="006F0BB0" w:rsidRPr="006F0BB0" w:rsidRDefault="006F0BB0" w:rsidP="007D1DBA">
            <w:pPr>
              <w:jc w:val="right"/>
              <w:rPr>
                <w:sz w:val="18"/>
                <w:szCs w:val="18"/>
                <w:lang w:val="es-419" w:eastAsia="es-419"/>
              </w:rPr>
            </w:pPr>
            <w:r w:rsidRPr="006F0BB0">
              <w:rPr>
                <w:sz w:val="18"/>
                <w:szCs w:val="18"/>
                <w:lang w:val="es-419" w:eastAsia="es-419"/>
              </w:rPr>
              <w:t>331 622</w:t>
            </w:r>
          </w:p>
        </w:tc>
        <w:tc>
          <w:tcPr>
            <w:tcW w:w="950" w:type="dxa"/>
            <w:tcBorders>
              <w:top w:val="nil"/>
              <w:left w:val="nil"/>
              <w:bottom w:val="single" w:sz="4" w:space="0" w:color="auto"/>
              <w:right w:val="single" w:sz="4" w:space="0" w:color="auto"/>
            </w:tcBorders>
            <w:shd w:val="clear" w:color="auto" w:fill="auto"/>
            <w:noWrap/>
            <w:hideMark/>
          </w:tcPr>
          <w:p w14:paraId="7819DF98" w14:textId="77777777" w:rsidR="006F0BB0" w:rsidRPr="006F0BB0" w:rsidRDefault="006F0BB0" w:rsidP="007D1DBA">
            <w:pPr>
              <w:jc w:val="right"/>
              <w:rPr>
                <w:sz w:val="18"/>
                <w:szCs w:val="18"/>
                <w:lang w:val="es-419" w:eastAsia="es-419"/>
              </w:rPr>
            </w:pPr>
            <w:r w:rsidRPr="006F0BB0">
              <w:rPr>
                <w:sz w:val="18"/>
                <w:szCs w:val="18"/>
                <w:lang w:val="es-419" w:eastAsia="es-419"/>
              </w:rPr>
              <w:t>341 571</w:t>
            </w:r>
          </w:p>
        </w:tc>
        <w:tc>
          <w:tcPr>
            <w:tcW w:w="950" w:type="dxa"/>
            <w:tcBorders>
              <w:top w:val="nil"/>
              <w:left w:val="nil"/>
              <w:bottom w:val="single" w:sz="4" w:space="0" w:color="auto"/>
              <w:right w:val="single" w:sz="4" w:space="0" w:color="auto"/>
            </w:tcBorders>
            <w:shd w:val="clear" w:color="auto" w:fill="auto"/>
            <w:noWrap/>
            <w:hideMark/>
          </w:tcPr>
          <w:p w14:paraId="13A3CED8" w14:textId="77777777" w:rsidR="006F0BB0" w:rsidRPr="006F0BB0" w:rsidRDefault="006F0BB0" w:rsidP="007D1DBA">
            <w:pPr>
              <w:jc w:val="right"/>
              <w:rPr>
                <w:sz w:val="18"/>
                <w:szCs w:val="18"/>
                <w:lang w:val="es-419" w:eastAsia="es-419"/>
              </w:rPr>
            </w:pPr>
            <w:r w:rsidRPr="006F0BB0">
              <w:rPr>
                <w:sz w:val="18"/>
                <w:szCs w:val="18"/>
                <w:lang w:val="es-419" w:eastAsia="es-419"/>
              </w:rPr>
              <w:t>351 818</w:t>
            </w:r>
          </w:p>
        </w:tc>
        <w:tc>
          <w:tcPr>
            <w:tcW w:w="950" w:type="dxa"/>
            <w:tcBorders>
              <w:top w:val="nil"/>
              <w:left w:val="nil"/>
              <w:bottom w:val="single" w:sz="4" w:space="0" w:color="auto"/>
              <w:right w:val="single" w:sz="4" w:space="0" w:color="auto"/>
            </w:tcBorders>
            <w:shd w:val="clear" w:color="auto" w:fill="auto"/>
            <w:noWrap/>
            <w:hideMark/>
          </w:tcPr>
          <w:p w14:paraId="0E42FB6E" w14:textId="77777777" w:rsidR="006F0BB0" w:rsidRPr="006F0BB0" w:rsidRDefault="006F0BB0" w:rsidP="007D1DBA">
            <w:pPr>
              <w:jc w:val="right"/>
              <w:rPr>
                <w:sz w:val="18"/>
                <w:szCs w:val="18"/>
                <w:lang w:val="es-419" w:eastAsia="es-419"/>
              </w:rPr>
            </w:pPr>
            <w:r w:rsidRPr="006F0BB0">
              <w:rPr>
                <w:sz w:val="18"/>
                <w:szCs w:val="18"/>
                <w:lang w:val="es-419" w:eastAsia="es-419"/>
              </w:rPr>
              <w:t>362 372</w:t>
            </w:r>
          </w:p>
        </w:tc>
        <w:tc>
          <w:tcPr>
            <w:tcW w:w="950" w:type="dxa"/>
            <w:tcBorders>
              <w:top w:val="nil"/>
              <w:left w:val="nil"/>
              <w:bottom w:val="single" w:sz="4" w:space="0" w:color="auto"/>
              <w:right w:val="single" w:sz="4" w:space="0" w:color="auto"/>
            </w:tcBorders>
            <w:shd w:val="clear" w:color="auto" w:fill="auto"/>
            <w:noWrap/>
            <w:hideMark/>
          </w:tcPr>
          <w:p w14:paraId="3AB45EF6" w14:textId="77777777" w:rsidR="006F0BB0" w:rsidRPr="006F0BB0" w:rsidRDefault="006F0BB0" w:rsidP="007D1DBA">
            <w:pPr>
              <w:jc w:val="right"/>
              <w:rPr>
                <w:sz w:val="18"/>
                <w:szCs w:val="18"/>
                <w:lang w:val="es-419" w:eastAsia="es-419"/>
              </w:rPr>
            </w:pPr>
            <w:r w:rsidRPr="006F0BB0">
              <w:rPr>
                <w:sz w:val="18"/>
                <w:szCs w:val="18"/>
                <w:lang w:val="es-419" w:eastAsia="es-419"/>
              </w:rPr>
              <w:t>373 243</w:t>
            </w:r>
          </w:p>
        </w:tc>
        <w:tc>
          <w:tcPr>
            <w:tcW w:w="950" w:type="dxa"/>
            <w:tcBorders>
              <w:top w:val="nil"/>
              <w:left w:val="nil"/>
              <w:bottom w:val="single" w:sz="4" w:space="0" w:color="auto"/>
              <w:right w:val="single" w:sz="4" w:space="0" w:color="auto"/>
            </w:tcBorders>
            <w:shd w:val="clear" w:color="auto" w:fill="auto"/>
            <w:noWrap/>
            <w:hideMark/>
          </w:tcPr>
          <w:p w14:paraId="34ABDF74" w14:textId="77777777" w:rsidR="006F0BB0" w:rsidRPr="006F0BB0" w:rsidRDefault="006F0BB0" w:rsidP="007D1DBA">
            <w:pPr>
              <w:jc w:val="right"/>
              <w:rPr>
                <w:sz w:val="18"/>
                <w:szCs w:val="18"/>
                <w:lang w:val="es-419" w:eastAsia="es-419"/>
              </w:rPr>
            </w:pPr>
            <w:r w:rsidRPr="006F0BB0">
              <w:rPr>
                <w:sz w:val="18"/>
                <w:szCs w:val="18"/>
                <w:lang w:val="es-419" w:eastAsia="es-419"/>
              </w:rPr>
              <w:t>384 441</w:t>
            </w:r>
          </w:p>
        </w:tc>
        <w:tc>
          <w:tcPr>
            <w:tcW w:w="950" w:type="dxa"/>
            <w:tcBorders>
              <w:top w:val="nil"/>
              <w:left w:val="nil"/>
              <w:bottom w:val="single" w:sz="4" w:space="0" w:color="auto"/>
              <w:right w:val="single" w:sz="4" w:space="0" w:color="auto"/>
            </w:tcBorders>
            <w:shd w:val="clear" w:color="auto" w:fill="auto"/>
            <w:noWrap/>
            <w:hideMark/>
          </w:tcPr>
          <w:p w14:paraId="40A8480C" w14:textId="77777777" w:rsidR="006F0BB0" w:rsidRPr="006F0BB0" w:rsidRDefault="006F0BB0" w:rsidP="007D1DBA">
            <w:pPr>
              <w:jc w:val="right"/>
              <w:rPr>
                <w:sz w:val="18"/>
                <w:szCs w:val="18"/>
                <w:lang w:val="es-419" w:eastAsia="es-419"/>
              </w:rPr>
            </w:pPr>
            <w:r w:rsidRPr="006F0BB0">
              <w:rPr>
                <w:sz w:val="18"/>
                <w:szCs w:val="18"/>
                <w:lang w:val="es-419" w:eastAsia="es-419"/>
              </w:rPr>
              <w:t>351 920</w:t>
            </w:r>
          </w:p>
        </w:tc>
        <w:tc>
          <w:tcPr>
            <w:tcW w:w="1005" w:type="dxa"/>
            <w:tcBorders>
              <w:top w:val="nil"/>
              <w:left w:val="nil"/>
              <w:bottom w:val="single" w:sz="4" w:space="0" w:color="auto"/>
              <w:right w:val="single" w:sz="4" w:space="0" w:color="auto"/>
            </w:tcBorders>
            <w:shd w:val="clear" w:color="auto" w:fill="auto"/>
            <w:noWrap/>
            <w:hideMark/>
          </w:tcPr>
          <w:p w14:paraId="12E0C536" w14:textId="77777777" w:rsidR="006F0BB0" w:rsidRPr="006F0BB0" w:rsidRDefault="006F0BB0" w:rsidP="007D1DBA">
            <w:pPr>
              <w:jc w:val="right"/>
              <w:rPr>
                <w:sz w:val="18"/>
                <w:szCs w:val="18"/>
                <w:lang w:val="es-419" w:eastAsia="es-419"/>
              </w:rPr>
            </w:pPr>
            <w:r w:rsidRPr="006F0BB0">
              <w:rPr>
                <w:sz w:val="18"/>
                <w:szCs w:val="18"/>
                <w:lang w:val="es-419" w:eastAsia="es-419"/>
              </w:rPr>
              <w:t>616 785</w:t>
            </w:r>
          </w:p>
        </w:tc>
        <w:tc>
          <w:tcPr>
            <w:tcW w:w="1181" w:type="dxa"/>
            <w:tcBorders>
              <w:top w:val="nil"/>
              <w:left w:val="nil"/>
              <w:bottom w:val="single" w:sz="4" w:space="0" w:color="auto"/>
              <w:right w:val="single" w:sz="4" w:space="0" w:color="auto"/>
            </w:tcBorders>
            <w:shd w:val="clear" w:color="auto" w:fill="auto"/>
            <w:noWrap/>
            <w:hideMark/>
          </w:tcPr>
          <w:p w14:paraId="53FA5BB8" w14:textId="77777777" w:rsidR="006F0BB0" w:rsidRPr="006F0BB0" w:rsidRDefault="006F0BB0" w:rsidP="007D1DBA">
            <w:pPr>
              <w:jc w:val="right"/>
              <w:rPr>
                <w:sz w:val="18"/>
                <w:szCs w:val="18"/>
                <w:lang w:val="es-419" w:eastAsia="es-419"/>
              </w:rPr>
            </w:pPr>
            <w:r w:rsidRPr="006F0BB0">
              <w:rPr>
                <w:sz w:val="18"/>
                <w:szCs w:val="18"/>
                <w:lang w:val="es-419" w:eastAsia="es-419"/>
              </w:rPr>
              <w:t>62,3%</w:t>
            </w:r>
          </w:p>
        </w:tc>
      </w:tr>
      <w:tr w:rsidR="006F0BB0" w:rsidRPr="006F0BB0" w14:paraId="3D94B04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EC8244" w14:textId="77777777" w:rsidR="006F0BB0" w:rsidRPr="006F0BB0" w:rsidRDefault="006F0BB0" w:rsidP="007D1DBA">
            <w:pPr>
              <w:jc w:val="left"/>
              <w:rPr>
                <w:sz w:val="18"/>
                <w:szCs w:val="18"/>
                <w:lang w:val="es-419" w:eastAsia="es-419"/>
              </w:rPr>
            </w:pPr>
            <w:r w:rsidRPr="006F0BB0">
              <w:rPr>
                <w:sz w:val="18"/>
                <w:szCs w:val="18"/>
                <w:lang w:val="es-419" w:eastAsia="es-419"/>
              </w:rPr>
              <w:t>Timor Leste</w:t>
            </w:r>
          </w:p>
        </w:tc>
        <w:tc>
          <w:tcPr>
            <w:tcW w:w="950" w:type="dxa"/>
            <w:tcBorders>
              <w:top w:val="nil"/>
              <w:left w:val="nil"/>
              <w:bottom w:val="single" w:sz="4" w:space="0" w:color="auto"/>
              <w:right w:val="single" w:sz="4" w:space="0" w:color="auto"/>
            </w:tcBorders>
            <w:shd w:val="clear" w:color="auto" w:fill="auto"/>
            <w:noWrap/>
            <w:hideMark/>
          </w:tcPr>
          <w:p w14:paraId="094E370F" w14:textId="77777777" w:rsidR="006F0BB0" w:rsidRPr="006F0BB0" w:rsidRDefault="006F0BB0" w:rsidP="007D1DBA">
            <w:pPr>
              <w:jc w:val="right"/>
              <w:rPr>
                <w:sz w:val="18"/>
                <w:szCs w:val="18"/>
                <w:lang w:val="es-419" w:eastAsia="es-419"/>
              </w:rPr>
            </w:pPr>
            <w:r w:rsidRPr="006F0BB0">
              <w:rPr>
                <w:sz w:val="18"/>
                <w:szCs w:val="18"/>
                <w:lang w:val="es-419" w:eastAsia="es-419"/>
              </w:rPr>
              <w:t>13 645</w:t>
            </w:r>
          </w:p>
        </w:tc>
        <w:tc>
          <w:tcPr>
            <w:tcW w:w="950" w:type="dxa"/>
            <w:tcBorders>
              <w:top w:val="nil"/>
              <w:left w:val="nil"/>
              <w:bottom w:val="single" w:sz="4" w:space="0" w:color="auto"/>
              <w:right w:val="single" w:sz="4" w:space="0" w:color="auto"/>
            </w:tcBorders>
            <w:shd w:val="clear" w:color="auto" w:fill="auto"/>
            <w:noWrap/>
            <w:hideMark/>
          </w:tcPr>
          <w:p w14:paraId="18A2F173" w14:textId="77777777" w:rsidR="006F0BB0" w:rsidRPr="006F0BB0" w:rsidRDefault="006F0BB0" w:rsidP="007D1DBA">
            <w:pPr>
              <w:jc w:val="right"/>
              <w:rPr>
                <w:sz w:val="18"/>
                <w:szCs w:val="18"/>
                <w:lang w:val="es-419" w:eastAsia="es-419"/>
              </w:rPr>
            </w:pPr>
            <w:r w:rsidRPr="006F0BB0">
              <w:rPr>
                <w:sz w:val="18"/>
                <w:szCs w:val="18"/>
                <w:lang w:val="es-419" w:eastAsia="es-419"/>
              </w:rPr>
              <w:t>14 054</w:t>
            </w:r>
          </w:p>
        </w:tc>
        <w:tc>
          <w:tcPr>
            <w:tcW w:w="950" w:type="dxa"/>
            <w:tcBorders>
              <w:top w:val="nil"/>
              <w:left w:val="nil"/>
              <w:bottom w:val="single" w:sz="4" w:space="0" w:color="auto"/>
              <w:right w:val="single" w:sz="4" w:space="0" w:color="auto"/>
            </w:tcBorders>
            <w:shd w:val="clear" w:color="auto" w:fill="auto"/>
            <w:noWrap/>
            <w:hideMark/>
          </w:tcPr>
          <w:p w14:paraId="3E1588B1" w14:textId="77777777" w:rsidR="006F0BB0" w:rsidRPr="006F0BB0" w:rsidRDefault="006F0BB0" w:rsidP="007D1DBA">
            <w:pPr>
              <w:jc w:val="right"/>
              <w:rPr>
                <w:sz w:val="18"/>
                <w:szCs w:val="18"/>
                <w:lang w:val="es-419" w:eastAsia="es-419"/>
              </w:rPr>
            </w:pPr>
            <w:r w:rsidRPr="006F0BB0">
              <w:rPr>
                <w:sz w:val="18"/>
                <w:szCs w:val="18"/>
                <w:lang w:val="es-419" w:eastAsia="es-419"/>
              </w:rPr>
              <w:t>14 476</w:t>
            </w:r>
          </w:p>
        </w:tc>
        <w:tc>
          <w:tcPr>
            <w:tcW w:w="950" w:type="dxa"/>
            <w:tcBorders>
              <w:top w:val="nil"/>
              <w:left w:val="nil"/>
              <w:bottom w:val="single" w:sz="4" w:space="0" w:color="auto"/>
              <w:right w:val="single" w:sz="4" w:space="0" w:color="auto"/>
            </w:tcBorders>
            <w:shd w:val="clear" w:color="auto" w:fill="auto"/>
            <w:noWrap/>
            <w:hideMark/>
          </w:tcPr>
          <w:p w14:paraId="5B29C5D1" w14:textId="77777777" w:rsidR="006F0BB0" w:rsidRPr="006F0BB0" w:rsidRDefault="006F0BB0" w:rsidP="007D1DBA">
            <w:pPr>
              <w:jc w:val="right"/>
              <w:rPr>
                <w:sz w:val="18"/>
                <w:szCs w:val="18"/>
                <w:lang w:val="es-419" w:eastAsia="es-419"/>
              </w:rPr>
            </w:pPr>
            <w:r w:rsidRPr="006F0BB0">
              <w:rPr>
                <w:sz w:val="18"/>
                <w:szCs w:val="18"/>
                <w:lang w:val="es-419" w:eastAsia="es-419"/>
              </w:rPr>
              <w:t>14 910</w:t>
            </w:r>
          </w:p>
        </w:tc>
        <w:tc>
          <w:tcPr>
            <w:tcW w:w="950" w:type="dxa"/>
            <w:tcBorders>
              <w:top w:val="nil"/>
              <w:left w:val="nil"/>
              <w:bottom w:val="single" w:sz="4" w:space="0" w:color="auto"/>
              <w:right w:val="single" w:sz="4" w:space="0" w:color="auto"/>
            </w:tcBorders>
            <w:shd w:val="clear" w:color="auto" w:fill="auto"/>
            <w:noWrap/>
            <w:hideMark/>
          </w:tcPr>
          <w:p w14:paraId="6C96C2C2" w14:textId="77777777" w:rsidR="006F0BB0" w:rsidRPr="006F0BB0" w:rsidRDefault="006F0BB0" w:rsidP="007D1DBA">
            <w:pPr>
              <w:jc w:val="right"/>
              <w:rPr>
                <w:sz w:val="18"/>
                <w:szCs w:val="18"/>
                <w:lang w:val="es-419" w:eastAsia="es-419"/>
              </w:rPr>
            </w:pPr>
            <w:r w:rsidRPr="006F0BB0">
              <w:rPr>
                <w:sz w:val="18"/>
                <w:szCs w:val="18"/>
                <w:lang w:val="es-419" w:eastAsia="es-419"/>
              </w:rPr>
              <w:t>15 358</w:t>
            </w:r>
          </w:p>
        </w:tc>
        <w:tc>
          <w:tcPr>
            <w:tcW w:w="950" w:type="dxa"/>
            <w:tcBorders>
              <w:top w:val="nil"/>
              <w:left w:val="nil"/>
              <w:bottom w:val="single" w:sz="4" w:space="0" w:color="auto"/>
              <w:right w:val="single" w:sz="4" w:space="0" w:color="auto"/>
            </w:tcBorders>
            <w:shd w:val="clear" w:color="auto" w:fill="auto"/>
            <w:noWrap/>
            <w:hideMark/>
          </w:tcPr>
          <w:p w14:paraId="6EBA7287" w14:textId="77777777" w:rsidR="006F0BB0" w:rsidRPr="006F0BB0" w:rsidRDefault="006F0BB0" w:rsidP="007D1DBA">
            <w:pPr>
              <w:jc w:val="right"/>
              <w:rPr>
                <w:sz w:val="18"/>
                <w:szCs w:val="18"/>
                <w:lang w:val="es-419" w:eastAsia="es-419"/>
              </w:rPr>
            </w:pPr>
            <w:r w:rsidRPr="006F0BB0">
              <w:rPr>
                <w:sz w:val="18"/>
                <w:szCs w:val="18"/>
                <w:lang w:val="es-419" w:eastAsia="es-419"/>
              </w:rPr>
              <w:t>15 818</w:t>
            </w:r>
          </w:p>
        </w:tc>
        <w:tc>
          <w:tcPr>
            <w:tcW w:w="950" w:type="dxa"/>
            <w:tcBorders>
              <w:top w:val="nil"/>
              <w:left w:val="nil"/>
              <w:bottom w:val="single" w:sz="4" w:space="0" w:color="auto"/>
              <w:right w:val="single" w:sz="4" w:space="0" w:color="auto"/>
            </w:tcBorders>
            <w:shd w:val="clear" w:color="auto" w:fill="auto"/>
            <w:noWrap/>
            <w:hideMark/>
          </w:tcPr>
          <w:p w14:paraId="01C88E2C" w14:textId="77777777" w:rsidR="006F0BB0" w:rsidRPr="006F0BB0" w:rsidRDefault="006F0BB0" w:rsidP="007D1DBA">
            <w:pPr>
              <w:jc w:val="right"/>
              <w:rPr>
                <w:sz w:val="18"/>
                <w:szCs w:val="18"/>
                <w:lang w:val="es-419" w:eastAsia="es-419"/>
              </w:rPr>
            </w:pPr>
            <w:r w:rsidRPr="006F0BB0">
              <w:rPr>
                <w:sz w:val="18"/>
                <w:szCs w:val="18"/>
                <w:lang w:val="es-419" w:eastAsia="es-419"/>
              </w:rPr>
              <w:t>14 480</w:t>
            </w:r>
          </w:p>
        </w:tc>
        <w:tc>
          <w:tcPr>
            <w:tcW w:w="1005" w:type="dxa"/>
            <w:tcBorders>
              <w:top w:val="nil"/>
              <w:left w:val="nil"/>
              <w:bottom w:val="single" w:sz="4" w:space="0" w:color="auto"/>
              <w:right w:val="single" w:sz="4" w:space="0" w:color="auto"/>
            </w:tcBorders>
            <w:shd w:val="clear" w:color="auto" w:fill="auto"/>
            <w:noWrap/>
            <w:hideMark/>
          </w:tcPr>
          <w:p w14:paraId="0602DB78" w14:textId="77777777" w:rsidR="006F0BB0" w:rsidRPr="006F0BB0" w:rsidRDefault="006F0BB0" w:rsidP="007D1DBA">
            <w:pPr>
              <w:jc w:val="right"/>
              <w:rPr>
                <w:sz w:val="18"/>
                <w:szCs w:val="18"/>
                <w:lang w:val="es-419" w:eastAsia="es-419"/>
              </w:rPr>
            </w:pPr>
            <w:r w:rsidRPr="006F0BB0">
              <w:rPr>
                <w:sz w:val="18"/>
                <w:szCs w:val="18"/>
                <w:lang w:val="es-419" w:eastAsia="es-419"/>
              </w:rPr>
              <w:t>25 160</w:t>
            </w:r>
          </w:p>
        </w:tc>
        <w:tc>
          <w:tcPr>
            <w:tcW w:w="1181" w:type="dxa"/>
            <w:tcBorders>
              <w:top w:val="nil"/>
              <w:left w:val="nil"/>
              <w:bottom w:val="single" w:sz="4" w:space="0" w:color="auto"/>
              <w:right w:val="single" w:sz="4" w:space="0" w:color="auto"/>
            </w:tcBorders>
            <w:shd w:val="clear" w:color="auto" w:fill="auto"/>
            <w:noWrap/>
            <w:hideMark/>
          </w:tcPr>
          <w:p w14:paraId="36AA47E3" w14:textId="77777777" w:rsidR="006F0BB0" w:rsidRPr="006F0BB0" w:rsidRDefault="006F0BB0" w:rsidP="007D1DBA">
            <w:pPr>
              <w:jc w:val="right"/>
              <w:rPr>
                <w:sz w:val="18"/>
                <w:szCs w:val="18"/>
                <w:lang w:val="es-419" w:eastAsia="es-419"/>
              </w:rPr>
            </w:pPr>
            <w:r w:rsidRPr="006F0BB0">
              <w:rPr>
                <w:sz w:val="18"/>
                <w:szCs w:val="18"/>
                <w:lang w:val="es-419" w:eastAsia="es-419"/>
              </w:rPr>
              <w:t>62,9%</w:t>
            </w:r>
          </w:p>
        </w:tc>
      </w:tr>
      <w:tr w:rsidR="006F0BB0" w:rsidRPr="006F0BB0" w14:paraId="2FD6234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C3ADEF9" w14:textId="77777777" w:rsidR="006F0BB0" w:rsidRPr="006F0BB0" w:rsidRDefault="006F0BB0" w:rsidP="007D1DBA">
            <w:pPr>
              <w:jc w:val="left"/>
              <w:rPr>
                <w:sz w:val="18"/>
                <w:szCs w:val="18"/>
                <w:lang w:val="es-419" w:eastAsia="es-419"/>
              </w:rPr>
            </w:pPr>
            <w:r w:rsidRPr="006F0BB0">
              <w:rPr>
                <w:sz w:val="18"/>
                <w:szCs w:val="18"/>
                <w:lang w:val="es-419" w:eastAsia="es-419"/>
              </w:rPr>
              <w:t>Túnez</w:t>
            </w:r>
          </w:p>
        </w:tc>
        <w:tc>
          <w:tcPr>
            <w:tcW w:w="950" w:type="dxa"/>
            <w:tcBorders>
              <w:top w:val="nil"/>
              <w:left w:val="nil"/>
              <w:bottom w:val="single" w:sz="4" w:space="0" w:color="auto"/>
              <w:right w:val="single" w:sz="4" w:space="0" w:color="auto"/>
            </w:tcBorders>
            <w:shd w:val="clear" w:color="auto" w:fill="auto"/>
            <w:noWrap/>
            <w:hideMark/>
          </w:tcPr>
          <w:p w14:paraId="4988A7C2" w14:textId="77777777" w:rsidR="006F0BB0" w:rsidRPr="006F0BB0" w:rsidRDefault="006F0BB0" w:rsidP="007D1DBA">
            <w:pPr>
              <w:jc w:val="right"/>
              <w:rPr>
                <w:sz w:val="18"/>
                <w:szCs w:val="18"/>
                <w:lang w:val="es-419" w:eastAsia="es-419"/>
              </w:rPr>
            </w:pPr>
            <w:r w:rsidRPr="006F0BB0">
              <w:rPr>
                <w:sz w:val="18"/>
                <w:szCs w:val="18"/>
                <w:lang w:val="es-419" w:eastAsia="es-419"/>
              </w:rPr>
              <w:t>1 253 622</w:t>
            </w:r>
          </w:p>
        </w:tc>
        <w:tc>
          <w:tcPr>
            <w:tcW w:w="950" w:type="dxa"/>
            <w:tcBorders>
              <w:top w:val="nil"/>
              <w:left w:val="nil"/>
              <w:bottom w:val="single" w:sz="4" w:space="0" w:color="auto"/>
              <w:right w:val="single" w:sz="4" w:space="0" w:color="auto"/>
            </w:tcBorders>
            <w:shd w:val="clear" w:color="auto" w:fill="auto"/>
            <w:noWrap/>
            <w:hideMark/>
          </w:tcPr>
          <w:p w14:paraId="1A98AB40" w14:textId="77777777" w:rsidR="006F0BB0" w:rsidRPr="006F0BB0" w:rsidRDefault="006F0BB0" w:rsidP="007D1DBA">
            <w:pPr>
              <w:jc w:val="right"/>
              <w:rPr>
                <w:sz w:val="18"/>
                <w:szCs w:val="18"/>
                <w:lang w:val="es-419" w:eastAsia="es-419"/>
              </w:rPr>
            </w:pPr>
            <w:r w:rsidRPr="006F0BB0">
              <w:rPr>
                <w:sz w:val="18"/>
                <w:szCs w:val="18"/>
                <w:lang w:val="es-419" w:eastAsia="es-419"/>
              </w:rPr>
              <w:t>1 291 231</w:t>
            </w:r>
          </w:p>
        </w:tc>
        <w:tc>
          <w:tcPr>
            <w:tcW w:w="950" w:type="dxa"/>
            <w:tcBorders>
              <w:top w:val="nil"/>
              <w:left w:val="nil"/>
              <w:bottom w:val="single" w:sz="4" w:space="0" w:color="auto"/>
              <w:right w:val="single" w:sz="4" w:space="0" w:color="auto"/>
            </w:tcBorders>
            <w:shd w:val="clear" w:color="auto" w:fill="auto"/>
            <w:noWrap/>
            <w:hideMark/>
          </w:tcPr>
          <w:p w14:paraId="6DEE6DB2" w14:textId="77777777" w:rsidR="006F0BB0" w:rsidRPr="006F0BB0" w:rsidRDefault="006F0BB0" w:rsidP="007D1DBA">
            <w:pPr>
              <w:jc w:val="right"/>
              <w:rPr>
                <w:sz w:val="18"/>
                <w:szCs w:val="18"/>
                <w:lang w:val="es-419" w:eastAsia="es-419"/>
              </w:rPr>
            </w:pPr>
            <w:r w:rsidRPr="006F0BB0">
              <w:rPr>
                <w:sz w:val="18"/>
                <w:szCs w:val="18"/>
                <w:lang w:val="es-419" w:eastAsia="es-419"/>
              </w:rPr>
              <w:t>1 329 968</w:t>
            </w:r>
          </w:p>
        </w:tc>
        <w:tc>
          <w:tcPr>
            <w:tcW w:w="950" w:type="dxa"/>
            <w:tcBorders>
              <w:top w:val="nil"/>
              <w:left w:val="nil"/>
              <w:bottom w:val="single" w:sz="4" w:space="0" w:color="auto"/>
              <w:right w:val="single" w:sz="4" w:space="0" w:color="auto"/>
            </w:tcBorders>
            <w:shd w:val="clear" w:color="auto" w:fill="auto"/>
            <w:noWrap/>
            <w:hideMark/>
          </w:tcPr>
          <w:p w14:paraId="6EF32F63" w14:textId="77777777" w:rsidR="006F0BB0" w:rsidRPr="006F0BB0" w:rsidRDefault="006F0BB0" w:rsidP="007D1DBA">
            <w:pPr>
              <w:jc w:val="right"/>
              <w:rPr>
                <w:sz w:val="18"/>
                <w:szCs w:val="18"/>
                <w:lang w:val="es-419" w:eastAsia="es-419"/>
              </w:rPr>
            </w:pPr>
            <w:r w:rsidRPr="006F0BB0">
              <w:rPr>
                <w:sz w:val="18"/>
                <w:szCs w:val="18"/>
                <w:lang w:val="es-419" w:eastAsia="es-419"/>
              </w:rPr>
              <w:t>1 369 867</w:t>
            </w:r>
          </w:p>
        </w:tc>
        <w:tc>
          <w:tcPr>
            <w:tcW w:w="950" w:type="dxa"/>
            <w:tcBorders>
              <w:top w:val="nil"/>
              <w:left w:val="nil"/>
              <w:bottom w:val="single" w:sz="4" w:space="0" w:color="auto"/>
              <w:right w:val="single" w:sz="4" w:space="0" w:color="auto"/>
            </w:tcBorders>
            <w:shd w:val="clear" w:color="auto" w:fill="auto"/>
            <w:noWrap/>
            <w:hideMark/>
          </w:tcPr>
          <w:p w14:paraId="026DCE32" w14:textId="77777777" w:rsidR="006F0BB0" w:rsidRPr="006F0BB0" w:rsidRDefault="006F0BB0" w:rsidP="007D1DBA">
            <w:pPr>
              <w:jc w:val="right"/>
              <w:rPr>
                <w:sz w:val="18"/>
                <w:szCs w:val="18"/>
                <w:lang w:val="es-419" w:eastAsia="es-419"/>
              </w:rPr>
            </w:pPr>
            <w:r w:rsidRPr="006F0BB0">
              <w:rPr>
                <w:sz w:val="18"/>
                <w:szCs w:val="18"/>
                <w:lang w:val="es-419" w:eastAsia="es-419"/>
              </w:rPr>
              <w:t>1 410 963</w:t>
            </w:r>
          </w:p>
        </w:tc>
        <w:tc>
          <w:tcPr>
            <w:tcW w:w="950" w:type="dxa"/>
            <w:tcBorders>
              <w:top w:val="nil"/>
              <w:left w:val="nil"/>
              <w:bottom w:val="single" w:sz="4" w:space="0" w:color="auto"/>
              <w:right w:val="single" w:sz="4" w:space="0" w:color="auto"/>
            </w:tcBorders>
            <w:shd w:val="clear" w:color="auto" w:fill="auto"/>
            <w:noWrap/>
            <w:hideMark/>
          </w:tcPr>
          <w:p w14:paraId="498C16ED" w14:textId="77777777" w:rsidR="006F0BB0" w:rsidRPr="006F0BB0" w:rsidRDefault="006F0BB0" w:rsidP="007D1DBA">
            <w:pPr>
              <w:jc w:val="right"/>
              <w:rPr>
                <w:sz w:val="18"/>
                <w:szCs w:val="18"/>
                <w:lang w:val="es-419" w:eastAsia="es-419"/>
              </w:rPr>
            </w:pPr>
            <w:r w:rsidRPr="006F0BB0">
              <w:rPr>
                <w:sz w:val="18"/>
                <w:szCs w:val="18"/>
                <w:lang w:val="es-419" w:eastAsia="es-419"/>
              </w:rPr>
              <w:t>1 453 291</w:t>
            </w:r>
          </w:p>
        </w:tc>
        <w:tc>
          <w:tcPr>
            <w:tcW w:w="950" w:type="dxa"/>
            <w:tcBorders>
              <w:top w:val="nil"/>
              <w:left w:val="nil"/>
              <w:bottom w:val="single" w:sz="4" w:space="0" w:color="auto"/>
              <w:right w:val="single" w:sz="4" w:space="0" w:color="auto"/>
            </w:tcBorders>
            <w:shd w:val="clear" w:color="auto" w:fill="auto"/>
            <w:noWrap/>
            <w:hideMark/>
          </w:tcPr>
          <w:p w14:paraId="1E5855DF" w14:textId="77777777" w:rsidR="006F0BB0" w:rsidRPr="006F0BB0" w:rsidRDefault="006F0BB0" w:rsidP="007D1DBA">
            <w:pPr>
              <w:jc w:val="right"/>
              <w:rPr>
                <w:sz w:val="18"/>
                <w:szCs w:val="18"/>
                <w:lang w:val="es-419" w:eastAsia="es-419"/>
              </w:rPr>
            </w:pPr>
            <w:r w:rsidRPr="006F0BB0">
              <w:rPr>
                <w:sz w:val="18"/>
                <w:szCs w:val="18"/>
                <w:lang w:val="es-419" w:eastAsia="es-419"/>
              </w:rPr>
              <w:t>1 330 355</w:t>
            </w:r>
          </w:p>
        </w:tc>
        <w:tc>
          <w:tcPr>
            <w:tcW w:w="1005" w:type="dxa"/>
            <w:tcBorders>
              <w:top w:val="nil"/>
              <w:left w:val="nil"/>
              <w:bottom w:val="single" w:sz="4" w:space="0" w:color="auto"/>
              <w:right w:val="single" w:sz="4" w:space="0" w:color="auto"/>
            </w:tcBorders>
            <w:shd w:val="clear" w:color="auto" w:fill="auto"/>
            <w:noWrap/>
            <w:hideMark/>
          </w:tcPr>
          <w:p w14:paraId="3DE31957" w14:textId="77777777" w:rsidR="006F0BB0" w:rsidRPr="006F0BB0" w:rsidRDefault="006F0BB0" w:rsidP="007D1DBA">
            <w:pPr>
              <w:jc w:val="right"/>
              <w:rPr>
                <w:sz w:val="18"/>
                <w:szCs w:val="18"/>
                <w:lang w:val="es-419" w:eastAsia="es-419"/>
              </w:rPr>
            </w:pPr>
            <w:r w:rsidRPr="006F0BB0">
              <w:rPr>
                <w:sz w:val="18"/>
                <w:szCs w:val="18"/>
                <w:lang w:val="es-419" w:eastAsia="es-419"/>
              </w:rPr>
              <w:t>2 172 600</w:t>
            </w:r>
          </w:p>
        </w:tc>
        <w:tc>
          <w:tcPr>
            <w:tcW w:w="1181" w:type="dxa"/>
            <w:tcBorders>
              <w:top w:val="nil"/>
              <w:left w:val="nil"/>
              <w:bottom w:val="single" w:sz="4" w:space="0" w:color="auto"/>
              <w:right w:val="single" w:sz="4" w:space="0" w:color="auto"/>
            </w:tcBorders>
            <w:shd w:val="clear" w:color="auto" w:fill="auto"/>
            <w:noWrap/>
            <w:hideMark/>
          </w:tcPr>
          <w:p w14:paraId="4C4FE377" w14:textId="77777777" w:rsidR="006F0BB0" w:rsidRPr="006F0BB0" w:rsidRDefault="006F0BB0" w:rsidP="007D1DBA">
            <w:pPr>
              <w:jc w:val="right"/>
              <w:rPr>
                <w:sz w:val="18"/>
                <w:szCs w:val="18"/>
                <w:lang w:val="es-419" w:eastAsia="es-419"/>
              </w:rPr>
            </w:pPr>
            <w:r w:rsidRPr="006F0BB0">
              <w:rPr>
                <w:sz w:val="18"/>
                <w:szCs w:val="18"/>
                <w:lang w:val="es-419" w:eastAsia="es-419"/>
              </w:rPr>
              <w:t>66,9%</w:t>
            </w:r>
          </w:p>
        </w:tc>
      </w:tr>
      <w:tr w:rsidR="006F0BB0" w:rsidRPr="006F0BB0" w14:paraId="00EB5D0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14F6FF" w14:textId="77777777" w:rsidR="006F0BB0" w:rsidRPr="006F0BB0" w:rsidRDefault="006F0BB0" w:rsidP="007D1DBA">
            <w:pPr>
              <w:jc w:val="left"/>
              <w:rPr>
                <w:sz w:val="18"/>
                <w:szCs w:val="18"/>
                <w:lang w:val="es-419" w:eastAsia="es-419"/>
              </w:rPr>
            </w:pPr>
            <w:r w:rsidRPr="006F0BB0">
              <w:rPr>
                <w:sz w:val="18"/>
                <w:szCs w:val="18"/>
                <w:lang w:val="es-419" w:eastAsia="es-419"/>
              </w:rPr>
              <w:t>Islas Marshall</w:t>
            </w:r>
          </w:p>
        </w:tc>
        <w:tc>
          <w:tcPr>
            <w:tcW w:w="950" w:type="dxa"/>
            <w:tcBorders>
              <w:top w:val="nil"/>
              <w:left w:val="nil"/>
              <w:bottom w:val="single" w:sz="4" w:space="0" w:color="auto"/>
              <w:right w:val="single" w:sz="4" w:space="0" w:color="auto"/>
            </w:tcBorders>
            <w:shd w:val="clear" w:color="auto" w:fill="auto"/>
            <w:noWrap/>
            <w:hideMark/>
          </w:tcPr>
          <w:p w14:paraId="50546D0D" w14:textId="77777777" w:rsidR="006F0BB0" w:rsidRPr="006F0BB0" w:rsidRDefault="006F0BB0" w:rsidP="007D1DBA">
            <w:pPr>
              <w:jc w:val="right"/>
              <w:rPr>
                <w:sz w:val="18"/>
                <w:szCs w:val="18"/>
                <w:lang w:val="es-419" w:eastAsia="es-419"/>
              </w:rPr>
            </w:pPr>
            <w:r w:rsidRPr="006F0BB0">
              <w:rPr>
                <w:sz w:val="18"/>
                <w:szCs w:val="18"/>
                <w:lang w:val="es-419" w:eastAsia="es-419"/>
              </w:rPr>
              <w:t>7 096</w:t>
            </w:r>
          </w:p>
        </w:tc>
        <w:tc>
          <w:tcPr>
            <w:tcW w:w="950" w:type="dxa"/>
            <w:tcBorders>
              <w:top w:val="nil"/>
              <w:left w:val="nil"/>
              <w:bottom w:val="single" w:sz="4" w:space="0" w:color="auto"/>
              <w:right w:val="single" w:sz="4" w:space="0" w:color="auto"/>
            </w:tcBorders>
            <w:shd w:val="clear" w:color="auto" w:fill="auto"/>
            <w:noWrap/>
            <w:hideMark/>
          </w:tcPr>
          <w:p w14:paraId="51E87273" w14:textId="77777777" w:rsidR="006F0BB0" w:rsidRPr="006F0BB0" w:rsidRDefault="006F0BB0" w:rsidP="007D1DBA">
            <w:pPr>
              <w:jc w:val="right"/>
              <w:rPr>
                <w:sz w:val="18"/>
                <w:szCs w:val="18"/>
                <w:lang w:val="es-419" w:eastAsia="es-419"/>
              </w:rPr>
            </w:pPr>
            <w:r w:rsidRPr="006F0BB0">
              <w:rPr>
                <w:sz w:val="18"/>
                <w:szCs w:val="18"/>
                <w:lang w:val="es-419" w:eastAsia="es-419"/>
              </w:rPr>
              <w:t>7 309</w:t>
            </w:r>
          </w:p>
        </w:tc>
        <w:tc>
          <w:tcPr>
            <w:tcW w:w="950" w:type="dxa"/>
            <w:tcBorders>
              <w:top w:val="nil"/>
              <w:left w:val="nil"/>
              <w:bottom w:val="single" w:sz="4" w:space="0" w:color="auto"/>
              <w:right w:val="single" w:sz="4" w:space="0" w:color="auto"/>
            </w:tcBorders>
            <w:shd w:val="clear" w:color="auto" w:fill="auto"/>
            <w:noWrap/>
            <w:hideMark/>
          </w:tcPr>
          <w:p w14:paraId="5D7B80BD" w14:textId="77777777" w:rsidR="006F0BB0" w:rsidRPr="006F0BB0" w:rsidRDefault="006F0BB0" w:rsidP="007D1DBA">
            <w:pPr>
              <w:jc w:val="right"/>
              <w:rPr>
                <w:sz w:val="18"/>
                <w:szCs w:val="18"/>
                <w:lang w:val="es-419" w:eastAsia="es-419"/>
              </w:rPr>
            </w:pPr>
            <w:r w:rsidRPr="006F0BB0">
              <w:rPr>
                <w:sz w:val="18"/>
                <w:szCs w:val="18"/>
                <w:lang w:val="es-419" w:eastAsia="es-419"/>
              </w:rPr>
              <w:t>7 528</w:t>
            </w:r>
          </w:p>
        </w:tc>
        <w:tc>
          <w:tcPr>
            <w:tcW w:w="950" w:type="dxa"/>
            <w:tcBorders>
              <w:top w:val="nil"/>
              <w:left w:val="nil"/>
              <w:bottom w:val="single" w:sz="4" w:space="0" w:color="auto"/>
              <w:right w:val="single" w:sz="4" w:space="0" w:color="auto"/>
            </w:tcBorders>
            <w:shd w:val="clear" w:color="auto" w:fill="auto"/>
            <w:noWrap/>
            <w:hideMark/>
          </w:tcPr>
          <w:p w14:paraId="6606C021" w14:textId="77777777" w:rsidR="006F0BB0" w:rsidRPr="006F0BB0" w:rsidRDefault="006F0BB0" w:rsidP="007D1DBA">
            <w:pPr>
              <w:jc w:val="right"/>
              <w:rPr>
                <w:sz w:val="18"/>
                <w:szCs w:val="18"/>
                <w:lang w:val="es-419" w:eastAsia="es-419"/>
              </w:rPr>
            </w:pPr>
            <w:r w:rsidRPr="006F0BB0">
              <w:rPr>
                <w:sz w:val="18"/>
                <w:szCs w:val="18"/>
                <w:lang w:val="es-419" w:eastAsia="es-419"/>
              </w:rPr>
              <w:t>7 754</w:t>
            </w:r>
          </w:p>
        </w:tc>
        <w:tc>
          <w:tcPr>
            <w:tcW w:w="950" w:type="dxa"/>
            <w:tcBorders>
              <w:top w:val="nil"/>
              <w:left w:val="nil"/>
              <w:bottom w:val="single" w:sz="4" w:space="0" w:color="auto"/>
              <w:right w:val="single" w:sz="4" w:space="0" w:color="auto"/>
            </w:tcBorders>
            <w:shd w:val="clear" w:color="auto" w:fill="auto"/>
            <w:noWrap/>
            <w:hideMark/>
          </w:tcPr>
          <w:p w14:paraId="2C059A4A" w14:textId="77777777" w:rsidR="006F0BB0" w:rsidRPr="006F0BB0" w:rsidRDefault="006F0BB0" w:rsidP="007D1DBA">
            <w:pPr>
              <w:jc w:val="right"/>
              <w:rPr>
                <w:sz w:val="18"/>
                <w:szCs w:val="18"/>
                <w:lang w:val="es-419" w:eastAsia="es-419"/>
              </w:rPr>
            </w:pPr>
            <w:r w:rsidRPr="006F0BB0">
              <w:rPr>
                <w:sz w:val="18"/>
                <w:szCs w:val="18"/>
                <w:lang w:val="es-419" w:eastAsia="es-419"/>
              </w:rPr>
              <w:t>7 987</w:t>
            </w:r>
          </w:p>
        </w:tc>
        <w:tc>
          <w:tcPr>
            <w:tcW w:w="950" w:type="dxa"/>
            <w:tcBorders>
              <w:top w:val="nil"/>
              <w:left w:val="nil"/>
              <w:bottom w:val="single" w:sz="4" w:space="0" w:color="auto"/>
              <w:right w:val="single" w:sz="4" w:space="0" w:color="auto"/>
            </w:tcBorders>
            <w:shd w:val="clear" w:color="auto" w:fill="auto"/>
            <w:noWrap/>
            <w:hideMark/>
          </w:tcPr>
          <w:p w14:paraId="6DFCDCBA" w14:textId="77777777" w:rsidR="006F0BB0" w:rsidRPr="006F0BB0" w:rsidRDefault="006F0BB0" w:rsidP="007D1DBA">
            <w:pPr>
              <w:jc w:val="right"/>
              <w:rPr>
                <w:sz w:val="18"/>
                <w:szCs w:val="18"/>
                <w:lang w:val="es-419" w:eastAsia="es-419"/>
              </w:rPr>
            </w:pPr>
            <w:r w:rsidRPr="006F0BB0">
              <w:rPr>
                <w:sz w:val="18"/>
                <w:szCs w:val="18"/>
                <w:lang w:val="es-419" w:eastAsia="es-419"/>
              </w:rPr>
              <w:t>8 226</w:t>
            </w:r>
          </w:p>
        </w:tc>
        <w:tc>
          <w:tcPr>
            <w:tcW w:w="950" w:type="dxa"/>
            <w:tcBorders>
              <w:top w:val="nil"/>
              <w:left w:val="nil"/>
              <w:bottom w:val="single" w:sz="4" w:space="0" w:color="auto"/>
              <w:right w:val="single" w:sz="4" w:space="0" w:color="auto"/>
            </w:tcBorders>
            <w:shd w:val="clear" w:color="auto" w:fill="auto"/>
            <w:noWrap/>
            <w:hideMark/>
          </w:tcPr>
          <w:p w14:paraId="18ACAF3A" w14:textId="77777777" w:rsidR="006F0BB0" w:rsidRPr="006F0BB0" w:rsidRDefault="006F0BB0" w:rsidP="007D1DBA">
            <w:pPr>
              <w:jc w:val="right"/>
              <w:rPr>
                <w:sz w:val="18"/>
                <w:szCs w:val="18"/>
                <w:lang w:val="es-419" w:eastAsia="es-419"/>
              </w:rPr>
            </w:pPr>
            <w:r w:rsidRPr="006F0BB0">
              <w:rPr>
                <w:sz w:val="18"/>
                <w:szCs w:val="18"/>
                <w:lang w:val="es-419" w:eastAsia="es-419"/>
              </w:rPr>
              <w:t>7 530</w:t>
            </w:r>
          </w:p>
        </w:tc>
        <w:tc>
          <w:tcPr>
            <w:tcW w:w="1005" w:type="dxa"/>
            <w:tcBorders>
              <w:top w:val="nil"/>
              <w:left w:val="nil"/>
              <w:bottom w:val="single" w:sz="4" w:space="0" w:color="auto"/>
              <w:right w:val="single" w:sz="4" w:space="0" w:color="auto"/>
            </w:tcBorders>
            <w:shd w:val="clear" w:color="auto" w:fill="auto"/>
            <w:noWrap/>
            <w:hideMark/>
          </w:tcPr>
          <w:p w14:paraId="33CB0E07" w14:textId="77777777" w:rsidR="006F0BB0" w:rsidRPr="006F0BB0" w:rsidRDefault="006F0BB0" w:rsidP="007D1DBA">
            <w:pPr>
              <w:jc w:val="right"/>
              <w:rPr>
                <w:sz w:val="18"/>
                <w:szCs w:val="18"/>
                <w:lang w:val="es-419" w:eastAsia="es-419"/>
              </w:rPr>
            </w:pPr>
            <w:r w:rsidRPr="006F0BB0">
              <w:rPr>
                <w:sz w:val="18"/>
                <w:szCs w:val="18"/>
                <w:lang w:val="es-419" w:eastAsia="es-419"/>
              </w:rPr>
              <w:t>12 225</w:t>
            </w:r>
          </w:p>
        </w:tc>
        <w:tc>
          <w:tcPr>
            <w:tcW w:w="1181" w:type="dxa"/>
            <w:tcBorders>
              <w:top w:val="nil"/>
              <w:left w:val="nil"/>
              <w:bottom w:val="single" w:sz="4" w:space="0" w:color="auto"/>
              <w:right w:val="single" w:sz="4" w:space="0" w:color="auto"/>
            </w:tcBorders>
            <w:shd w:val="clear" w:color="auto" w:fill="auto"/>
            <w:noWrap/>
            <w:hideMark/>
          </w:tcPr>
          <w:p w14:paraId="0FE5E0BD" w14:textId="77777777" w:rsidR="006F0BB0" w:rsidRPr="006F0BB0" w:rsidRDefault="006F0BB0" w:rsidP="007D1DBA">
            <w:pPr>
              <w:jc w:val="right"/>
              <w:rPr>
                <w:sz w:val="18"/>
                <w:szCs w:val="18"/>
                <w:lang w:val="es-419" w:eastAsia="es-419"/>
              </w:rPr>
            </w:pPr>
            <w:r w:rsidRPr="006F0BB0">
              <w:rPr>
                <w:sz w:val="18"/>
                <w:szCs w:val="18"/>
                <w:lang w:val="es-419" w:eastAsia="es-419"/>
              </w:rPr>
              <w:t>67,3%</w:t>
            </w:r>
          </w:p>
        </w:tc>
      </w:tr>
      <w:tr w:rsidR="006F0BB0" w:rsidRPr="006F0BB0" w14:paraId="68DFBBF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05B6E2A"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Viet</w:t>
            </w:r>
            <w:proofErr w:type="spellEnd"/>
            <w:r w:rsidRPr="006F0BB0">
              <w:rPr>
                <w:sz w:val="18"/>
                <w:szCs w:val="18"/>
                <w:lang w:val="es-419" w:eastAsia="es-419"/>
              </w:rPr>
              <w:t xml:space="preserve"> </w:t>
            </w:r>
            <w:proofErr w:type="spellStart"/>
            <w:r w:rsidRPr="006F0BB0">
              <w:rPr>
                <w:sz w:val="18"/>
                <w:szCs w:val="18"/>
                <w:lang w:val="es-419" w:eastAsia="es-419"/>
              </w:rPr>
              <w:t>Nam</w:t>
            </w:r>
            <w:proofErr w:type="spellEnd"/>
          </w:p>
        </w:tc>
        <w:tc>
          <w:tcPr>
            <w:tcW w:w="950" w:type="dxa"/>
            <w:tcBorders>
              <w:top w:val="nil"/>
              <w:left w:val="nil"/>
              <w:bottom w:val="single" w:sz="4" w:space="0" w:color="auto"/>
              <w:right w:val="single" w:sz="4" w:space="0" w:color="auto"/>
            </w:tcBorders>
            <w:shd w:val="clear" w:color="auto" w:fill="auto"/>
            <w:noWrap/>
            <w:hideMark/>
          </w:tcPr>
          <w:p w14:paraId="2E9E1EB2" w14:textId="77777777" w:rsidR="006F0BB0" w:rsidRPr="006F0BB0" w:rsidRDefault="006F0BB0" w:rsidP="007D1DBA">
            <w:pPr>
              <w:jc w:val="right"/>
              <w:rPr>
                <w:sz w:val="18"/>
                <w:szCs w:val="18"/>
                <w:lang w:val="es-419" w:eastAsia="es-419"/>
              </w:rPr>
            </w:pPr>
            <w:r w:rsidRPr="006F0BB0">
              <w:rPr>
                <w:sz w:val="18"/>
                <w:szCs w:val="18"/>
                <w:lang w:val="es-419" w:eastAsia="es-419"/>
              </w:rPr>
              <w:t>6 019 450</w:t>
            </w:r>
          </w:p>
        </w:tc>
        <w:tc>
          <w:tcPr>
            <w:tcW w:w="950" w:type="dxa"/>
            <w:tcBorders>
              <w:top w:val="nil"/>
              <w:left w:val="nil"/>
              <w:bottom w:val="single" w:sz="4" w:space="0" w:color="auto"/>
              <w:right w:val="single" w:sz="4" w:space="0" w:color="auto"/>
            </w:tcBorders>
            <w:shd w:val="clear" w:color="auto" w:fill="auto"/>
            <w:noWrap/>
            <w:hideMark/>
          </w:tcPr>
          <w:p w14:paraId="030C6504" w14:textId="77777777" w:rsidR="006F0BB0" w:rsidRPr="006F0BB0" w:rsidRDefault="006F0BB0" w:rsidP="007D1DBA">
            <w:pPr>
              <w:jc w:val="right"/>
              <w:rPr>
                <w:sz w:val="18"/>
                <w:szCs w:val="18"/>
                <w:lang w:val="es-419" w:eastAsia="es-419"/>
              </w:rPr>
            </w:pPr>
            <w:r w:rsidRPr="006F0BB0">
              <w:rPr>
                <w:sz w:val="18"/>
                <w:szCs w:val="18"/>
                <w:lang w:val="es-419" w:eastAsia="es-419"/>
              </w:rPr>
              <w:t>6 200 034</w:t>
            </w:r>
          </w:p>
        </w:tc>
        <w:tc>
          <w:tcPr>
            <w:tcW w:w="950" w:type="dxa"/>
            <w:tcBorders>
              <w:top w:val="nil"/>
              <w:left w:val="nil"/>
              <w:bottom w:val="single" w:sz="4" w:space="0" w:color="auto"/>
              <w:right w:val="single" w:sz="4" w:space="0" w:color="auto"/>
            </w:tcBorders>
            <w:shd w:val="clear" w:color="auto" w:fill="auto"/>
            <w:noWrap/>
            <w:hideMark/>
          </w:tcPr>
          <w:p w14:paraId="0D8BEF79" w14:textId="77777777" w:rsidR="006F0BB0" w:rsidRPr="006F0BB0" w:rsidRDefault="006F0BB0" w:rsidP="007D1DBA">
            <w:pPr>
              <w:jc w:val="right"/>
              <w:rPr>
                <w:sz w:val="18"/>
                <w:szCs w:val="18"/>
                <w:lang w:val="es-419" w:eastAsia="es-419"/>
              </w:rPr>
            </w:pPr>
            <w:r w:rsidRPr="006F0BB0">
              <w:rPr>
                <w:sz w:val="18"/>
                <w:szCs w:val="18"/>
                <w:lang w:val="es-419" w:eastAsia="es-419"/>
              </w:rPr>
              <w:t>6 386 035</w:t>
            </w:r>
          </w:p>
        </w:tc>
        <w:tc>
          <w:tcPr>
            <w:tcW w:w="950" w:type="dxa"/>
            <w:tcBorders>
              <w:top w:val="nil"/>
              <w:left w:val="nil"/>
              <w:bottom w:val="single" w:sz="4" w:space="0" w:color="auto"/>
              <w:right w:val="single" w:sz="4" w:space="0" w:color="auto"/>
            </w:tcBorders>
            <w:shd w:val="clear" w:color="auto" w:fill="auto"/>
            <w:noWrap/>
            <w:hideMark/>
          </w:tcPr>
          <w:p w14:paraId="4C6E9E18" w14:textId="77777777" w:rsidR="006F0BB0" w:rsidRPr="006F0BB0" w:rsidRDefault="006F0BB0" w:rsidP="007D1DBA">
            <w:pPr>
              <w:jc w:val="right"/>
              <w:rPr>
                <w:sz w:val="18"/>
                <w:szCs w:val="18"/>
                <w:lang w:val="es-419" w:eastAsia="es-419"/>
              </w:rPr>
            </w:pPr>
            <w:r w:rsidRPr="006F0BB0">
              <w:rPr>
                <w:sz w:val="18"/>
                <w:szCs w:val="18"/>
                <w:lang w:val="es-419" w:eastAsia="es-419"/>
              </w:rPr>
              <w:t>6 577 616</w:t>
            </w:r>
          </w:p>
        </w:tc>
        <w:tc>
          <w:tcPr>
            <w:tcW w:w="950" w:type="dxa"/>
            <w:tcBorders>
              <w:top w:val="nil"/>
              <w:left w:val="nil"/>
              <w:bottom w:val="single" w:sz="4" w:space="0" w:color="auto"/>
              <w:right w:val="single" w:sz="4" w:space="0" w:color="auto"/>
            </w:tcBorders>
            <w:shd w:val="clear" w:color="auto" w:fill="auto"/>
            <w:noWrap/>
            <w:hideMark/>
          </w:tcPr>
          <w:p w14:paraId="4AB3E4D8" w14:textId="77777777" w:rsidR="006F0BB0" w:rsidRPr="006F0BB0" w:rsidRDefault="006F0BB0" w:rsidP="007D1DBA">
            <w:pPr>
              <w:jc w:val="right"/>
              <w:rPr>
                <w:sz w:val="18"/>
                <w:szCs w:val="18"/>
                <w:lang w:val="es-419" w:eastAsia="es-419"/>
              </w:rPr>
            </w:pPr>
            <w:r w:rsidRPr="006F0BB0">
              <w:rPr>
                <w:sz w:val="18"/>
                <w:szCs w:val="18"/>
                <w:lang w:val="es-419" w:eastAsia="es-419"/>
              </w:rPr>
              <w:t>6 774 944</w:t>
            </w:r>
          </w:p>
        </w:tc>
        <w:tc>
          <w:tcPr>
            <w:tcW w:w="950" w:type="dxa"/>
            <w:tcBorders>
              <w:top w:val="nil"/>
              <w:left w:val="nil"/>
              <w:bottom w:val="single" w:sz="4" w:space="0" w:color="auto"/>
              <w:right w:val="single" w:sz="4" w:space="0" w:color="auto"/>
            </w:tcBorders>
            <w:shd w:val="clear" w:color="auto" w:fill="auto"/>
            <w:noWrap/>
            <w:hideMark/>
          </w:tcPr>
          <w:p w14:paraId="725F2269" w14:textId="77777777" w:rsidR="006F0BB0" w:rsidRPr="006F0BB0" w:rsidRDefault="006F0BB0" w:rsidP="007D1DBA">
            <w:pPr>
              <w:jc w:val="right"/>
              <w:rPr>
                <w:sz w:val="18"/>
                <w:szCs w:val="18"/>
                <w:lang w:val="es-419" w:eastAsia="es-419"/>
              </w:rPr>
            </w:pPr>
            <w:r w:rsidRPr="006F0BB0">
              <w:rPr>
                <w:sz w:val="18"/>
                <w:szCs w:val="18"/>
                <w:lang w:val="es-419" w:eastAsia="es-419"/>
              </w:rPr>
              <w:t>6 978 192</w:t>
            </w:r>
          </w:p>
        </w:tc>
        <w:tc>
          <w:tcPr>
            <w:tcW w:w="950" w:type="dxa"/>
            <w:tcBorders>
              <w:top w:val="nil"/>
              <w:left w:val="nil"/>
              <w:bottom w:val="single" w:sz="4" w:space="0" w:color="auto"/>
              <w:right w:val="single" w:sz="4" w:space="0" w:color="auto"/>
            </w:tcBorders>
            <w:shd w:val="clear" w:color="auto" w:fill="auto"/>
            <w:noWrap/>
            <w:hideMark/>
          </w:tcPr>
          <w:p w14:paraId="46B7FE38" w14:textId="77777777" w:rsidR="006F0BB0" w:rsidRPr="006F0BB0" w:rsidRDefault="006F0BB0" w:rsidP="007D1DBA">
            <w:pPr>
              <w:jc w:val="right"/>
              <w:rPr>
                <w:sz w:val="18"/>
                <w:szCs w:val="18"/>
                <w:lang w:val="es-419" w:eastAsia="es-419"/>
              </w:rPr>
            </w:pPr>
            <w:r w:rsidRPr="006F0BB0">
              <w:rPr>
                <w:sz w:val="18"/>
                <w:szCs w:val="18"/>
                <w:lang w:val="es-419" w:eastAsia="es-419"/>
              </w:rPr>
              <w:t>6 387 895</w:t>
            </w:r>
          </w:p>
        </w:tc>
        <w:tc>
          <w:tcPr>
            <w:tcW w:w="1005" w:type="dxa"/>
            <w:tcBorders>
              <w:top w:val="nil"/>
              <w:left w:val="nil"/>
              <w:bottom w:val="single" w:sz="4" w:space="0" w:color="auto"/>
              <w:right w:val="single" w:sz="4" w:space="0" w:color="auto"/>
            </w:tcBorders>
            <w:shd w:val="clear" w:color="auto" w:fill="auto"/>
            <w:noWrap/>
            <w:hideMark/>
          </w:tcPr>
          <w:p w14:paraId="1BA08FB9" w14:textId="77777777" w:rsidR="006F0BB0" w:rsidRPr="006F0BB0" w:rsidRDefault="006F0BB0" w:rsidP="007D1DBA">
            <w:pPr>
              <w:jc w:val="right"/>
              <w:rPr>
                <w:sz w:val="18"/>
                <w:szCs w:val="18"/>
                <w:lang w:val="es-419" w:eastAsia="es-419"/>
              </w:rPr>
            </w:pPr>
            <w:r w:rsidRPr="006F0BB0">
              <w:rPr>
                <w:sz w:val="18"/>
                <w:szCs w:val="18"/>
                <w:lang w:val="es-419" w:eastAsia="es-419"/>
              </w:rPr>
              <w:t>10 194 191</w:t>
            </w:r>
          </w:p>
        </w:tc>
        <w:tc>
          <w:tcPr>
            <w:tcW w:w="1181" w:type="dxa"/>
            <w:tcBorders>
              <w:top w:val="nil"/>
              <w:left w:val="nil"/>
              <w:bottom w:val="single" w:sz="4" w:space="0" w:color="auto"/>
              <w:right w:val="single" w:sz="4" w:space="0" w:color="auto"/>
            </w:tcBorders>
            <w:shd w:val="clear" w:color="auto" w:fill="auto"/>
            <w:noWrap/>
            <w:hideMark/>
          </w:tcPr>
          <w:p w14:paraId="79B67CD4" w14:textId="77777777" w:rsidR="006F0BB0" w:rsidRPr="006F0BB0" w:rsidRDefault="006F0BB0" w:rsidP="007D1DBA">
            <w:pPr>
              <w:jc w:val="right"/>
              <w:rPr>
                <w:sz w:val="18"/>
                <w:szCs w:val="18"/>
                <w:lang w:val="es-419" w:eastAsia="es-419"/>
              </w:rPr>
            </w:pPr>
            <w:r w:rsidRPr="006F0BB0">
              <w:rPr>
                <w:sz w:val="18"/>
                <w:szCs w:val="18"/>
                <w:lang w:val="es-419" w:eastAsia="es-419"/>
              </w:rPr>
              <w:t>68,5%</w:t>
            </w:r>
          </w:p>
        </w:tc>
      </w:tr>
      <w:tr w:rsidR="006F0BB0" w:rsidRPr="006F0BB0" w14:paraId="00A7D57F"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39C7D1" w14:textId="77777777" w:rsidR="006F0BB0" w:rsidRPr="006F0BB0" w:rsidRDefault="006F0BB0" w:rsidP="007D1DBA">
            <w:pPr>
              <w:jc w:val="left"/>
              <w:rPr>
                <w:sz w:val="18"/>
                <w:szCs w:val="18"/>
                <w:lang w:val="es-419" w:eastAsia="es-419"/>
              </w:rPr>
            </w:pPr>
            <w:r w:rsidRPr="006F0BB0">
              <w:rPr>
                <w:sz w:val="18"/>
                <w:szCs w:val="18"/>
                <w:lang w:val="es-419" w:eastAsia="es-419"/>
              </w:rPr>
              <w:t>Granada</w:t>
            </w:r>
          </w:p>
        </w:tc>
        <w:tc>
          <w:tcPr>
            <w:tcW w:w="950" w:type="dxa"/>
            <w:tcBorders>
              <w:top w:val="nil"/>
              <w:left w:val="nil"/>
              <w:bottom w:val="single" w:sz="4" w:space="0" w:color="auto"/>
              <w:right w:val="single" w:sz="4" w:space="0" w:color="auto"/>
            </w:tcBorders>
            <w:shd w:val="clear" w:color="auto" w:fill="auto"/>
            <w:noWrap/>
            <w:hideMark/>
          </w:tcPr>
          <w:p w14:paraId="45B390C4" w14:textId="77777777" w:rsidR="006F0BB0" w:rsidRPr="006F0BB0" w:rsidRDefault="006F0BB0" w:rsidP="007D1DBA">
            <w:pPr>
              <w:jc w:val="right"/>
              <w:rPr>
                <w:sz w:val="18"/>
                <w:szCs w:val="18"/>
                <w:lang w:val="es-419" w:eastAsia="es-419"/>
              </w:rPr>
            </w:pPr>
            <w:r w:rsidRPr="006F0BB0">
              <w:rPr>
                <w:sz w:val="18"/>
                <w:szCs w:val="18"/>
                <w:lang w:val="es-419" w:eastAsia="es-419"/>
              </w:rPr>
              <w:t>29 276</w:t>
            </w:r>
          </w:p>
        </w:tc>
        <w:tc>
          <w:tcPr>
            <w:tcW w:w="950" w:type="dxa"/>
            <w:tcBorders>
              <w:top w:val="nil"/>
              <w:left w:val="nil"/>
              <w:bottom w:val="single" w:sz="4" w:space="0" w:color="auto"/>
              <w:right w:val="single" w:sz="4" w:space="0" w:color="auto"/>
            </w:tcBorders>
            <w:shd w:val="clear" w:color="auto" w:fill="auto"/>
            <w:noWrap/>
            <w:hideMark/>
          </w:tcPr>
          <w:p w14:paraId="14C58200" w14:textId="77777777" w:rsidR="006F0BB0" w:rsidRPr="006F0BB0" w:rsidRDefault="006F0BB0" w:rsidP="007D1DBA">
            <w:pPr>
              <w:jc w:val="right"/>
              <w:rPr>
                <w:sz w:val="18"/>
                <w:szCs w:val="18"/>
                <w:lang w:val="es-419" w:eastAsia="es-419"/>
              </w:rPr>
            </w:pPr>
            <w:r w:rsidRPr="006F0BB0">
              <w:rPr>
                <w:sz w:val="18"/>
                <w:szCs w:val="18"/>
                <w:lang w:val="es-419" w:eastAsia="es-419"/>
              </w:rPr>
              <w:t>30 154</w:t>
            </w:r>
          </w:p>
        </w:tc>
        <w:tc>
          <w:tcPr>
            <w:tcW w:w="950" w:type="dxa"/>
            <w:tcBorders>
              <w:top w:val="nil"/>
              <w:left w:val="nil"/>
              <w:bottom w:val="single" w:sz="4" w:space="0" w:color="auto"/>
              <w:right w:val="single" w:sz="4" w:space="0" w:color="auto"/>
            </w:tcBorders>
            <w:shd w:val="clear" w:color="auto" w:fill="auto"/>
            <w:noWrap/>
            <w:hideMark/>
          </w:tcPr>
          <w:p w14:paraId="781908D2" w14:textId="77777777" w:rsidR="006F0BB0" w:rsidRPr="006F0BB0" w:rsidRDefault="006F0BB0" w:rsidP="007D1DBA">
            <w:pPr>
              <w:jc w:val="right"/>
              <w:rPr>
                <w:sz w:val="18"/>
                <w:szCs w:val="18"/>
                <w:lang w:val="es-419" w:eastAsia="es-419"/>
              </w:rPr>
            </w:pPr>
            <w:r w:rsidRPr="006F0BB0">
              <w:rPr>
                <w:sz w:val="18"/>
                <w:szCs w:val="18"/>
                <w:lang w:val="es-419" w:eastAsia="es-419"/>
              </w:rPr>
              <w:t>31 059</w:t>
            </w:r>
          </w:p>
        </w:tc>
        <w:tc>
          <w:tcPr>
            <w:tcW w:w="950" w:type="dxa"/>
            <w:tcBorders>
              <w:top w:val="nil"/>
              <w:left w:val="nil"/>
              <w:bottom w:val="single" w:sz="4" w:space="0" w:color="auto"/>
              <w:right w:val="single" w:sz="4" w:space="0" w:color="auto"/>
            </w:tcBorders>
            <w:shd w:val="clear" w:color="auto" w:fill="auto"/>
            <w:noWrap/>
            <w:hideMark/>
          </w:tcPr>
          <w:p w14:paraId="737463C9" w14:textId="77777777" w:rsidR="006F0BB0" w:rsidRPr="006F0BB0" w:rsidRDefault="006F0BB0" w:rsidP="007D1DBA">
            <w:pPr>
              <w:jc w:val="right"/>
              <w:rPr>
                <w:sz w:val="18"/>
                <w:szCs w:val="18"/>
                <w:lang w:val="es-419" w:eastAsia="es-419"/>
              </w:rPr>
            </w:pPr>
            <w:r w:rsidRPr="006F0BB0">
              <w:rPr>
                <w:sz w:val="18"/>
                <w:szCs w:val="18"/>
                <w:lang w:val="es-419" w:eastAsia="es-419"/>
              </w:rPr>
              <w:t>31 991</w:t>
            </w:r>
          </w:p>
        </w:tc>
        <w:tc>
          <w:tcPr>
            <w:tcW w:w="950" w:type="dxa"/>
            <w:tcBorders>
              <w:top w:val="nil"/>
              <w:left w:val="nil"/>
              <w:bottom w:val="single" w:sz="4" w:space="0" w:color="auto"/>
              <w:right w:val="single" w:sz="4" w:space="0" w:color="auto"/>
            </w:tcBorders>
            <w:shd w:val="clear" w:color="auto" w:fill="auto"/>
            <w:noWrap/>
            <w:hideMark/>
          </w:tcPr>
          <w:p w14:paraId="53250DD4" w14:textId="77777777" w:rsidR="006F0BB0" w:rsidRPr="006F0BB0" w:rsidRDefault="006F0BB0" w:rsidP="007D1DBA">
            <w:pPr>
              <w:jc w:val="right"/>
              <w:rPr>
                <w:sz w:val="18"/>
                <w:szCs w:val="18"/>
                <w:lang w:val="es-419" w:eastAsia="es-419"/>
              </w:rPr>
            </w:pPr>
            <w:r w:rsidRPr="006F0BB0">
              <w:rPr>
                <w:sz w:val="18"/>
                <w:szCs w:val="18"/>
                <w:lang w:val="es-419" w:eastAsia="es-419"/>
              </w:rPr>
              <w:t>32 950</w:t>
            </w:r>
          </w:p>
        </w:tc>
        <w:tc>
          <w:tcPr>
            <w:tcW w:w="950" w:type="dxa"/>
            <w:tcBorders>
              <w:top w:val="nil"/>
              <w:left w:val="nil"/>
              <w:bottom w:val="single" w:sz="4" w:space="0" w:color="auto"/>
              <w:right w:val="single" w:sz="4" w:space="0" w:color="auto"/>
            </w:tcBorders>
            <w:shd w:val="clear" w:color="auto" w:fill="auto"/>
            <w:noWrap/>
            <w:hideMark/>
          </w:tcPr>
          <w:p w14:paraId="4F9068F0" w14:textId="77777777" w:rsidR="006F0BB0" w:rsidRPr="006F0BB0" w:rsidRDefault="006F0BB0" w:rsidP="007D1DBA">
            <w:pPr>
              <w:jc w:val="right"/>
              <w:rPr>
                <w:sz w:val="18"/>
                <w:szCs w:val="18"/>
                <w:lang w:val="es-419" w:eastAsia="es-419"/>
              </w:rPr>
            </w:pPr>
            <w:r w:rsidRPr="006F0BB0">
              <w:rPr>
                <w:sz w:val="18"/>
                <w:szCs w:val="18"/>
                <w:lang w:val="es-419" w:eastAsia="es-419"/>
              </w:rPr>
              <w:t>33 939</w:t>
            </w:r>
          </w:p>
        </w:tc>
        <w:tc>
          <w:tcPr>
            <w:tcW w:w="950" w:type="dxa"/>
            <w:tcBorders>
              <w:top w:val="nil"/>
              <w:left w:val="nil"/>
              <w:bottom w:val="single" w:sz="4" w:space="0" w:color="auto"/>
              <w:right w:val="single" w:sz="4" w:space="0" w:color="auto"/>
            </w:tcBorders>
            <w:shd w:val="clear" w:color="auto" w:fill="auto"/>
            <w:noWrap/>
            <w:hideMark/>
          </w:tcPr>
          <w:p w14:paraId="7216A0BE" w14:textId="77777777" w:rsidR="006F0BB0" w:rsidRPr="006F0BB0" w:rsidRDefault="006F0BB0" w:rsidP="007D1DBA">
            <w:pPr>
              <w:jc w:val="right"/>
              <w:rPr>
                <w:sz w:val="18"/>
                <w:szCs w:val="18"/>
                <w:lang w:val="es-419" w:eastAsia="es-419"/>
              </w:rPr>
            </w:pPr>
            <w:r w:rsidRPr="006F0BB0">
              <w:rPr>
                <w:sz w:val="18"/>
                <w:szCs w:val="18"/>
                <w:lang w:val="es-419" w:eastAsia="es-419"/>
              </w:rPr>
              <w:t>31 068</w:t>
            </w:r>
          </w:p>
        </w:tc>
        <w:tc>
          <w:tcPr>
            <w:tcW w:w="1005" w:type="dxa"/>
            <w:tcBorders>
              <w:top w:val="nil"/>
              <w:left w:val="nil"/>
              <w:bottom w:val="single" w:sz="4" w:space="0" w:color="auto"/>
              <w:right w:val="single" w:sz="4" w:space="0" w:color="auto"/>
            </w:tcBorders>
            <w:shd w:val="clear" w:color="auto" w:fill="auto"/>
            <w:noWrap/>
            <w:hideMark/>
          </w:tcPr>
          <w:p w14:paraId="692185E4" w14:textId="77777777" w:rsidR="006F0BB0" w:rsidRPr="006F0BB0" w:rsidRDefault="006F0BB0" w:rsidP="007D1DBA">
            <w:pPr>
              <w:jc w:val="right"/>
              <w:rPr>
                <w:sz w:val="18"/>
                <w:szCs w:val="18"/>
                <w:lang w:val="es-419" w:eastAsia="es-419"/>
              </w:rPr>
            </w:pPr>
            <w:r w:rsidRPr="006F0BB0">
              <w:rPr>
                <w:sz w:val="18"/>
                <w:szCs w:val="18"/>
                <w:lang w:val="es-419" w:eastAsia="es-419"/>
              </w:rPr>
              <w:t>48 827</w:t>
            </w:r>
          </w:p>
        </w:tc>
        <w:tc>
          <w:tcPr>
            <w:tcW w:w="1181" w:type="dxa"/>
            <w:tcBorders>
              <w:top w:val="nil"/>
              <w:left w:val="nil"/>
              <w:bottom w:val="single" w:sz="4" w:space="0" w:color="auto"/>
              <w:right w:val="single" w:sz="4" w:space="0" w:color="auto"/>
            </w:tcBorders>
            <w:shd w:val="clear" w:color="auto" w:fill="auto"/>
            <w:noWrap/>
            <w:hideMark/>
          </w:tcPr>
          <w:p w14:paraId="461A792F" w14:textId="77777777" w:rsidR="006F0BB0" w:rsidRPr="006F0BB0" w:rsidRDefault="006F0BB0" w:rsidP="007D1DBA">
            <w:pPr>
              <w:jc w:val="right"/>
              <w:rPr>
                <w:sz w:val="18"/>
                <w:szCs w:val="18"/>
                <w:lang w:val="es-419" w:eastAsia="es-419"/>
              </w:rPr>
            </w:pPr>
            <w:r w:rsidRPr="006F0BB0">
              <w:rPr>
                <w:sz w:val="18"/>
                <w:szCs w:val="18"/>
                <w:lang w:val="es-419" w:eastAsia="es-419"/>
              </w:rPr>
              <w:t>69,5%</w:t>
            </w:r>
          </w:p>
        </w:tc>
      </w:tr>
      <w:tr w:rsidR="006F0BB0" w:rsidRPr="006F0BB0" w14:paraId="1F9807AE"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B61F4F" w14:textId="77777777" w:rsidR="006F0BB0" w:rsidRPr="006F0BB0" w:rsidRDefault="006F0BB0" w:rsidP="007D1DBA">
            <w:pPr>
              <w:jc w:val="left"/>
              <w:rPr>
                <w:sz w:val="18"/>
                <w:szCs w:val="18"/>
                <w:lang w:val="es-419" w:eastAsia="es-419"/>
              </w:rPr>
            </w:pPr>
            <w:r w:rsidRPr="006F0BB0">
              <w:rPr>
                <w:sz w:val="18"/>
                <w:szCs w:val="18"/>
                <w:lang w:val="es-419" w:eastAsia="es-419"/>
              </w:rPr>
              <w:t>Sudán</w:t>
            </w:r>
          </w:p>
        </w:tc>
        <w:tc>
          <w:tcPr>
            <w:tcW w:w="950" w:type="dxa"/>
            <w:tcBorders>
              <w:top w:val="nil"/>
              <w:left w:val="nil"/>
              <w:bottom w:val="single" w:sz="4" w:space="0" w:color="auto"/>
              <w:right w:val="single" w:sz="4" w:space="0" w:color="auto"/>
            </w:tcBorders>
            <w:shd w:val="clear" w:color="auto" w:fill="auto"/>
            <w:noWrap/>
            <w:hideMark/>
          </w:tcPr>
          <w:p w14:paraId="02DC000E" w14:textId="77777777" w:rsidR="006F0BB0" w:rsidRPr="006F0BB0" w:rsidRDefault="006F0BB0" w:rsidP="007D1DBA">
            <w:pPr>
              <w:jc w:val="right"/>
              <w:rPr>
                <w:sz w:val="18"/>
                <w:szCs w:val="18"/>
                <w:lang w:val="es-419" w:eastAsia="es-419"/>
              </w:rPr>
            </w:pPr>
            <w:r w:rsidRPr="006F0BB0">
              <w:rPr>
                <w:sz w:val="18"/>
                <w:szCs w:val="18"/>
                <w:lang w:val="es-419" w:eastAsia="es-419"/>
              </w:rPr>
              <w:t>735 220</w:t>
            </w:r>
          </w:p>
        </w:tc>
        <w:tc>
          <w:tcPr>
            <w:tcW w:w="950" w:type="dxa"/>
            <w:tcBorders>
              <w:top w:val="nil"/>
              <w:left w:val="nil"/>
              <w:bottom w:val="single" w:sz="4" w:space="0" w:color="auto"/>
              <w:right w:val="single" w:sz="4" w:space="0" w:color="auto"/>
            </w:tcBorders>
            <w:shd w:val="clear" w:color="auto" w:fill="auto"/>
            <w:noWrap/>
            <w:hideMark/>
          </w:tcPr>
          <w:p w14:paraId="4CFADCAC" w14:textId="77777777" w:rsidR="006F0BB0" w:rsidRPr="006F0BB0" w:rsidRDefault="006F0BB0" w:rsidP="007D1DBA">
            <w:pPr>
              <w:jc w:val="right"/>
              <w:rPr>
                <w:sz w:val="18"/>
                <w:szCs w:val="18"/>
                <w:lang w:val="es-419" w:eastAsia="es-419"/>
              </w:rPr>
            </w:pPr>
            <w:r w:rsidRPr="006F0BB0">
              <w:rPr>
                <w:sz w:val="18"/>
                <w:szCs w:val="18"/>
                <w:lang w:val="es-419" w:eastAsia="es-419"/>
              </w:rPr>
              <w:t>757 277</w:t>
            </w:r>
          </w:p>
        </w:tc>
        <w:tc>
          <w:tcPr>
            <w:tcW w:w="950" w:type="dxa"/>
            <w:tcBorders>
              <w:top w:val="nil"/>
              <w:left w:val="nil"/>
              <w:bottom w:val="single" w:sz="4" w:space="0" w:color="auto"/>
              <w:right w:val="single" w:sz="4" w:space="0" w:color="auto"/>
            </w:tcBorders>
            <w:shd w:val="clear" w:color="auto" w:fill="auto"/>
            <w:noWrap/>
            <w:hideMark/>
          </w:tcPr>
          <w:p w14:paraId="4EF0862E" w14:textId="77777777" w:rsidR="006F0BB0" w:rsidRPr="006F0BB0" w:rsidRDefault="006F0BB0" w:rsidP="007D1DBA">
            <w:pPr>
              <w:jc w:val="right"/>
              <w:rPr>
                <w:sz w:val="18"/>
                <w:szCs w:val="18"/>
                <w:lang w:val="es-419" w:eastAsia="es-419"/>
              </w:rPr>
            </w:pPr>
            <w:r w:rsidRPr="006F0BB0">
              <w:rPr>
                <w:sz w:val="18"/>
                <w:szCs w:val="18"/>
                <w:lang w:val="es-419" w:eastAsia="es-419"/>
              </w:rPr>
              <w:t>779 995</w:t>
            </w:r>
          </w:p>
        </w:tc>
        <w:tc>
          <w:tcPr>
            <w:tcW w:w="950" w:type="dxa"/>
            <w:tcBorders>
              <w:top w:val="nil"/>
              <w:left w:val="nil"/>
              <w:bottom w:val="single" w:sz="4" w:space="0" w:color="auto"/>
              <w:right w:val="single" w:sz="4" w:space="0" w:color="auto"/>
            </w:tcBorders>
            <w:shd w:val="clear" w:color="auto" w:fill="auto"/>
            <w:noWrap/>
            <w:hideMark/>
          </w:tcPr>
          <w:p w14:paraId="7C587F6E" w14:textId="77777777" w:rsidR="006F0BB0" w:rsidRPr="006F0BB0" w:rsidRDefault="006F0BB0" w:rsidP="007D1DBA">
            <w:pPr>
              <w:jc w:val="right"/>
              <w:rPr>
                <w:sz w:val="18"/>
                <w:szCs w:val="18"/>
                <w:lang w:val="es-419" w:eastAsia="es-419"/>
              </w:rPr>
            </w:pPr>
            <w:r w:rsidRPr="006F0BB0">
              <w:rPr>
                <w:sz w:val="18"/>
                <w:szCs w:val="18"/>
                <w:lang w:val="es-419" w:eastAsia="es-419"/>
              </w:rPr>
              <w:t>803 395</w:t>
            </w:r>
          </w:p>
        </w:tc>
        <w:tc>
          <w:tcPr>
            <w:tcW w:w="950" w:type="dxa"/>
            <w:tcBorders>
              <w:top w:val="nil"/>
              <w:left w:val="nil"/>
              <w:bottom w:val="single" w:sz="4" w:space="0" w:color="auto"/>
              <w:right w:val="single" w:sz="4" w:space="0" w:color="auto"/>
            </w:tcBorders>
            <w:shd w:val="clear" w:color="auto" w:fill="auto"/>
            <w:noWrap/>
            <w:hideMark/>
          </w:tcPr>
          <w:p w14:paraId="6A1D8E4D" w14:textId="77777777" w:rsidR="006F0BB0" w:rsidRPr="006F0BB0" w:rsidRDefault="006F0BB0" w:rsidP="007D1DBA">
            <w:pPr>
              <w:jc w:val="right"/>
              <w:rPr>
                <w:sz w:val="18"/>
                <w:szCs w:val="18"/>
                <w:lang w:val="es-419" w:eastAsia="es-419"/>
              </w:rPr>
            </w:pPr>
            <w:r w:rsidRPr="006F0BB0">
              <w:rPr>
                <w:sz w:val="18"/>
                <w:szCs w:val="18"/>
                <w:lang w:val="es-419" w:eastAsia="es-419"/>
              </w:rPr>
              <w:t>827 497</w:t>
            </w:r>
          </w:p>
        </w:tc>
        <w:tc>
          <w:tcPr>
            <w:tcW w:w="950" w:type="dxa"/>
            <w:tcBorders>
              <w:top w:val="nil"/>
              <w:left w:val="nil"/>
              <w:bottom w:val="single" w:sz="4" w:space="0" w:color="auto"/>
              <w:right w:val="single" w:sz="4" w:space="0" w:color="auto"/>
            </w:tcBorders>
            <w:shd w:val="clear" w:color="auto" w:fill="auto"/>
            <w:noWrap/>
            <w:hideMark/>
          </w:tcPr>
          <w:p w14:paraId="0AE91D2E" w14:textId="77777777" w:rsidR="006F0BB0" w:rsidRPr="006F0BB0" w:rsidRDefault="006F0BB0" w:rsidP="007D1DBA">
            <w:pPr>
              <w:jc w:val="right"/>
              <w:rPr>
                <w:sz w:val="18"/>
                <w:szCs w:val="18"/>
                <w:lang w:val="es-419" w:eastAsia="es-419"/>
              </w:rPr>
            </w:pPr>
            <w:r w:rsidRPr="006F0BB0">
              <w:rPr>
                <w:sz w:val="18"/>
                <w:szCs w:val="18"/>
                <w:lang w:val="es-419" w:eastAsia="es-419"/>
              </w:rPr>
              <w:t>852 321</w:t>
            </w:r>
          </w:p>
        </w:tc>
        <w:tc>
          <w:tcPr>
            <w:tcW w:w="950" w:type="dxa"/>
            <w:tcBorders>
              <w:top w:val="nil"/>
              <w:left w:val="nil"/>
              <w:bottom w:val="single" w:sz="4" w:space="0" w:color="auto"/>
              <w:right w:val="single" w:sz="4" w:space="0" w:color="auto"/>
            </w:tcBorders>
            <w:shd w:val="clear" w:color="auto" w:fill="auto"/>
            <w:noWrap/>
            <w:hideMark/>
          </w:tcPr>
          <w:p w14:paraId="2C113532" w14:textId="77777777" w:rsidR="006F0BB0" w:rsidRPr="006F0BB0" w:rsidRDefault="006F0BB0" w:rsidP="007D1DBA">
            <w:pPr>
              <w:jc w:val="right"/>
              <w:rPr>
                <w:sz w:val="18"/>
                <w:szCs w:val="18"/>
                <w:lang w:val="es-419" w:eastAsia="es-419"/>
              </w:rPr>
            </w:pPr>
            <w:r w:rsidRPr="006F0BB0">
              <w:rPr>
                <w:sz w:val="18"/>
                <w:szCs w:val="18"/>
                <w:lang w:val="es-419" w:eastAsia="es-419"/>
              </w:rPr>
              <w:t>780 222</w:t>
            </w:r>
          </w:p>
        </w:tc>
        <w:tc>
          <w:tcPr>
            <w:tcW w:w="1005" w:type="dxa"/>
            <w:tcBorders>
              <w:top w:val="nil"/>
              <w:left w:val="nil"/>
              <w:bottom w:val="single" w:sz="4" w:space="0" w:color="auto"/>
              <w:right w:val="single" w:sz="4" w:space="0" w:color="auto"/>
            </w:tcBorders>
            <w:shd w:val="clear" w:color="auto" w:fill="auto"/>
            <w:noWrap/>
            <w:hideMark/>
          </w:tcPr>
          <w:p w14:paraId="2B327D95" w14:textId="77777777" w:rsidR="006F0BB0" w:rsidRPr="006F0BB0" w:rsidRDefault="006F0BB0" w:rsidP="007D1DBA">
            <w:pPr>
              <w:jc w:val="right"/>
              <w:rPr>
                <w:sz w:val="18"/>
                <w:szCs w:val="18"/>
                <w:lang w:val="es-419" w:eastAsia="es-419"/>
              </w:rPr>
            </w:pPr>
            <w:r w:rsidRPr="006F0BB0">
              <w:rPr>
                <w:sz w:val="18"/>
                <w:szCs w:val="18"/>
                <w:lang w:val="es-419" w:eastAsia="es-419"/>
              </w:rPr>
              <w:t>1 211 414</w:t>
            </w:r>
          </w:p>
        </w:tc>
        <w:tc>
          <w:tcPr>
            <w:tcW w:w="1181" w:type="dxa"/>
            <w:tcBorders>
              <w:top w:val="nil"/>
              <w:left w:val="nil"/>
              <w:bottom w:val="single" w:sz="4" w:space="0" w:color="auto"/>
              <w:right w:val="single" w:sz="4" w:space="0" w:color="auto"/>
            </w:tcBorders>
            <w:shd w:val="clear" w:color="auto" w:fill="auto"/>
            <w:noWrap/>
            <w:hideMark/>
          </w:tcPr>
          <w:p w14:paraId="4B087C5E" w14:textId="77777777" w:rsidR="006F0BB0" w:rsidRPr="006F0BB0" w:rsidRDefault="006F0BB0" w:rsidP="007D1DBA">
            <w:pPr>
              <w:jc w:val="right"/>
              <w:rPr>
                <w:sz w:val="18"/>
                <w:szCs w:val="18"/>
                <w:lang w:val="es-419" w:eastAsia="es-419"/>
              </w:rPr>
            </w:pPr>
            <w:r w:rsidRPr="006F0BB0">
              <w:rPr>
                <w:sz w:val="18"/>
                <w:szCs w:val="18"/>
                <w:lang w:val="es-419" w:eastAsia="es-419"/>
              </w:rPr>
              <w:t>70,4%</w:t>
            </w:r>
          </w:p>
        </w:tc>
      </w:tr>
      <w:tr w:rsidR="006F0BB0" w:rsidRPr="006F0BB0" w14:paraId="7354C36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66B5669"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Bhután</w:t>
            </w:r>
            <w:proofErr w:type="spellEnd"/>
          </w:p>
        </w:tc>
        <w:tc>
          <w:tcPr>
            <w:tcW w:w="950" w:type="dxa"/>
            <w:tcBorders>
              <w:top w:val="nil"/>
              <w:left w:val="nil"/>
              <w:bottom w:val="single" w:sz="4" w:space="0" w:color="auto"/>
              <w:right w:val="single" w:sz="4" w:space="0" w:color="auto"/>
            </w:tcBorders>
            <w:shd w:val="clear" w:color="auto" w:fill="auto"/>
            <w:noWrap/>
            <w:hideMark/>
          </w:tcPr>
          <w:p w14:paraId="7EDEB675" w14:textId="77777777" w:rsidR="006F0BB0" w:rsidRPr="006F0BB0" w:rsidRDefault="006F0BB0" w:rsidP="007D1DBA">
            <w:pPr>
              <w:jc w:val="right"/>
              <w:rPr>
                <w:sz w:val="18"/>
                <w:szCs w:val="18"/>
                <w:lang w:val="es-419" w:eastAsia="es-419"/>
              </w:rPr>
            </w:pPr>
            <w:r w:rsidRPr="006F0BB0">
              <w:rPr>
                <w:sz w:val="18"/>
                <w:szCs w:val="18"/>
                <w:lang w:val="es-419" w:eastAsia="es-419"/>
              </w:rPr>
              <w:t>11 659</w:t>
            </w:r>
          </w:p>
        </w:tc>
        <w:tc>
          <w:tcPr>
            <w:tcW w:w="950" w:type="dxa"/>
            <w:tcBorders>
              <w:top w:val="nil"/>
              <w:left w:val="nil"/>
              <w:bottom w:val="single" w:sz="4" w:space="0" w:color="auto"/>
              <w:right w:val="single" w:sz="4" w:space="0" w:color="auto"/>
            </w:tcBorders>
            <w:shd w:val="clear" w:color="auto" w:fill="auto"/>
            <w:noWrap/>
            <w:hideMark/>
          </w:tcPr>
          <w:p w14:paraId="410AAF2C" w14:textId="77777777" w:rsidR="006F0BB0" w:rsidRPr="006F0BB0" w:rsidRDefault="006F0BB0" w:rsidP="007D1DBA">
            <w:pPr>
              <w:jc w:val="right"/>
              <w:rPr>
                <w:sz w:val="18"/>
                <w:szCs w:val="18"/>
                <w:lang w:val="es-419" w:eastAsia="es-419"/>
              </w:rPr>
            </w:pPr>
            <w:r w:rsidRPr="006F0BB0">
              <w:rPr>
                <w:sz w:val="18"/>
                <w:szCs w:val="18"/>
                <w:lang w:val="es-419" w:eastAsia="es-419"/>
              </w:rPr>
              <w:t>12 009</w:t>
            </w:r>
          </w:p>
        </w:tc>
        <w:tc>
          <w:tcPr>
            <w:tcW w:w="950" w:type="dxa"/>
            <w:tcBorders>
              <w:top w:val="nil"/>
              <w:left w:val="nil"/>
              <w:bottom w:val="single" w:sz="4" w:space="0" w:color="auto"/>
              <w:right w:val="single" w:sz="4" w:space="0" w:color="auto"/>
            </w:tcBorders>
            <w:shd w:val="clear" w:color="auto" w:fill="auto"/>
            <w:noWrap/>
            <w:hideMark/>
          </w:tcPr>
          <w:p w14:paraId="51EF10D0" w14:textId="77777777" w:rsidR="006F0BB0" w:rsidRPr="006F0BB0" w:rsidRDefault="006F0BB0" w:rsidP="007D1DBA">
            <w:pPr>
              <w:jc w:val="right"/>
              <w:rPr>
                <w:sz w:val="18"/>
                <w:szCs w:val="18"/>
                <w:lang w:val="es-419" w:eastAsia="es-419"/>
              </w:rPr>
            </w:pPr>
            <w:r w:rsidRPr="006F0BB0">
              <w:rPr>
                <w:sz w:val="18"/>
                <w:szCs w:val="18"/>
                <w:lang w:val="es-419" w:eastAsia="es-419"/>
              </w:rPr>
              <w:t>12 369</w:t>
            </w:r>
          </w:p>
        </w:tc>
        <w:tc>
          <w:tcPr>
            <w:tcW w:w="950" w:type="dxa"/>
            <w:tcBorders>
              <w:top w:val="nil"/>
              <w:left w:val="nil"/>
              <w:bottom w:val="single" w:sz="4" w:space="0" w:color="auto"/>
              <w:right w:val="single" w:sz="4" w:space="0" w:color="auto"/>
            </w:tcBorders>
            <w:shd w:val="clear" w:color="auto" w:fill="auto"/>
            <w:noWrap/>
            <w:hideMark/>
          </w:tcPr>
          <w:p w14:paraId="5B64CFA1" w14:textId="77777777" w:rsidR="006F0BB0" w:rsidRPr="006F0BB0" w:rsidRDefault="006F0BB0" w:rsidP="007D1DBA">
            <w:pPr>
              <w:jc w:val="right"/>
              <w:rPr>
                <w:sz w:val="18"/>
                <w:szCs w:val="18"/>
                <w:lang w:val="es-419" w:eastAsia="es-419"/>
              </w:rPr>
            </w:pPr>
            <w:r w:rsidRPr="006F0BB0">
              <w:rPr>
                <w:sz w:val="18"/>
                <w:szCs w:val="18"/>
                <w:lang w:val="es-419" w:eastAsia="es-419"/>
              </w:rPr>
              <w:t>12 740</w:t>
            </w:r>
          </w:p>
        </w:tc>
        <w:tc>
          <w:tcPr>
            <w:tcW w:w="950" w:type="dxa"/>
            <w:tcBorders>
              <w:top w:val="nil"/>
              <w:left w:val="nil"/>
              <w:bottom w:val="single" w:sz="4" w:space="0" w:color="auto"/>
              <w:right w:val="single" w:sz="4" w:space="0" w:color="auto"/>
            </w:tcBorders>
            <w:shd w:val="clear" w:color="auto" w:fill="auto"/>
            <w:noWrap/>
            <w:hideMark/>
          </w:tcPr>
          <w:p w14:paraId="457E4C0C" w14:textId="77777777" w:rsidR="006F0BB0" w:rsidRPr="006F0BB0" w:rsidRDefault="006F0BB0" w:rsidP="007D1DBA">
            <w:pPr>
              <w:jc w:val="right"/>
              <w:rPr>
                <w:sz w:val="18"/>
                <w:szCs w:val="18"/>
                <w:lang w:val="es-419" w:eastAsia="es-419"/>
              </w:rPr>
            </w:pPr>
            <w:r w:rsidRPr="006F0BB0">
              <w:rPr>
                <w:sz w:val="18"/>
                <w:szCs w:val="18"/>
                <w:lang w:val="es-419" w:eastAsia="es-419"/>
              </w:rPr>
              <w:t>13 122</w:t>
            </w:r>
          </w:p>
        </w:tc>
        <w:tc>
          <w:tcPr>
            <w:tcW w:w="950" w:type="dxa"/>
            <w:tcBorders>
              <w:top w:val="nil"/>
              <w:left w:val="nil"/>
              <w:bottom w:val="single" w:sz="4" w:space="0" w:color="auto"/>
              <w:right w:val="single" w:sz="4" w:space="0" w:color="auto"/>
            </w:tcBorders>
            <w:shd w:val="clear" w:color="auto" w:fill="auto"/>
            <w:noWrap/>
            <w:hideMark/>
          </w:tcPr>
          <w:p w14:paraId="19384C2B" w14:textId="77777777" w:rsidR="006F0BB0" w:rsidRPr="006F0BB0" w:rsidRDefault="006F0BB0" w:rsidP="007D1DBA">
            <w:pPr>
              <w:jc w:val="right"/>
              <w:rPr>
                <w:sz w:val="18"/>
                <w:szCs w:val="18"/>
                <w:lang w:val="es-419" w:eastAsia="es-419"/>
              </w:rPr>
            </w:pPr>
            <w:r w:rsidRPr="006F0BB0">
              <w:rPr>
                <w:sz w:val="18"/>
                <w:szCs w:val="18"/>
                <w:lang w:val="es-419" w:eastAsia="es-419"/>
              </w:rPr>
              <w:t>13 516</w:t>
            </w:r>
          </w:p>
        </w:tc>
        <w:tc>
          <w:tcPr>
            <w:tcW w:w="950" w:type="dxa"/>
            <w:tcBorders>
              <w:top w:val="nil"/>
              <w:left w:val="nil"/>
              <w:bottom w:val="single" w:sz="4" w:space="0" w:color="auto"/>
              <w:right w:val="single" w:sz="4" w:space="0" w:color="auto"/>
            </w:tcBorders>
            <w:shd w:val="clear" w:color="auto" w:fill="auto"/>
            <w:noWrap/>
            <w:hideMark/>
          </w:tcPr>
          <w:p w14:paraId="1FCEBF00" w14:textId="77777777" w:rsidR="006F0BB0" w:rsidRPr="006F0BB0" w:rsidRDefault="006F0BB0" w:rsidP="007D1DBA">
            <w:pPr>
              <w:jc w:val="right"/>
              <w:rPr>
                <w:sz w:val="18"/>
                <w:szCs w:val="18"/>
                <w:lang w:val="es-419" w:eastAsia="es-419"/>
              </w:rPr>
            </w:pPr>
            <w:r w:rsidRPr="006F0BB0">
              <w:rPr>
                <w:sz w:val="18"/>
                <w:szCs w:val="18"/>
                <w:lang w:val="es-419" w:eastAsia="es-419"/>
              </w:rPr>
              <w:t>12 373</w:t>
            </w:r>
          </w:p>
        </w:tc>
        <w:tc>
          <w:tcPr>
            <w:tcW w:w="1005" w:type="dxa"/>
            <w:tcBorders>
              <w:top w:val="nil"/>
              <w:left w:val="nil"/>
              <w:bottom w:val="single" w:sz="4" w:space="0" w:color="auto"/>
              <w:right w:val="single" w:sz="4" w:space="0" w:color="auto"/>
            </w:tcBorders>
            <w:shd w:val="clear" w:color="auto" w:fill="auto"/>
            <w:noWrap/>
            <w:hideMark/>
          </w:tcPr>
          <w:p w14:paraId="59823160" w14:textId="77777777" w:rsidR="006F0BB0" w:rsidRPr="006F0BB0" w:rsidRDefault="006F0BB0" w:rsidP="007D1DBA">
            <w:pPr>
              <w:jc w:val="right"/>
              <w:rPr>
                <w:sz w:val="18"/>
                <w:szCs w:val="18"/>
                <w:lang w:val="es-419" w:eastAsia="es-419"/>
              </w:rPr>
            </w:pPr>
            <w:r w:rsidRPr="006F0BB0">
              <w:rPr>
                <w:sz w:val="18"/>
                <w:szCs w:val="18"/>
                <w:lang w:val="es-419" w:eastAsia="es-419"/>
              </w:rPr>
              <w:t>18 982</w:t>
            </w:r>
          </w:p>
        </w:tc>
        <w:tc>
          <w:tcPr>
            <w:tcW w:w="1181" w:type="dxa"/>
            <w:tcBorders>
              <w:top w:val="nil"/>
              <w:left w:val="nil"/>
              <w:bottom w:val="single" w:sz="4" w:space="0" w:color="auto"/>
              <w:right w:val="single" w:sz="4" w:space="0" w:color="auto"/>
            </w:tcBorders>
            <w:shd w:val="clear" w:color="auto" w:fill="auto"/>
            <w:noWrap/>
            <w:hideMark/>
          </w:tcPr>
          <w:p w14:paraId="72AD0990" w14:textId="77777777" w:rsidR="006F0BB0" w:rsidRPr="006F0BB0" w:rsidRDefault="006F0BB0" w:rsidP="007D1DBA">
            <w:pPr>
              <w:jc w:val="right"/>
              <w:rPr>
                <w:sz w:val="18"/>
                <w:szCs w:val="18"/>
                <w:lang w:val="es-419" w:eastAsia="es-419"/>
              </w:rPr>
            </w:pPr>
            <w:r w:rsidRPr="006F0BB0">
              <w:rPr>
                <w:sz w:val="18"/>
                <w:szCs w:val="18"/>
                <w:lang w:val="es-419" w:eastAsia="es-419"/>
              </w:rPr>
              <w:t>71,2%</w:t>
            </w:r>
          </w:p>
        </w:tc>
      </w:tr>
      <w:tr w:rsidR="006F0BB0" w:rsidRPr="006F0BB0" w14:paraId="1F9C275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D974C7" w14:textId="77777777" w:rsidR="006F0BB0" w:rsidRPr="006F0BB0" w:rsidRDefault="006F0BB0" w:rsidP="007D1DBA">
            <w:pPr>
              <w:jc w:val="left"/>
              <w:rPr>
                <w:sz w:val="18"/>
                <w:szCs w:val="18"/>
                <w:lang w:val="es-419" w:eastAsia="es-419"/>
              </w:rPr>
            </w:pPr>
            <w:r w:rsidRPr="006F0BB0">
              <w:rPr>
                <w:sz w:val="18"/>
                <w:szCs w:val="18"/>
                <w:lang w:val="es-419" w:eastAsia="es-419"/>
              </w:rPr>
              <w:t>Palau</w:t>
            </w:r>
          </w:p>
        </w:tc>
        <w:tc>
          <w:tcPr>
            <w:tcW w:w="950" w:type="dxa"/>
            <w:tcBorders>
              <w:top w:val="nil"/>
              <w:left w:val="nil"/>
              <w:bottom w:val="single" w:sz="4" w:space="0" w:color="auto"/>
              <w:right w:val="single" w:sz="4" w:space="0" w:color="auto"/>
            </w:tcBorders>
            <w:shd w:val="clear" w:color="auto" w:fill="auto"/>
            <w:noWrap/>
            <w:hideMark/>
          </w:tcPr>
          <w:p w14:paraId="5261C3D8" w14:textId="77777777" w:rsidR="006F0BB0" w:rsidRPr="006F0BB0" w:rsidRDefault="006F0BB0" w:rsidP="007D1DBA">
            <w:pPr>
              <w:jc w:val="right"/>
              <w:rPr>
                <w:sz w:val="18"/>
                <w:szCs w:val="18"/>
                <w:lang w:val="es-419" w:eastAsia="es-419"/>
              </w:rPr>
            </w:pPr>
            <w:r w:rsidRPr="006F0BB0">
              <w:rPr>
                <w:sz w:val="18"/>
                <w:szCs w:val="18"/>
                <w:lang w:val="es-419" w:eastAsia="es-419"/>
              </w:rPr>
              <w:t>6 436</w:t>
            </w:r>
          </w:p>
        </w:tc>
        <w:tc>
          <w:tcPr>
            <w:tcW w:w="950" w:type="dxa"/>
            <w:tcBorders>
              <w:top w:val="nil"/>
              <w:left w:val="nil"/>
              <w:bottom w:val="single" w:sz="4" w:space="0" w:color="auto"/>
              <w:right w:val="single" w:sz="4" w:space="0" w:color="auto"/>
            </w:tcBorders>
            <w:shd w:val="clear" w:color="auto" w:fill="auto"/>
            <w:noWrap/>
            <w:hideMark/>
          </w:tcPr>
          <w:p w14:paraId="0BA30F3D" w14:textId="77777777" w:rsidR="006F0BB0" w:rsidRPr="006F0BB0" w:rsidRDefault="006F0BB0" w:rsidP="007D1DBA">
            <w:pPr>
              <w:jc w:val="right"/>
              <w:rPr>
                <w:sz w:val="18"/>
                <w:szCs w:val="18"/>
                <w:lang w:val="es-419" w:eastAsia="es-419"/>
              </w:rPr>
            </w:pPr>
            <w:r w:rsidRPr="006F0BB0">
              <w:rPr>
                <w:sz w:val="18"/>
                <w:szCs w:val="18"/>
                <w:lang w:val="es-419" w:eastAsia="es-419"/>
              </w:rPr>
              <w:t>6 629</w:t>
            </w:r>
          </w:p>
        </w:tc>
        <w:tc>
          <w:tcPr>
            <w:tcW w:w="950" w:type="dxa"/>
            <w:tcBorders>
              <w:top w:val="nil"/>
              <w:left w:val="nil"/>
              <w:bottom w:val="single" w:sz="4" w:space="0" w:color="auto"/>
              <w:right w:val="single" w:sz="4" w:space="0" w:color="auto"/>
            </w:tcBorders>
            <w:shd w:val="clear" w:color="auto" w:fill="auto"/>
            <w:noWrap/>
            <w:hideMark/>
          </w:tcPr>
          <w:p w14:paraId="098C3B81" w14:textId="77777777" w:rsidR="006F0BB0" w:rsidRPr="006F0BB0" w:rsidRDefault="006F0BB0" w:rsidP="007D1DBA">
            <w:pPr>
              <w:jc w:val="right"/>
              <w:rPr>
                <w:sz w:val="18"/>
                <w:szCs w:val="18"/>
                <w:lang w:val="es-419" w:eastAsia="es-419"/>
              </w:rPr>
            </w:pPr>
            <w:r w:rsidRPr="006F0BB0">
              <w:rPr>
                <w:sz w:val="18"/>
                <w:szCs w:val="18"/>
                <w:lang w:val="es-419" w:eastAsia="es-419"/>
              </w:rPr>
              <w:t>6 828</w:t>
            </w:r>
          </w:p>
        </w:tc>
        <w:tc>
          <w:tcPr>
            <w:tcW w:w="950" w:type="dxa"/>
            <w:tcBorders>
              <w:top w:val="nil"/>
              <w:left w:val="nil"/>
              <w:bottom w:val="single" w:sz="4" w:space="0" w:color="auto"/>
              <w:right w:val="single" w:sz="4" w:space="0" w:color="auto"/>
            </w:tcBorders>
            <w:shd w:val="clear" w:color="auto" w:fill="auto"/>
            <w:noWrap/>
            <w:hideMark/>
          </w:tcPr>
          <w:p w14:paraId="63D37B02" w14:textId="77777777" w:rsidR="006F0BB0" w:rsidRPr="006F0BB0" w:rsidRDefault="006F0BB0" w:rsidP="007D1DBA">
            <w:pPr>
              <w:jc w:val="right"/>
              <w:rPr>
                <w:sz w:val="18"/>
                <w:szCs w:val="18"/>
                <w:lang w:val="es-419" w:eastAsia="es-419"/>
              </w:rPr>
            </w:pPr>
            <w:r w:rsidRPr="006F0BB0">
              <w:rPr>
                <w:sz w:val="18"/>
                <w:szCs w:val="18"/>
                <w:lang w:val="es-419" w:eastAsia="es-419"/>
              </w:rPr>
              <w:t>7 033</w:t>
            </w:r>
          </w:p>
        </w:tc>
        <w:tc>
          <w:tcPr>
            <w:tcW w:w="950" w:type="dxa"/>
            <w:tcBorders>
              <w:top w:val="nil"/>
              <w:left w:val="nil"/>
              <w:bottom w:val="single" w:sz="4" w:space="0" w:color="auto"/>
              <w:right w:val="single" w:sz="4" w:space="0" w:color="auto"/>
            </w:tcBorders>
            <w:shd w:val="clear" w:color="auto" w:fill="auto"/>
            <w:noWrap/>
            <w:hideMark/>
          </w:tcPr>
          <w:p w14:paraId="4322EFF1" w14:textId="77777777" w:rsidR="006F0BB0" w:rsidRPr="006F0BB0" w:rsidRDefault="006F0BB0" w:rsidP="007D1DBA">
            <w:pPr>
              <w:jc w:val="right"/>
              <w:rPr>
                <w:sz w:val="18"/>
                <w:szCs w:val="18"/>
                <w:lang w:val="es-419" w:eastAsia="es-419"/>
              </w:rPr>
            </w:pPr>
            <w:r w:rsidRPr="006F0BB0">
              <w:rPr>
                <w:sz w:val="18"/>
                <w:szCs w:val="18"/>
                <w:lang w:val="es-419" w:eastAsia="es-419"/>
              </w:rPr>
              <w:t>7 244</w:t>
            </w:r>
          </w:p>
        </w:tc>
        <w:tc>
          <w:tcPr>
            <w:tcW w:w="950" w:type="dxa"/>
            <w:tcBorders>
              <w:top w:val="nil"/>
              <w:left w:val="nil"/>
              <w:bottom w:val="single" w:sz="4" w:space="0" w:color="auto"/>
              <w:right w:val="single" w:sz="4" w:space="0" w:color="auto"/>
            </w:tcBorders>
            <w:shd w:val="clear" w:color="auto" w:fill="auto"/>
            <w:noWrap/>
            <w:hideMark/>
          </w:tcPr>
          <w:p w14:paraId="2E5BBFD4" w14:textId="77777777" w:rsidR="006F0BB0" w:rsidRPr="006F0BB0" w:rsidRDefault="006F0BB0" w:rsidP="007D1DBA">
            <w:pPr>
              <w:jc w:val="right"/>
              <w:rPr>
                <w:sz w:val="18"/>
                <w:szCs w:val="18"/>
                <w:lang w:val="es-419" w:eastAsia="es-419"/>
              </w:rPr>
            </w:pPr>
            <w:r w:rsidRPr="006F0BB0">
              <w:rPr>
                <w:sz w:val="18"/>
                <w:szCs w:val="18"/>
                <w:lang w:val="es-419" w:eastAsia="es-419"/>
              </w:rPr>
              <w:t>7 461</w:t>
            </w:r>
          </w:p>
        </w:tc>
        <w:tc>
          <w:tcPr>
            <w:tcW w:w="950" w:type="dxa"/>
            <w:tcBorders>
              <w:top w:val="nil"/>
              <w:left w:val="nil"/>
              <w:bottom w:val="single" w:sz="4" w:space="0" w:color="auto"/>
              <w:right w:val="single" w:sz="4" w:space="0" w:color="auto"/>
            </w:tcBorders>
            <w:shd w:val="clear" w:color="auto" w:fill="auto"/>
            <w:noWrap/>
            <w:hideMark/>
          </w:tcPr>
          <w:p w14:paraId="10DAE23D" w14:textId="77777777" w:rsidR="006F0BB0" w:rsidRPr="006F0BB0" w:rsidRDefault="006F0BB0" w:rsidP="007D1DBA">
            <w:pPr>
              <w:jc w:val="right"/>
              <w:rPr>
                <w:sz w:val="18"/>
                <w:szCs w:val="18"/>
                <w:lang w:val="es-419" w:eastAsia="es-419"/>
              </w:rPr>
            </w:pPr>
            <w:r w:rsidRPr="006F0BB0">
              <w:rPr>
                <w:sz w:val="18"/>
                <w:szCs w:val="18"/>
                <w:lang w:val="es-419" w:eastAsia="es-419"/>
              </w:rPr>
              <w:t>6 830</w:t>
            </w:r>
          </w:p>
        </w:tc>
        <w:tc>
          <w:tcPr>
            <w:tcW w:w="1005" w:type="dxa"/>
            <w:tcBorders>
              <w:top w:val="nil"/>
              <w:left w:val="nil"/>
              <w:bottom w:val="single" w:sz="4" w:space="0" w:color="auto"/>
              <w:right w:val="single" w:sz="4" w:space="0" w:color="auto"/>
            </w:tcBorders>
            <w:shd w:val="clear" w:color="auto" w:fill="auto"/>
            <w:noWrap/>
            <w:hideMark/>
          </w:tcPr>
          <w:p w14:paraId="3825F6CF" w14:textId="77777777" w:rsidR="006F0BB0" w:rsidRPr="006F0BB0" w:rsidRDefault="006F0BB0" w:rsidP="007D1DBA">
            <w:pPr>
              <w:jc w:val="right"/>
              <w:rPr>
                <w:sz w:val="18"/>
                <w:szCs w:val="18"/>
                <w:lang w:val="es-419" w:eastAsia="es-419"/>
              </w:rPr>
            </w:pPr>
            <w:r w:rsidRPr="006F0BB0">
              <w:rPr>
                <w:sz w:val="18"/>
                <w:szCs w:val="18"/>
                <w:lang w:val="es-419" w:eastAsia="es-419"/>
              </w:rPr>
              <w:t>10 324</w:t>
            </w:r>
          </w:p>
        </w:tc>
        <w:tc>
          <w:tcPr>
            <w:tcW w:w="1181" w:type="dxa"/>
            <w:tcBorders>
              <w:top w:val="nil"/>
              <w:left w:val="nil"/>
              <w:bottom w:val="single" w:sz="4" w:space="0" w:color="auto"/>
              <w:right w:val="single" w:sz="4" w:space="0" w:color="auto"/>
            </w:tcBorders>
            <w:shd w:val="clear" w:color="auto" w:fill="auto"/>
            <w:noWrap/>
            <w:hideMark/>
          </w:tcPr>
          <w:p w14:paraId="237A22F7" w14:textId="77777777" w:rsidR="006F0BB0" w:rsidRPr="006F0BB0" w:rsidRDefault="006F0BB0" w:rsidP="007D1DBA">
            <w:pPr>
              <w:jc w:val="right"/>
              <w:rPr>
                <w:sz w:val="18"/>
                <w:szCs w:val="18"/>
                <w:lang w:val="es-419" w:eastAsia="es-419"/>
              </w:rPr>
            </w:pPr>
            <w:r w:rsidRPr="006F0BB0">
              <w:rPr>
                <w:sz w:val="18"/>
                <w:szCs w:val="18"/>
                <w:lang w:val="es-419" w:eastAsia="es-419"/>
              </w:rPr>
              <w:t>72,3%</w:t>
            </w:r>
          </w:p>
        </w:tc>
      </w:tr>
      <w:tr w:rsidR="006F0BB0" w:rsidRPr="006F0BB0" w14:paraId="7D6C4379"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49CE9C6" w14:textId="77777777" w:rsidR="006F0BB0" w:rsidRPr="006F0BB0" w:rsidRDefault="006F0BB0" w:rsidP="007D1DBA">
            <w:pPr>
              <w:jc w:val="left"/>
              <w:rPr>
                <w:sz w:val="18"/>
                <w:szCs w:val="18"/>
                <w:lang w:val="es-419" w:eastAsia="es-419"/>
              </w:rPr>
            </w:pPr>
            <w:r w:rsidRPr="006F0BB0">
              <w:rPr>
                <w:sz w:val="18"/>
                <w:szCs w:val="18"/>
                <w:lang w:val="es-419" w:eastAsia="es-419"/>
              </w:rPr>
              <w:t>Vanuatu</w:t>
            </w:r>
          </w:p>
        </w:tc>
        <w:tc>
          <w:tcPr>
            <w:tcW w:w="950" w:type="dxa"/>
            <w:tcBorders>
              <w:top w:val="nil"/>
              <w:left w:val="nil"/>
              <w:bottom w:val="single" w:sz="4" w:space="0" w:color="auto"/>
              <w:right w:val="single" w:sz="4" w:space="0" w:color="auto"/>
            </w:tcBorders>
            <w:shd w:val="clear" w:color="auto" w:fill="auto"/>
            <w:noWrap/>
            <w:hideMark/>
          </w:tcPr>
          <w:p w14:paraId="52C1363B" w14:textId="77777777" w:rsidR="006F0BB0" w:rsidRPr="006F0BB0" w:rsidRDefault="006F0BB0" w:rsidP="007D1DBA">
            <w:pPr>
              <w:jc w:val="right"/>
              <w:rPr>
                <w:sz w:val="18"/>
                <w:szCs w:val="18"/>
                <w:lang w:val="es-419" w:eastAsia="es-419"/>
              </w:rPr>
            </w:pPr>
            <w:r w:rsidRPr="006F0BB0">
              <w:rPr>
                <w:sz w:val="18"/>
                <w:szCs w:val="18"/>
                <w:lang w:val="es-419" w:eastAsia="es-419"/>
              </w:rPr>
              <w:t>11 351</w:t>
            </w:r>
          </w:p>
        </w:tc>
        <w:tc>
          <w:tcPr>
            <w:tcW w:w="950" w:type="dxa"/>
            <w:tcBorders>
              <w:top w:val="nil"/>
              <w:left w:val="nil"/>
              <w:bottom w:val="single" w:sz="4" w:space="0" w:color="auto"/>
              <w:right w:val="single" w:sz="4" w:space="0" w:color="auto"/>
            </w:tcBorders>
            <w:shd w:val="clear" w:color="auto" w:fill="auto"/>
            <w:noWrap/>
            <w:hideMark/>
          </w:tcPr>
          <w:p w14:paraId="594A6573" w14:textId="77777777" w:rsidR="006F0BB0" w:rsidRPr="006F0BB0" w:rsidRDefault="006F0BB0" w:rsidP="007D1DBA">
            <w:pPr>
              <w:jc w:val="right"/>
              <w:rPr>
                <w:sz w:val="18"/>
                <w:szCs w:val="18"/>
                <w:lang w:val="es-419" w:eastAsia="es-419"/>
              </w:rPr>
            </w:pPr>
            <w:r w:rsidRPr="006F0BB0">
              <w:rPr>
                <w:sz w:val="18"/>
                <w:szCs w:val="18"/>
                <w:lang w:val="es-419" w:eastAsia="es-419"/>
              </w:rPr>
              <w:t>11 692</w:t>
            </w:r>
          </w:p>
        </w:tc>
        <w:tc>
          <w:tcPr>
            <w:tcW w:w="950" w:type="dxa"/>
            <w:tcBorders>
              <w:top w:val="nil"/>
              <w:left w:val="nil"/>
              <w:bottom w:val="single" w:sz="4" w:space="0" w:color="auto"/>
              <w:right w:val="single" w:sz="4" w:space="0" w:color="auto"/>
            </w:tcBorders>
            <w:shd w:val="clear" w:color="auto" w:fill="auto"/>
            <w:noWrap/>
            <w:hideMark/>
          </w:tcPr>
          <w:p w14:paraId="1622DBD3" w14:textId="77777777" w:rsidR="006F0BB0" w:rsidRPr="006F0BB0" w:rsidRDefault="006F0BB0" w:rsidP="007D1DBA">
            <w:pPr>
              <w:jc w:val="right"/>
              <w:rPr>
                <w:sz w:val="18"/>
                <w:szCs w:val="18"/>
                <w:lang w:val="es-419" w:eastAsia="es-419"/>
              </w:rPr>
            </w:pPr>
            <w:r w:rsidRPr="006F0BB0">
              <w:rPr>
                <w:sz w:val="18"/>
                <w:szCs w:val="18"/>
                <w:lang w:val="es-419" w:eastAsia="es-419"/>
              </w:rPr>
              <w:t>12 042</w:t>
            </w:r>
          </w:p>
        </w:tc>
        <w:tc>
          <w:tcPr>
            <w:tcW w:w="950" w:type="dxa"/>
            <w:tcBorders>
              <w:top w:val="nil"/>
              <w:left w:val="nil"/>
              <w:bottom w:val="single" w:sz="4" w:space="0" w:color="auto"/>
              <w:right w:val="single" w:sz="4" w:space="0" w:color="auto"/>
            </w:tcBorders>
            <w:shd w:val="clear" w:color="auto" w:fill="auto"/>
            <w:noWrap/>
            <w:hideMark/>
          </w:tcPr>
          <w:p w14:paraId="5257E878" w14:textId="77777777" w:rsidR="006F0BB0" w:rsidRPr="006F0BB0" w:rsidRDefault="006F0BB0" w:rsidP="007D1DBA">
            <w:pPr>
              <w:jc w:val="right"/>
              <w:rPr>
                <w:sz w:val="18"/>
                <w:szCs w:val="18"/>
                <w:lang w:val="es-419" w:eastAsia="es-419"/>
              </w:rPr>
            </w:pPr>
            <w:r w:rsidRPr="006F0BB0">
              <w:rPr>
                <w:sz w:val="18"/>
                <w:szCs w:val="18"/>
                <w:lang w:val="es-419" w:eastAsia="es-419"/>
              </w:rPr>
              <w:t>12 404</w:t>
            </w:r>
          </w:p>
        </w:tc>
        <w:tc>
          <w:tcPr>
            <w:tcW w:w="950" w:type="dxa"/>
            <w:tcBorders>
              <w:top w:val="nil"/>
              <w:left w:val="nil"/>
              <w:bottom w:val="single" w:sz="4" w:space="0" w:color="auto"/>
              <w:right w:val="single" w:sz="4" w:space="0" w:color="auto"/>
            </w:tcBorders>
            <w:shd w:val="clear" w:color="auto" w:fill="auto"/>
            <w:noWrap/>
            <w:hideMark/>
          </w:tcPr>
          <w:p w14:paraId="117E33FD" w14:textId="77777777" w:rsidR="006F0BB0" w:rsidRPr="006F0BB0" w:rsidRDefault="006F0BB0" w:rsidP="007D1DBA">
            <w:pPr>
              <w:jc w:val="right"/>
              <w:rPr>
                <w:sz w:val="18"/>
                <w:szCs w:val="18"/>
                <w:lang w:val="es-419" w:eastAsia="es-419"/>
              </w:rPr>
            </w:pPr>
            <w:r w:rsidRPr="006F0BB0">
              <w:rPr>
                <w:sz w:val="18"/>
                <w:szCs w:val="18"/>
                <w:lang w:val="es-419" w:eastAsia="es-419"/>
              </w:rPr>
              <w:t>12 776</w:t>
            </w:r>
          </w:p>
        </w:tc>
        <w:tc>
          <w:tcPr>
            <w:tcW w:w="950" w:type="dxa"/>
            <w:tcBorders>
              <w:top w:val="nil"/>
              <w:left w:val="nil"/>
              <w:bottom w:val="single" w:sz="4" w:space="0" w:color="auto"/>
              <w:right w:val="single" w:sz="4" w:space="0" w:color="auto"/>
            </w:tcBorders>
            <w:shd w:val="clear" w:color="auto" w:fill="auto"/>
            <w:noWrap/>
            <w:hideMark/>
          </w:tcPr>
          <w:p w14:paraId="319D3612" w14:textId="77777777" w:rsidR="006F0BB0" w:rsidRPr="006F0BB0" w:rsidRDefault="006F0BB0" w:rsidP="007D1DBA">
            <w:pPr>
              <w:jc w:val="right"/>
              <w:rPr>
                <w:sz w:val="18"/>
                <w:szCs w:val="18"/>
                <w:lang w:val="es-419" w:eastAsia="es-419"/>
              </w:rPr>
            </w:pPr>
            <w:r w:rsidRPr="006F0BB0">
              <w:rPr>
                <w:sz w:val="18"/>
                <w:szCs w:val="18"/>
                <w:lang w:val="es-419" w:eastAsia="es-419"/>
              </w:rPr>
              <w:t>13 159</w:t>
            </w:r>
          </w:p>
        </w:tc>
        <w:tc>
          <w:tcPr>
            <w:tcW w:w="950" w:type="dxa"/>
            <w:tcBorders>
              <w:top w:val="nil"/>
              <w:left w:val="nil"/>
              <w:bottom w:val="single" w:sz="4" w:space="0" w:color="auto"/>
              <w:right w:val="single" w:sz="4" w:space="0" w:color="auto"/>
            </w:tcBorders>
            <w:shd w:val="clear" w:color="auto" w:fill="auto"/>
            <w:noWrap/>
            <w:hideMark/>
          </w:tcPr>
          <w:p w14:paraId="77301D1D" w14:textId="77777777" w:rsidR="006F0BB0" w:rsidRPr="006F0BB0" w:rsidRDefault="006F0BB0" w:rsidP="007D1DBA">
            <w:pPr>
              <w:jc w:val="right"/>
              <w:rPr>
                <w:sz w:val="18"/>
                <w:szCs w:val="18"/>
                <w:lang w:val="es-419" w:eastAsia="es-419"/>
              </w:rPr>
            </w:pPr>
            <w:r w:rsidRPr="006F0BB0">
              <w:rPr>
                <w:sz w:val="18"/>
                <w:szCs w:val="18"/>
                <w:lang w:val="es-419" w:eastAsia="es-419"/>
              </w:rPr>
              <w:t>12 046</w:t>
            </w:r>
          </w:p>
        </w:tc>
        <w:tc>
          <w:tcPr>
            <w:tcW w:w="1005" w:type="dxa"/>
            <w:tcBorders>
              <w:top w:val="nil"/>
              <w:left w:val="nil"/>
              <w:bottom w:val="single" w:sz="4" w:space="0" w:color="auto"/>
              <w:right w:val="single" w:sz="4" w:space="0" w:color="auto"/>
            </w:tcBorders>
            <w:shd w:val="clear" w:color="auto" w:fill="auto"/>
            <w:noWrap/>
            <w:hideMark/>
          </w:tcPr>
          <w:p w14:paraId="0BD9D3CE" w14:textId="77777777" w:rsidR="006F0BB0" w:rsidRPr="006F0BB0" w:rsidRDefault="006F0BB0" w:rsidP="007D1DBA">
            <w:pPr>
              <w:jc w:val="right"/>
              <w:rPr>
                <w:sz w:val="18"/>
                <w:szCs w:val="18"/>
                <w:lang w:val="es-419" w:eastAsia="es-419"/>
              </w:rPr>
            </w:pPr>
            <w:r w:rsidRPr="006F0BB0">
              <w:rPr>
                <w:sz w:val="18"/>
                <w:szCs w:val="18"/>
                <w:lang w:val="es-419" w:eastAsia="es-419"/>
              </w:rPr>
              <w:t>18 126</w:t>
            </w:r>
          </w:p>
        </w:tc>
        <w:tc>
          <w:tcPr>
            <w:tcW w:w="1181" w:type="dxa"/>
            <w:tcBorders>
              <w:top w:val="nil"/>
              <w:left w:val="nil"/>
              <w:bottom w:val="single" w:sz="4" w:space="0" w:color="auto"/>
              <w:right w:val="single" w:sz="4" w:space="0" w:color="auto"/>
            </w:tcBorders>
            <w:shd w:val="clear" w:color="auto" w:fill="auto"/>
            <w:noWrap/>
            <w:hideMark/>
          </w:tcPr>
          <w:p w14:paraId="3E9F3976" w14:textId="77777777" w:rsidR="006F0BB0" w:rsidRPr="006F0BB0" w:rsidRDefault="006F0BB0" w:rsidP="007D1DBA">
            <w:pPr>
              <w:jc w:val="right"/>
              <w:rPr>
                <w:sz w:val="18"/>
                <w:szCs w:val="18"/>
                <w:lang w:val="es-419" w:eastAsia="es-419"/>
              </w:rPr>
            </w:pPr>
            <w:r w:rsidRPr="006F0BB0">
              <w:rPr>
                <w:sz w:val="18"/>
                <w:szCs w:val="18"/>
                <w:lang w:val="es-419" w:eastAsia="es-419"/>
              </w:rPr>
              <w:t>72,6%</w:t>
            </w:r>
          </w:p>
        </w:tc>
      </w:tr>
      <w:tr w:rsidR="006F0BB0" w:rsidRPr="006F0BB0" w14:paraId="1352B94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657078" w14:textId="77777777" w:rsidR="006F0BB0" w:rsidRPr="006F0BB0" w:rsidRDefault="006F0BB0" w:rsidP="007D1DBA">
            <w:pPr>
              <w:jc w:val="left"/>
              <w:rPr>
                <w:sz w:val="18"/>
                <w:szCs w:val="18"/>
                <w:lang w:val="es-419" w:eastAsia="es-419"/>
              </w:rPr>
            </w:pPr>
            <w:r w:rsidRPr="006F0BB0">
              <w:rPr>
                <w:sz w:val="18"/>
                <w:szCs w:val="18"/>
                <w:lang w:val="es-419" w:eastAsia="es-419"/>
              </w:rPr>
              <w:t>Togo</w:t>
            </w:r>
          </w:p>
        </w:tc>
        <w:tc>
          <w:tcPr>
            <w:tcW w:w="950" w:type="dxa"/>
            <w:tcBorders>
              <w:top w:val="nil"/>
              <w:left w:val="nil"/>
              <w:bottom w:val="single" w:sz="4" w:space="0" w:color="auto"/>
              <w:right w:val="single" w:sz="4" w:space="0" w:color="auto"/>
            </w:tcBorders>
            <w:shd w:val="clear" w:color="auto" w:fill="auto"/>
            <w:noWrap/>
            <w:hideMark/>
          </w:tcPr>
          <w:p w14:paraId="77987AA4" w14:textId="77777777" w:rsidR="006F0BB0" w:rsidRPr="006F0BB0" w:rsidRDefault="006F0BB0" w:rsidP="007D1DBA">
            <w:pPr>
              <w:jc w:val="right"/>
              <w:rPr>
                <w:sz w:val="18"/>
                <w:szCs w:val="18"/>
                <w:lang w:val="es-419" w:eastAsia="es-419"/>
              </w:rPr>
            </w:pPr>
            <w:r w:rsidRPr="006F0BB0">
              <w:rPr>
                <w:sz w:val="18"/>
                <w:szCs w:val="18"/>
                <w:lang w:val="es-419" w:eastAsia="es-419"/>
              </w:rPr>
              <w:t>797 321</w:t>
            </w:r>
          </w:p>
        </w:tc>
        <w:tc>
          <w:tcPr>
            <w:tcW w:w="950" w:type="dxa"/>
            <w:tcBorders>
              <w:top w:val="nil"/>
              <w:left w:val="nil"/>
              <w:bottom w:val="single" w:sz="4" w:space="0" w:color="auto"/>
              <w:right w:val="single" w:sz="4" w:space="0" w:color="auto"/>
            </w:tcBorders>
            <w:shd w:val="clear" w:color="auto" w:fill="auto"/>
            <w:noWrap/>
            <w:hideMark/>
          </w:tcPr>
          <w:p w14:paraId="2FA5D79F" w14:textId="77777777" w:rsidR="006F0BB0" w:rsidRPr="006F0BB0" w:rsidRDefault="006F0BB0" w:rsidP="007D1DBA">
            <w:pPr>
              <w:jc w:val="right"/>
              <w:rPr>
                <w:sz w:val="18"/>
                <w:szCs w:val="18"/>
                <w:lang w:val="es-419" w:eastAsia="es-419"/>
              </w:rPr>
            </w:pPr>
            <w:r w:rsidRPr="006F0BB0">
              <w:rPr>
                <w:sz w:val="18"/>
                <w:szCs w:val="18"/>
                <w:lang w:val="es-419" w:eastAsia="es-419"/>
              </w:rPr>
              <w:t>821 241</w:t>
            </w:r>
          </w:p>
        </w:tc>
        <w:tc>
          <w:tcPr>
            <w:tcW w:w="950" w:type="dxa"/>
            <w:tcBorders>
              <w:top w:val="nil"/>
              <w:left w:val="nil"/>
              <w:bottom w:val="single" w:sz="4" w:space="0" w:color="auto"/>
              <w:right w:val="single" w:sz="4" w:space="0" w:color="auto"/>
            </w:tcBorders>
            <w:shd w:val="clear" w:color="auto" w:fill="auto"/>
            <w:noWrap/>
            <w:hideMark/>
          </w:tcPr>
          <w:p w14:paraId="084DB3ED" w14:textId="77777777" w:rsidR="006F0BB0" w:rsidRPr="006F0BB0" w:rsidRDefault="006F0BB0" w:rsidP="007D1DBA">
            <w:pPr>
              <w:jc w:val="right"/>
              <w:rPr>
                <w:sz w:val="18"/>
                <w:szCs w:val="18"/>
                <w:lang w:val="es-419" w:eastAsia="es-419"/>
              </w:rPr>
            </w:pPr>
            <w:r w:rsidRPr="006F0BB0">
              <w:rPr>
                <w:sz w:val="18"/>
                <w:szCs w:val="18"/>
                <w:lang w:val="es-419" w:eastAsia="es-419"/>
              </w:rPr>
              <w:t>845 878</w:t>
            </w:r>
          </w:p>
        </w:tc>
        <w:tc>
          <w:tcPr>
            <w:tcW w:w="950" w:type="dxa"/>
            <w:tcBorders>
              <w:top w:val="nil"/>
              <w:left w:val="nil"/>
              <w:bottom w:val="single" w:sz="4" w:space="0" w:color="auto"/>
              <w:right w:val="single" w:sz="4" w:space="0" w:color="auto"/>
            </w:tcBorders>
            <w:shd w:val="clear" w:color="auto" w:fill="auto"/>
            <w:noWrap/>
            <w:hideMark/>
          </w:tcPr>
          <w:p w14:paraId="27FC3150" w14:textId="77777777" w:rsidR="006F0BB0" w:rsidRPr="006F0BB0" w:rsidRDefault="006F0BB0" w:rsidP="007D1DBA">
            <w:pPr>
              <w:jc w:val="right"/>
              <w:rPr>
                <w:sz w:val="18"/>
                <w:szCs w:val="18"/>
                <w:lang w:val="es-419" w:eastAsia="es-419"/>
              </w:rPr>
            </w:pPr>
            <w:r w:rsidRPr="006F0BB0">
              <w:rPr>
                <w:sz w:val="18"/>
                <w:szCs w:val="18"/>
                <w:lang w:val="es-419" w:eastAsia="es-419"/>
              </w:rPr>
              <w:t>871 254</w:t>
            </w:r>
          </w:p>
        </w:tc>
        <w:tc>
          <w:tcPr>
            <w:tcW w:w="950" w:type="dxa"/>
            <w:tcBorders>
              <w:top w:val="nil"/>
              <w:left w:val="nil"/>
              <w:bottom w:val="single" w:sz="4" w:space="0" w:color="auto"/>
              <w:right w:val="single" w:sz="4" w:space="0" w:color="auto"/>
            </w:tcBorders>
            <w:shd w:val="clear" w:color="auto" w:fill="auto"/>
            <w:noWrap/>
            <w:hideMark/>
          </w:tcPr>
          <w:p w14:paraId="10FC95F8" w14:textId="77777777" w:rsidR="006F0BB0" w:rsidRPr="006F0BB0" w:rsidRDefault="006F0BB0" w:rsidP="007D1DBA">
            <w:pPr>
              <w:jc w:val="right"/>
              <w:rPr>
                <w:sz w:val="18"/>
                <w:szCs w:val="18"/>
                <w:lang w:val="es-419" w:eastAsia="es-419"/>
              </w:rPr>
            </w:pPr>
            <w:r w:rsidRPr="006F0BB0">
              <w:rPr>
                <w:sz w:val="18"/>
                <w:szCs w:val="18"/>
                <w:lang w:val="es-419" w:eastAsia="es-419"/>
              </w:rPr>
              <w:t>897 392</w:t>
            </w:r>
          </w:p>
        </w:tc>
        <w:tc>
          <w:tcPr>
            <w:tcW w:w="950" w:type="dxa"/>
            <w:tcBorders>
              <w:top w:val="nil"/>
              <w:left w:val="nil"/>
              <w:bottom w:val="single" w:sz="4" w:space="0" w:color="auto"/>
              <w:right w:val="single" w:sz="4" w:space="0" w:color="auto"/>
            </w:tcBorders>
            <w:shd w:val="clear" w:color="auto" w:fill="auto"/>
            <w:noWrap/>
            <w:hideMark/>
          </w:tcPr>
          <w:p w14:paraId="4511FEA5" w14:textId="77777777" w:rsidR="006F0BB0" w:rsidRPr="006F0BB0" w:rsidRDefault="006F0BB0" w:rsidP="007D1DBA">
            <w:pPr>
              <w:jc w:val="right"/>
              <w:rPr>
                <w:sz w:val="18"/>
                <w:szCs w:val="18"/>
                <w:lang w:val="es-419" w:eastAsia="es-419"/>
              </w:rPr>
            </w:pPr>
            <w:r w:rsidRPr="006F0BB0">
              <w:rPr>
                <w:sz w:val="18"/>
                <w:szCs w:val="18"/>
                <w:lang w:val="es-419" w:eastAsia="es-419"/>
              </w:rPr>
              <w:t>924 314</w:t>
            </w:r>
          </w:p>
        </w:tc>
        <w:tc>
          <w:tcPr>
            <w:tcW w:w="950" w:type="dxa"/>
            <w:tcBorders>
              <w:top w:val="nil"/>
              <w:left w:val="nil"/>
              <w:bottom w:val="single" w:sz="4" w:space="0" w:color="auto"/>
              <w:right w:val="single" w:sz="4" w:space="0" w:color="auto"/>
            </w:tcBorders>
            <w:shd w:val="clear" w:color="auto" w:fill="auto"/>
            <w:noWrap/>
            <w:hideMark/>
          </w:tcPr>
          <w:p w14:paraId="5E62D894" w14:textId="77777777" w:rsidR="006F0BB0" w:rsidRPr="006F0BB0" w:rsidRDefault="006F0BB0" w:rsidP="007D1DBA">
            <w:pPr>
              <w:jc w:val="right"/>
              <w:rPr>
                <w:sz w:val="18"/>
                <w:szCs w:val="18"/>
                <w:lang w:val="es-419" w:eastAsia="es-419"/>
              </w:rPr>
            </w:pPr>
            <w:r w:rsidRPr="006F0BB0">
              <w:rPr>
                <w:sz w:val="18"/>
                <w:szCs w:val="18"/>
                <w:lang w:val="es-419" w:eastAsia="es-419"/>
              </w:rPr>
              <w:t>846 124</w:t>
            </w:r>
          </w:p>
        </w:tc>
        <w:tc>
          <w:tcPr>
            <w:tcW w:w="1005" w:type="dxa"/>
            <w:tcBorders>
              <w:top w:val="nil"/>
              <w:left w:val="nil"/>
              <w:bottom w:val="single" w:sz="4" w:space="0" w:color="auto"/>
              <w:right w:val="single" w:sz="4" w:space="0" w:color="auto"/>
            </w:tcBorders>
            <w:shd w:val="clear" w:color="auto" w:fill="auto"/>
            <w:noWrap/>
            <w:hideMark/>
          </w:tcPr>
          <w:p w14:paraId="111BA167" w14:textId="77777777" w:rsidR="006F0BB0" w:rsidRPr="006F0BB0" w:rsidRDefault="006F0BB0" w:rsidP="007D1DBA">
            <w:pPr>
              <w:jc w:val="right"/>
              <w:rPr>
                <w:sz w:val="18"/>
                <w:szCs w:val="18"/>
                <w:lang w:val="es-419" w:eastAsia="es-419"/>
              </w:rPr>
            </w:pPr>
            <w:r w:rsidRPr="006F0BB0">
              <w:rPr>
                <w:sz w:val="18"/>
                <w:szCs w:val="18"/>
                <w:lang w:val="es-419" w:eastAsia="es-419"/>
              </w:rPr>
              <w:t>1 272 705</w:t>
            </w:r>
          </w:p>
        </w:tc>
        <w:tc>
          <w:tcPr>
            <w:tcW w:w="1181" w:type="dxa"/>
            <w:tcBorders>
              <w:top w:val="nil"/>
              <w:left w:val="nil"/>
              <w:bottom w:val="single" w:sz="4" w:space="0" w:color="auto"/>
              <w:right w:val="single" w:sz="4" w:space="0" w:color="auto"/>
            </w:tcBorders>
            <w:shd w:val="clear" w:color="auto" w:fill="auto"/>
            <w:noWrap/>
            <w:hideMark/>
          </w:tcPr>
          <w:p w14:paraId="6C0B94A7" w14:textId="77777777" w:rsidR="006F0BB0" w:rsidRPr="006F0BB0" w:rsidRDefault="006F0BB0" w:rsidP="007D1DBA">
            <w:pPr>
              <w:jc w:val="right"/>
              <w:rPr>
                <w:sz w:val="18"/>
                <w:szCs w:val="18"/>
                <w:lang w:val="es-419" w:eastAsia="es-419"/>
              </w:rPr>
            </w:pPr>
            <w:r w:rsidRPr="006F0BB0">
              <w:rPr>
                <w:sz w:val="18"/>
                <w:szCs w:val="18"/>
                <w:lang w:val="es-419" w:eastAsia="es-419"/>
              </w:rPr>
              <w:t>72,6%</w:t>
            </w:r>
          </w:p>
        </w:tc>
      </w:tr>
      <w:tr w:rsidR="006F0BB0" w:rsidRPr="006F0BB0" w14:paraId="6FC8AD39"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79A1D13" w14:textId="77777777" w:rsidR="006F0BB0" w:rsidRPr="006F0BB0" w:rsidRDefault="006F0BB0" w:rsidP="007D1DBA">
            <w:pPr>
              <w:jc w:val="left"/>
              <w:rPr>
                <w:sz w:val="18"/>
                <w:szCs w:val="18"/>
                <w:lang w:val="es-419" w:eastAsia="es-419"/>
              </w:rPr>
            </w:pPr>
            <w:r w:rsidRPr="006F0BB0">
              <w:rPr>
                <w:sz w:val="18"/>
                <w:szCs w:val="18"/>
                <w:lang w:val="es-419" w:eastAsia="es-419"/>
              </w:rPr>
              <w:t>Sudáfrica</w:t>
            </w:r>
          </w:p>
        </w:tc>
        <w:tc>
          <w:tcPr>
            <w:tcW w:w="950" w:type="dxa"/>
            <w:tcBorders>
              <w:top w:val="nil"/>
              <w:left w:val="nil"/>
              <w:bottom w:val="single" w:sz="4" w:space="0" w:color="auto"/>
              <w:right w:val="single" w:sz="4" w:space="0" w:color="auto"/>
            </w:tcBorders>
            <w:shd w:val="clear" w:color="auto" w:fill="auto"/>
            <w:noWrap/>
            <w:hideMark/>
          </w:tcPr>
          <w:p w14:paraId="1E5A44A9" w14:textId="77777777" w:rsidR="006F0BB0" w:rsidRPr="006F0BB0" w:rsidRDefault="006F0BB0" w:rsidP="007D1DBA">
            <w:pPr>
              <w:jc w:val="right"/>
              <w:rPr>
                <w:sz w:val="18"/>
                <w:szCs w:val="18"/>
                <w:lang w:val="es-419" w:eastAsia="es-419"/>
              </w:rPr>
            </w:pPr>
            <w:r w:rsidRPr="006F0BB0">
              <w:rPr>
                <w:sz w:val="18"/>
                <w:szCs w:val="18"/>
                <w:lang w:val="es-419" w:eastAsia="es-419"/>
              </w:rPr>
              <w:t>10 074 432</w:t>
            </w:r>
          </w:p>
        </w:tc>
        <w:tc>
          <w:tcPr>
            <w:tcW w:w="950" w:type="dxa"/>
            <w:tcBorders>
              <w:top w:val="nil"/>
              <w:left w:val="nil"/>
              <w:bottom w:val="single" w:sz="4" w:space="0" w:color="auto"/>
              <w:right w:val="single" w:sz="4" w:space="0" w:color="auto"/>
            </w:tcBorders>
            <w:shd w:val="clear" w:color="auto" w:fill="auto"/>
            <w:noWrap/>
            <w:hideMark/>
          </w:tcPr>
          <w:p w14:paraId="0808CA4F" w14:textId="77777777" w:rsidR="006F0BB0" w:rsidRPr="006F0BB0" w:rsidRDefault="006F0BB0" w:rsidP="007D1DBA">
            <w:pPr>
              <w:jc w:val="right"/>
              <w:rPr>
                <w:sz w:val="18"/>
                <w:szCs w:val="18"/>
                <w:lang w:val="es-419" w:eastAsia="es-419"/>
              </w:rPr>
            </w:pPr>
            <w:r w:rsidRPr="006F0BB0">
              <w:rPr>
                <w:sz w:val="18"/>
                <w:szCs w:val="18"/>
                <w:lang w:val="es-419" w:eastAsia="es-419"/>
              </w:rPr>
              <w:t>10 376 665</w:t>
            </w:r>
          </w:p>
        </w:tc>
        <w:tc>
          <w:tcPr>
            <w:tcW w:w="950" w:type="dxa"/>
            <w:tcBorders>
              <w:top w:val="nil"/>
              <w:left w:val="nil"/>
              <w:bottom w:val="single" w:sz="4" w:space="0" w:color="auto"/>
              <w:right w:val="single" w:sz="4" w:space="0" w:color="auto"/>
            </w:tcBorders>
            <w:shd w:val="clear" w:color="auto" w:fill="auto"/>
            <w:noWrap/>
            <w:hideMark/>
          </w:tcPr>
          <w:p w14:paraId="5445F40B" w14:textId="77777777" w:rsidR="006F0BB0" w:rsidRPr="006F0BB0" w:rsidRDefault="006F0BB0" w:rsidP="007D1DBA">
            <w:pPr>
              <w:jc w:val="right"/>
              <w:rPr>
                <w:sz w:val="18"/>
                <w:szCs w:val="18"/>
                <w:lang w:val="es-419" w:eastAsia="es-419"/>
              </w:rPr>
            </w:pPr>
            <w:r w:rsidRPr="006F0BB0">
              <w:rPr>
                <w:sz w:val="18"/>
                <w:szCs w:val="18"/>
                <w:lang w:val="es-419" w:eastAsia="es-419"/>
              </w:rPr>
              <w:t>10 687 965</w:t>
            </w:r>
          </w:p>
        </w:tc>
        <w:tc>
          <w:tcPr>
            <w:tcW w:w="950" w:type="dxa"/>
            <w:tcBorders>
              <w:top w:val="nil"/>
              <w:left w:val="nil"/>
              <w:bottom w:val="single" w:sz="4" w:space="0" w:color="auto"/>
              <w:right w:val="single" w:sz="4" w:space="0" w:color="auto"/>
            </w:tcBorders>
            <w:shd w:val="clear" w:color="auto" w:fill="auto"/>
            <w:noWrap/>
            <w:hideMark/>
          </w:tcPr>
          <w:p w14:paraId="1AB01E71" w14:textId="77777777" w:rsidR="006F0BB0" w:rsidRPr="006F0BB0" w:rsidRDefault="006F0BB0" w:rsidP="007D1DBA">
            <w:pPr>
              <w:jc w:val="right"/>
              <w:rPr>
                <w:sz w:val="18"/>
                <w:szCs w:val="18"/>
                <w:lang w:val="es-419" w:eastAsia="es-419"/>
              </w:rPr>
            </w:pPr>
            <w:r w:rsidRPr="006F0BB0">
              <w:rPr>
                <w:sz w:val="18"/>
                <w:szCs w:val="18"/>
                <w:lang w:val="es-419" w:eastAsia="es-419"/>
              </w:rPr>
              <w:t>11 008 604</w:t>
            </w:r>
          </w:p>
        </w:tc>
        <w:tc>
          <w:tcPr>
            <w:tcW w:w="950" w:type="dxa"/>
            <w:tcBorders>
              <w:top w:val="nil"/>
              <w:left w:val="nil"/>
              <w:bottom w:val="single" w:sz="4" w:space="0" w:color="auto"/>
              <w:right w:val="single" w:sz="4" w:space="0" w:color="auto"/>
            </w:tcBorders>
            <w:shd w:val="clear" w:color="auto" w:fill="auto"/>
            <w:noWrap/>
            <w:hideMark/>
          </w:tcPr>
          <w:p w14:paraId="718CA3B9" w14:textId="77777777" w:rsidR="006F0BB0" w:rsidRPr="006F0BB0" w:rsidRDefault="006F0BB0" w:rsidP="007D1DBA">
            <w:pPr>
              <w:jc w:val="right"/>
              <w:rPr>
                <w:sz w:val="18"/>
                <w:szCs w:val="18"/>
                <w:lang w:val="es-419" w:eastAsia="es-419"/>
              </w:rPr>
            </w:pPr>
            <w:r w:rsidRPr="006F0BB0">
              <w:rPr>
                <w:sz w:val="18"/>
                <w:szCs w:val="18"/>
                <w:lang w:val="es-419" w:eastAsia="es-419"/>
              </w:rPr>
              <w:t>11 338 862</w:t>
            </w:r>
          </w:p>
        </w:tc>
        <w:tc>
          <w:tcPr>
            <w:tcW w:w="950" w:type="dxa"/>
            <w:tcBorders>
              <w:top w:val="nil"/>
              <w:left w:val="nil"/>
              <w:bottom w:val="single" w:sz="4" w:space="0" w:color="auto"/>
              <w:right w:val="single" w:sz="4" w:space="0" w:color="auto"/>
            </w:tcBorders>
            <w:shd w:val="clear" w:color="auto" w:fill="auto"/>
            <w:noWrap/>
            <w:hideMark/>
          </w:tcPr>
          <w:p w14:paraId="3B71E5C5" w14:textId="77777777" w:rsidR="006F0BB0" w:rsidRPr="006F0BB0" w:rsidRDefault="006F0BB0" w:rsidP="007D1DBA">
            <w:pPr>
              <w:jc w:val="right"/>
              <w:rPr>
                <w:sz w:val="18"/>
                <w:szCs w:val="18"/>
                <w:lang w:val="es-419" w:eastAsia="es-419"/>
              </w:rPr>
            </w:pPr>
            <w:r w:rsidRPr="006F0BB0">
              <w:rPr>
                <w:sz w:val="18"/>
                <w:szCs w:val="18"/>
                <w:lang w:val="es-419" w:eastAsia="es-419"/>
              </w:rPr>
              <w:t>11 679 028</w:t>
            </w:r>
          </w:p>
        </w:tc>
        <w:tc>
          <w:tcPr>
            <w:tcW w:w="950" w:type="dxa"/>
            <w:tcBorders>
              <w:top w:val="nil"/>
              <w:left w:val="nil"/>
              <w:bottom w:val="single" w:sz="4" w:space="0" w:color="auto"/>
              <w:right w:val="single" w:sz="4" w:space="0" w:color="auto"/>
            </w:tcBorders>
            <w:shd w:val="clear" w:color="auto" w:fill="auto"/>
            <w:noWrap/>
            <w:hideMark/>
          </w:tcPr>
          <w:p w14:paraId="1B889042" w14:textId="77777777" w:rsidR="006F0BB0" w:rsidRPr="006F0BB0" w:rsidRDefault="006F0BB0" w:rsidP="007D1DBA">
            <w:pPr>
              <w:jc w:val="right"/>
              <w:rPr>
                <w:sz w:val="18"/>
                <w:szCs w:val="18"/>
                <w:lang w:val="es-419" w:eastAsia="es-419"/>
              </w:rPr>
            </w:pPr>
            <w:r w:rsidRPr="006F0BB0">
              <w:rPr>
                <w:sz w:val="18"/>
                <w:szCs w:val="18"/>
                <w:lang w:val="es-419" w:eastAsia="es-419"/>
              </w:rPr>
              <w:t>10 691 078</w:t>
            </w:r>
          </w:p>
        </w:tc>
        <w:tc>
          <w:tcPr>
            <w:tcW w:w="1005" w:type="dxa"/>
            <w:tcBorders>
              <w:top w:val="nil"/>
              <w:left w:val="nil"/>
              <w:bottom w:val="single" w:sz="4" w:space="0" w:color="auto"/>
              <w:right w:val="single" w:sz="4" w:space="0" w:color="auto"/>
            </w:tcBorders>
            <w:shd w:val="clear" w:color="auto" w:fill="auto"/>
            <w:noWrap/>
            <w:hideMark/>
          </w:tcPr>
          <w:p w14:paraId="6112F7B6" w14:textId="77777777" w:rsidR="006F0BB0" w:rsidRPr="006F0BB0" w:rsidRDefault="006F0BB0" w:rsidP="007D1DBA">
            <w:pPr>
              <w:jc w:val="right"/>
              <w:rPr>
                <w:sz w:val="18"/>
                <w:szCs w:val="18"/>
                <w:lang w:val="es-419" w:eastAsia="es-419"/>
              </w:rPr>
            </w:pPr>
            <w:r w:rsidRPr="006F0BB0">
              <w:rPr>
                <w:sz w:val="18"/>
                <w:szCs w:val="18"/>
                <w:lang w:val="es-419" w:eastAsia="es-419"/>
              </w:rPr>
              <w:t>15 887 271</w:t>
            </w:r>
          </w:p>
        </w:tc>
        <w:tc>
          <w:tcPr>
            <w:tcW w:w="1181" w:type="dxa"/>
            <w:tcBorders>
              <w:top w:val="nil"/>
              <w:left w:val="nil"/>
              <w:bottom w:val="single" w:sz="4" w:space="0" w:color="auto"/>
              <w:right w:val="single" w:sz="4" w:space="0" w:color="auto"/>
            </w:tcBorders>
            <w:shd w:val="clear" w:color="auto" w:fill="auto"/>
            <w:noWrap/>
            <w:hideMark/>
          </w:tcPr>
          <w:p w14:paraId="2FB5E2C0" w14:textId="77777777" w:rsidR="006F0BB0" w:rsidRPr="006F0BB0" w:rsidRDefault="006F0BB0" w:rsidP="007D1DBA">
            <w:pPr>
              <w:jc w:val="right"/>
              <w:rPr>
                <w:sz w:val="18"/>
                <w:szCs w:val="18"/>
                <w:lang w:val="es-419" w:eastAsia="es-419"/>
              </w:rPr>
            </w:pPr>
            <w:r w:rsidRPr="006F0BB0">
              <w:rPr>
                <w:sz w:val="18"/>
                <w:szCs w:val="18"/>
                <w:lang w:val="es-419" w:eastAsia="es-419"/>
              </w:rPr>
              <w:t>73,5%</w:t>
            </w:r>
          </w:p>
        </w:tc>
      </w:tr>
      <w:tr w:rsidR="006F0BB0" w:rsidRPr="006F0BB0" w14:paraId="0FF2A3E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0AA5CDF" w14:textId="77777777" w:rsidR="006F0BB0" w:rsidRPr="006F0BB0" w:rsidRDefault="006F0BB0" w:rsidP="007D1DBA">
            <w:pPr>
              <w:jc w:val="left"/>
              <w:rPr>
                <w:sz w:val="18"/>
                <w:szCs w:val="18"/>
                <w:lang w:val="es-419" w:eastAsia="es-419"/>
              </w:rPr>
            </w:pPr>
            <w:r w:rsidRPr="006F0BB0">
              <w:rPr>
                <w:sz w:val="18"/>
                <w:szCs w:val="18"/>
                <w:lang w:val="es-419" w:eastAsia="es-419"/>
              </w:rPr>
              <w:t>Zambia</w:t>
            </w:r>
          </w:p>
        </w:tc>
        <w:tc>
          <w:tcPr>
            <w:tcW w:w="950" w:type="dxa"/>
            <w:tcBorders>
              <w:top w:val="nil"/>
              <w:left w:val="nil"/>
              <w:bottom w:val="single" w:sz="4" w:space="0" w:color="auto"/>
              <w:right w:val="single" w:sz="4" w:space="0" w:color="auto"/>
            </w:tcBorders>
            <w:shd w:val="clear" w:color="auto" w:fill="auto"/>
            <w:noWrap/>
            <w:hideMark/>
          </w:tcPr>
          <w:p w14:paraId="22B97F8D" w14:textId="77777777" w:rsidR="006F0BB0" w:rsidRPr="006F0BB0" w:rsidRDefault="006F0BB0" w:rsidP="007D1DBA">
            <w:pPr>
              <w:jc w:val="right"/>
              <w:rPr>
                <w:sz w:val="18"/>
                <w:szCs w:val="18"/>
                <w:lang w:val="es-419" w:eastAsia="es-419"/>
              </w:rPr>
            </w:pPr>
            <w:r w:rsidRPr="006F0BB0">
              <w:rPr>
                <w:sz w:val="18"/>
                <w:szCs w:val="18"/>
                <w:lang w:val="es-419" w:eastAsia="es-419"/>
              </w:rPr>
              <w:t>208 794</w:t>
            </w:r>
          </w:p>
        </w:tc>
        <w:tc>
          <w:tcPr>
            <w:tcW w:w="950" w:type="dxa"/>
            <w:tcBorders>
              <w:top w:val="nil"/>
              <w:left w:val="nil"/>
              <w:bottom w:val="single" w:sz="4" w:space="0" w:color="auto"/>
              <w:right w:val="single" w:sz="4" w:space="0" w:color="auto"/>
            </w:tcBorders>
            <w:shd w:val="clear" w:color="auto" w:fill="auto"/>
            <w:noWrap/>
            <w:hideMark/>
          </w:tcPr>
          <w:p w14:paraId="415F01F7" w14:textId="77777777" w:rsidR="006F0BB0" w:rsidRPr="006F0BB0" w:rsidRDefault="006F0BB0" w:rsidP="007D1DBA">
            <w:pPr>
              <w:jc w:val="right"/>
              <w:rPr>
                <w:sz w:val="18"/>
                <w:szCs w:val="18"/>
                <w:lang w:val="es-419" w:eastAsia="es-419"/>
              </w:rPr>
            </w:pPr>
            <w:r w:rsidRPr="006F0BB0">
              <w:rPr>
                <w:sz w:val="18"/>
                <w:szCs w:val="18"/>
                <w:lang w:val="es-419" w:eastAsia="es-419"/>
              </w:rPr>
              <w:t>215 058</w:t>
            </w:r>
          </w:p>
        </w:tc>
        <w:tc>
          <w:tcPr>
            <w:tcW w:w="950" w:type="dxa"/>
            <w:tcBorders>
              <w:top w:val="nil"/>
              <w:left w:val="nil"/>
              <w:bottom w:val="single" w:sz="4" w:space="0" w:color="auto"/>
              <w:right w:val="single" w:sz="4" w:space="0" w:color="auto"/>
            </w:tcBorders>
            <w:shd w:val="clear" w:color="auto" w:fill="auto"/>
            <w:noWrap/>
            <w:hideMark/>
          </w:tcPr>
          <w:p w14:paraId="74DB397B" w14:textId="77777777" w:rsidR="006F0BB0" w:rsidRPr="006F0BB0" w:rsidRDefault="006F0BB0" w:rsidP="007D1DBA">
            <w:pPr>
              <w:jc w:val="right"/>
              <w:rPr>
                <w:sz w:val="18"/>
                <w:szCs w:val="18"/>
                <w:lang w:val="es-419" w:eastAsia="es-419"/>
              </w:rPr>
            </w:pPr>
            <w:r w:rsidRPr="006F0BB0">
              <w:rPr>
                <w:sz w:val="18"/>
                <w:szCs w:val="18"/>
                <w:lang w:val="es-419" w:eastAsia="es-419"/>
              </w:rPr>
              <w:t>221 510</w:t>
            </w:r>
          </w:p>
        </w:tc>
        <w:tc>
          <w:tcPr>
            <w:tcW w:w="950" w:type="dxa"/>
            <w:tcBorders>
              <w:top w:val="nil"/>
              <w:left w:val="nil"/>
              <w:bottom w:val="single" w:sz="4" w:space="0" w:color="auto"/>
              <w:right w:val="single" w:sz="4" w:space="0" w:color="auto"/>
            </w:tcBorders>
            <w:shd w:val="clear" w:color="auto" w:fill="auto"/>
            <w:noWrap/>
            <w:hideMark/>
          </w:tcPr>
          <w:p w14:paraId="193916A0" w14:textId="77777777" w:rsidR="006F0BB0" w:rsidRPr="006F0BB0" w:rsidRDefault="006F0BB0" w:rsidP="007D1DBA">
            <w:pPr>
              <w:jc w:val="right"/>
              <w:rPr>
                <w:sz w:val="18"/>
                <w:szCs w:val="18"/>
                <w:lang w:val="es-419" w:eastAsia="es-419"/>
              </w:rPr>
            </w:pPr>
            <w:r w:rsidRPr="006F0BB0">
              <w:rPr>
                <w:sz w:val="18"/>
                <w:szCs w:val="18"/>
                <w:lang w:val="es-419" w:eastAsia="es-419"/>
              </w:rPr>
              <w:t>228 155</w:t>
            </w:r>
          </w:p>
        </w:tc>
        <w:tc>
          <w:tcPr>
            <w:tcW w:w="950" w:type="dxa"/>
            <w:tcBorders>
              <w:top w:val="nil"/>
              <w:left w:val="nil"/>
              <w:bottom w:val="single" w:sz="4" w:space="0" w:color="auto"/>
              <w:right w:val="single" w:sz="4" w:space="0" w:color="auto"/>
            </w:tcBorders>
            <w:shd w:val="clear" w:color="auto" w:fill="auto"/>
            <w:noWrap/>
            <w:hideMark/>
          </w:tcPr>
          <w:p w14:paraId="3E25C42D" w14:textId="77777777" w:rsidR="006F0BB0" w:rsidRPr="006F0BB0" w:rsidRDefault="006F0BB0" w:rsidP="007D1DBA">
            <w:pPr>
              <w:jc w:val="right"/>
              <w:rPr>
                <w:sz w:val="18"/>
                <w:szCs w:val="18"/>
                <w:lang w:val="es-419" w:eastAsia="es-419"/>
              </w:rPr>
            </w:pPr>
            <w:r w:rsidRPr="006F0BB0">
              <w:rPr>
                <w:sz w:val="18"/>
                <w:szCs w:val="18"/>
                <w:lang w:val="es-419" w:eastAsia="es-419"/>
              </w:rPr>
              <w:t>235 000</w:t>
            </w:r>
          </w:p>
        </w:tc>
        <w:tc>
          <w:tcPr>
            <w:tcW w:w="950" w:type="dxa"/>
            <w:tcBorders>
              <w:top w:val="nil"/>
              <w:left w:val="nil"/>
              <w:bottom w:val="single" w:sz="4" w:space="0" w:color="auto"/>
              <w:right w:val="single" w:sz="4" w:space="0" w:color="auto"/>
            </w:tcBorders>
            <w:shd w:val="clear" w:color="auto" w:fill="auto"/>
            <w:noWrap/>
            <w:hideMark/>
          </w:tcPr>
          <w:p w14:paraId="49E3DA33" w14:textId="77777777" w:rsidR="006F0BB0" w:rsidRPr="006F0BB0" w:rsidRDefault="006F0BB0" w:rsidP="007D1DBA">
            <w:pPr>
              <w:jc w:val="right"/>
              <w:rPr>
                <w:sz w:val="18"/>
                <w:szCs w:val="18"/>
                <w:lang w:val="es-419" w:eastAsia="es-419"/>
              </w:rPr>
            </w:pPr>
            <w:r w:rsidRPr="006F0BB0">
              <w:rPr>
                <w:sz w:val="18"/>
                <w:szCs w:val="18"/>
                <w:lang w:val="es-419" w:eastAsia="es-419"/>
              </w:rPr>
              <w:t>242 050</w:t>
            </w:r>
          </w:p>
        </w:tc>
        <w:tc>
          <w:tcPr>
            <w:tcW w:w="950" w:type="dxa"/>
            <w:tcBorders>
              <w:top w:val="nil"/>
              <w:left w:val="nil"/>
              <w:bottom w:val="single" w:sz="4" w:space="0" w:color="auto"/>
              <w:right w:val="single" w:sz="4" w:space="0" w:color="auto"/>
            </w:tcBorders>
            <w:shd w:val="clear" w:color="auto" w:fill="auto"/>
            <w:noWrap/>
            <w:hideMark/>
          </w:tcPr>
          <w:p w14:paraId="4536A6ED" w14:textId="77777777" w:rsidR="006F0BB0" w:rsidRPr="006F0BB0" w:rsidRDefault="006F0BB0" w:rsidP="007D1DBA">
            <w:pPr>
              <w:jc w:val="right"/>
              <w:rPr>
                <w:sz w:val="18"/>
                <w:szCs w:val="18"/>
                <w:lang w:val="es-419" w:eastAsia="es-419"/>
              </w:rPr>
            </w:pPr>
            <w:r w:rsidRPr="006F0BB0">
              <w:rPr>
                <w:sz w:val="18"/>
                <w:szCs w:val="18"/>
                <w:lang w:val="es-419" w:eastAsia="es-419"/>
              </w:rPr>
              <w:t>221 575</w:t>
            </w:r>
          </w:p>
        </w:tc>
        <w:tc>
          <w:tcPr>
            <w:tcW w:w="1005" w:type="dxa"/>
            <w:tcBorders>
              <w:top w:val="nil"/>
              <w:left w:val="nil"/>
              <w:bottom w:val="single" w:sz="4" w:space="0" w:color="auto"/>
              <w:right w:val="single" w:sz="4" w:space="0" w:color="auto"/>
            </w:tcBorders>
            <w:shd w:val="clear" w:color="auto" w:fill="auto"/>
            <w:noWrap/>
            <w:hideMark/>
          </w:tcPr>
          <w:p w14:paraId="5CAEA81D" w14:textId="77777777" w:rsidR="006F0BB0" w:rsidRPr="006F0BB0" w:rsidRDefault="006F0BB0" w:rsidP="007D1DBA">
            <w:pPr>
              <w:jc w:val="right"/>
              <w:rPr>
                <w:sz w:val="18"/>
                <w:szCs w:val="18"/>
                <w:lang w:val="es-419" w:eastAsia="es-419"/>
              </w:rPr>
            </w:pPr>
            <w:r w:rsidRPr="006F0BB0">
              <w:rPr>
                <w:sz w:val="18"/>
                <w:szCs w:val="18"/>
                <w:lang w:val="es-419" w:eastAsia="es-419"/>
              </w:rPr>
              <w:t>327 401</w:t>
            </w:r>
          </w:p>
        </w:tc>
        <w:tc>
          <w:tcPr>
            <w:tcW w:w="1181" w:type="dxa"/>
            <w:tcBorders>
              <w:top w:val="nil"/>
              <w:left w:val="nil"/>
              <w:bottom w:val="single" w:sz="4" w:space="0" w:color="auto"/>
              <w:right w:val="single" w:sz="4" w:space="0" w:color="auto"/>
            </w:tcBorders>
            <w:shd w:val="clear" w:color="auto" w:fill="auto"/>
            <w:noWrap/>
            <w:hideMark/>
          </w:tcPr>
          <w:p w14:paraId="33744E75" w14:textId="77777777" w:rsidR="006F0BB0" w:rsidRPr="006F0BB0" w:rsidRDefault="006F0BB0" w:rsidP="007D1DBA">
            <w:pPr>
              <w:jc w:val="right"/>
              <w:rPr>
                <w:sz w:val="18"/>
                <w:szCs w:val="18"/>
                <w:lang w:val="es-419" w:eastAsia="es-419"/>
              </w:rPr>
            </w:pPr>
            <w:r w:rsidRPr="006F0BB0">
              <w:rPr>
                <w:sz w:val="18"/>
                <w:szCs w:val="18"/>
                <w:lang w:val="es-419" w:eastAsia="es-419"/>
              </w:rPr>
              <w:t>73,9%</w:t>
            </w:r>
          </w:p>
        </w:tc>
      </w:tr>
      <w:tr w:rsidR="006F0BB0" w:rsidRPr="006F0BB0" w14:paraId="5AA0887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861CF2" w14:textId="77777777" w:rsidR="006F0BB0" w:rsidRPr="006F0BB0" w:rsidRDefault="006F0BB0" w:rsidP="007D1DBA">
            <w:pPr>
              <w:jc w:val="left"/>
              <w:rPr>
                <w:sz w:val="18"/>
                <w:szCs w:val="18"/>
                <w:lang w:val="es-419" w:eastAsia="es-419"/>
              </w:rPr>
            </w:pPr>
            <w:r w:rsidRPr="006F0BB0">
              <w:rPr>
                <w:sz w:val="18"/>
                <w:szCs w:val="18"/>
                <w:lang w:val="es-419" w:eastAsia="es-419"/>
              </w:rPr>
              <w:t>Senegal</w:t>
            </w:r>
          </w:p>
        </w:tc>
        <w:tc>
          <w:tcPr>
            <w:tcW w:w="950" w:type="dxa"/>
            <w:tcBorders>
              <w:top w:val="nil"/>
              <w:left w:val="nil"/>
              <w:bottom w:val="single" w:sz="4" w:space="0" w:color="auto"/>
              <w:right w:val="single" w:sz="4" w:space="0" w:color="auto"/>
            </w:tcBorders>
            <w:shd w:val="clear" w:color="auto" w:fill="auto"/>
            <w:noWrap/>
            <w:hideMark/>
          </w:tcPr>
          <w:p w14:paraId="361155D1" w14:textId="77777777" w:rsidR="006F0BB0" w:rsidRPr="006F0BB0" w:rsidRDefault="006F0BB0" w:rsidP="007D1DBA">
            <w:pPr>
              <w:jc w:val="right"/>
              <w:rPr>
                <w:sz w:val="18"/>
                <w:szCs w:val="18"/>
                <w:lang w:val="es-419" w:eastAsia="es-419"/>
              </w:rPr>
            </w:pPr>
            <w:r w:rsidRPr="006F0BB0">
              <w:rPr>
                <w:sz w:val="18"/>
                <w:szCs w:val="18"/>
                <w:lang w:val="es-419" w:eastAsia="es-419"/>
              </w:rPr>
              <w:t>1 541 337</w:t>
            </w:r>
          </w:p>
        </w:tc>
        <w:tc>
          <w:tcPr>
            <w:tcW w:w="950" w:type="dxa"/>
            <w:tcBorders>
              <w:top w:val="nil"/>
              <w:left w:val="nil"/>
              <w:bottom w:val="single" w:sz="4" w:space="0" w:color="auto"/>
              <w:right w:val="single" w:sz="4" w:space="0" w:color="auto"/>
            </w:tcBorders>
            <w:shd w:val="clear" w:color="auto" w:fill="auto"/>
            <w:noWrap/>
            <w:hideMark/>
          </w:tcPr>
          <w:p w14:paraId="52160DF6" w14:textId="77777777" w:rsidR="006F0BB0" w:rsidRPr="006F0BB0" w:rsidRDefault="006F0BB0" w:rsidP="007D1DBA">
            <w:pPr>
              <w:jc w:val="right"/>
              <w:rPr>
                <w:sz w:val="18"/>
                <w:szCs w:val="18"/>
                <w:lang w:val="es-419" w:eastAsia="es-419"/>
              </w:rPr>
            </w:pPr>
            <w:r w:rsidRPr="006F0BB0">
              <w:rPr>
                <w:sz w:val="18"/>
                <w:szCs w:val="18"/>
                <w:lang w:val="es-419" w:eastAsia="es-419"/>
              </w:rPr>
              <w:t>1 587 577</w:t>
            </w:r>
          </w:p>
        </w:tc>
        <w:tc>
          <w:tcPr>
            <w:tcW w:w="950" w:type="dxa"/>
            <w:tcBorders>
              <w:top w:val="nil"/>
              <w:left w:val="nil"/>
              <w:bottom w:val="single" w:sz="4" w:space="0" w:color="auto"/>
              <w:right w:val="single" w:sz="4" w:space="0" w:color="auto"/>
            </w:tcBorders>
            <w:shd w:val="clear" w:color="auto" w:fill="auto"/>
            <w:noWrap/>
            <w:hideMark/>
          </w:tcPr>
          <w:p w14:paraId="33228ACF" w14:textId="77777777" w:rsidR="006F0BB0" w:rsidRPr="006F0BB0" w:rsidRDefault="006F0BB0" w:rsidP="007D1DBA">
            <w:pPr>
              <w:jc w:val="right"/>
              <w:rPr>
                <w:sz w:val="18"/>
                <w:szCs w:val="18"/>
                <w:lang w:val="es-419" w:eastAsia="es-419"/>
              </w:rPr>
            </w:pPr>
            <w:r w:rsidRPr="006F0BB0">
              <w:rPr>
                <w:sz w:val="18"/>
                <w:szCs w:val="18"/>
                <w:lang w:val="es-419" w:eastAsia="es-419"/>
              </w:rPr>
              <w:t>1 635 204</w:t>
            </w:r>
          </w:p>
        </w:tc>
        <w:tc>
          <w:tcPr>
            <w:tcW w:w="950" w:type="dxa"/>
            <w:tcBorders>
              <w:top w:val="nil"/>
              <w:left w:val="nil"/>
              <w:bottom w:val="single" w:sz="4" w:space="0" w:color="auto"/>
              <w:right w:val="single" w:sz="4" w:space="0" w:color="auto"/>
            </w:tcBorders>
            <w:shd w:val="clear" w:color="auto" w:fill="auto"/>
            <w:noWrap/>
            <w:hideMark/>
          </w:tcPr>
          <w:p w14:paraId="4F33E504" w14:textId="77777777" w:rsidR="006F0BB0" w:rsidRPr="006F0BB0" w:rsidRDefault="006F0BB0" w:rsidP="007D1DBA">
            <w:pPr>
              <w:jc w:val="right"/>
              <w:rPr>
                <w:sz w:val="18"/>
                <w:szCs w:val="18"/>
                <w:lang w:val="es-419" w:eastAsia="es-419"/>
              </w:rPr>
            </w:pPr>
            <w:r w:rsidRPr="006F0BB0">
              <w:rPr>
                <w:sz w:val="18"/>
                <w:szCs w:val="18"/>
                <w:lang w:val="es-419" w:eastAsia="es-419"/>
              </w:rPr>
              <w:t>1 684 261</w:t>
            </w:r>
          </w:p>
        </w:tc>
        <w:tc>
          <w:tcPr>
            <w:tcW w:w="950" w:type="dxa"/>
            <w:tcBorders>
              <w:top w:val="nil"/>
              <w:left w:val="nil"/>
              <w:bottom w:val="single" w:sz="4" w:space="0" w:color="auto"/>
              <w:right w:val="single" w:sz="4" w:space="0" w:color="auto"/>
            </w:tcBorders>
            <w:shd w:val="clear" w:color="auto" w:fill="auto"/>
            <w:noWrap/>
            <w:hideMark/>
          </w:tcPr>
          <w:p w14:paraId="14E59EAD" w14:textId="77777777" w:rsidR="006F0BB0" w:rsidRPr="006F0BB0" w:rsidRDefault="006F0BB0" w:rsidP="007D1DBA">
            <w:pPr>
              <w:jc w:val="right"/>
              <w:rPr>
                <w:sz w:val="18"/>
                <w:szCs w:val="18"/>
                <w:lang w:val="es-419" w:eastAsia="es-419"/>
              </w:rPr>
            </w:pPr>
            <w:r w:rsidRPr="006F0BB0">
              <w:rPr>
                <w:sz w:val="18"/>
                <w:szCs w:val="18"/>
                <w:lang w:val="es-419" w:eastAsia="es-419"/>
              </w:rPr>
              <w:t>1 734 788</w:t>
            </w:r>
          </w:p>
        </w:tc>
        <w:tc>
          <w:tcPr>
            <w:tcW w:w="950" w:type="dxa"/>
            <w:tcBorders>
              <w:top w:val="nil"/>
              <w:left w:val="nil"/>
              <w:bottom w:val="single" w:sz="4" w:space="0" w:color="auto"/>
              <w:right w:val="single" w:sz="4" w:space="0" w:color="auto"/>
            </w:tcBorders>
            <w:shd w:val="clear" w:color="auto" w:fill="auto"/>
            <w:noWrap/>
            <w:hideMark/>
          </w:tcPr>
          <w:p w14:paraId="48050C9E" w14:textId="77777777" w:rsidR="006F0BB0" w:rsidRPr="006F0BB0" w:rsidRDefault="006F0BB0" w:rsidP="007D1DBA">
            <w:pPr>
              <w:jc w:val="right"/>
              <w:rPr>
                <w:sz w:val="18"/>
                <w:szCs w:val="18"/>
                <w:lang w:val="es-419" w:eastAsia="es-419"/>
              </w:rPr>
            </w:pPr>
            <w:r w:rsidRPr="006F0BB0">
              <w:rPr>
                <w:sz w:val="18"/>
                <w:szCs w:val="18"/>
                <w:lang w:val="es-419" w:eastAsia="es-419"/>
              </w:rPr>
              <w:t>1 786 832</w:t>
            </w:r>
          </w:p>
        </w:tc>
        <w:tc>
          <w:tcPr>
            <w:tcW w:w="950" w:type="dxa"/>
            <w:tcBorders>
              <w:top w:val="nil"/>
              <w:left w:val="nil"/>
              <w:bottom w:val="single" w:sz="4" w:space="0" w:color="auto"/>
              <w:right w:val="single" w:sz="4" w:space="0" w:color="auto"/>
            </w:tcBorders>
            <w:shd w:val="clear" w:color="auto" w:fill="auto"/>
            <w:noWrap/>
            <w:hideMark/>
          </w:tcPr>
          <w:p w14:paraId="04C1E4F7" w14:textId="77777777" w:rsidR="006F0BB0" w:rsidRPr="006F0BB0" w:rsidRDefault="006F0BB0" w:rsidP="007D1DBA">
            <w:pPr>
              <w:jc w:val="right"/>
              <w:rPr>
                <w:sz w:val="18"/>
                <w:szCs w:val="18"/>
                <w:lang w:val="es-419" w:eastAsia="es-419"/>
              </w:rPr>
            </w:pPr>
            <w:r w:rsidRPr="006F0BB0">
              <w:rPr>
                <w:sz w:val="18"/>
                <w:szCs w:val="18"/>
                <w:lang w:val="es-419" w:eastAsia="es-419"/>
              </w:rPr>
              <w:t>1 635 681</w:t>
            </w:r>
          </w:p>
        </w:tc>
        <w:tc>
          <w:tcPr>
            <w:tcW w:w="1005" w:type="dxa"/>
            <w:tcBorders>
              <w:top w:val="nil"/>
              <w:left w:val="nil"/>
              <w:bottom w:val="single" w:sz="4" w:space="0" w:color="auto"/>
              <w:right w:val="single" w:sz="4" w:space="0" w:color="auto"/>
            </w:tcBorders>
            <w:shd w:val="clear" w:color="auto" w:fill="auto"/>
            <w:noWrap/>
            <w:hideMark/>
          </w:tcPr>
          <w:p w14:paraId="1D7989DC" w14:textId="77777777" w:rsidR="006F0BB0" w:rsidRPr="006F0BB0" w:rsidRDefault="006F0BB0" w:rsidP="007D1DBA">
            <w:pPr>
              <w:jc w:val="right"/>
              <w:rPr>
                <w:sz w:val="18"/>
                <w:szCs w:val="18"/>
                <w:lang w:val="es-419" w:eastAsia="es-419"/>
              </w:rPr>
            </w:pPr>
            <w:r w:rsidRPr="006F0BB0">
              <w:rPr>
                <w:sz w:val="18"/>
                <w:szCs w:val="18"/>
                <w:lang w:val="es-419" w:eastAsia="es-419"/>
              </w:rPr>
              <w:t>2 408 971</w:t>
            </w:r>
          </w:p>
        </w:tc>
        <w:tc>
          <w:tcPr>
            <w:tcW w:w="1181" w:type="dxa"/>
            <w:tcBorders>
              <w:top w:val="nil"/>
              <w:left w:val="nil"/>
              <w:bottom w:val="single" w:sz="4" w:space="0" w:color="auto"/>
              <w:right w:val="single" w:sz="4" w:space="0" w:color="auto"/>
            </w:tcBorders>
            <w:shd w:val="clear" w:color="auto" w:fill="auto"/>
            <w:noWrap/>
            <w:hideMark/>
          </w:tcPr>
          <w:p w14:paraId="5AAA8441" w14:textId="77777777" w:rsidR="006F0BB0" w:rsidRPr="006F0BB0" w:rsidRDefault="006F0BB0" w:rsidP="007D1DBA">
            <w:pPr>
              <w:jc w:val="right"/>
              <w:rPr>
                <w:sz w:val="18"/>
                <w:szCs w:val="18"/>
                <w:lang w:val="es-419" w:eastAsia="es-419"/>
              </w:rPr>
            </w:pPr>
            <w:r w:rsidRPr="006F0BB0">
              <w:rPr>
                <w:sz w:val="18"/>
                <w:szCs w:val="18"/>
                <w:lang w:val="es-419" w:eastAsia="es-419"/>
              </w:rPr>
              <w:t>74,2%</w:t>
            </w:r>
          </w:p>
        </w:tc>
      </w:tr>
      <w:tr w:rsidR="006F0BB0" w:rsidRPr="006F0BB0" w14:paraId="265AA26D"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9FB7FC" w14:textId="77777777" w:rsidR="006F0BB0" w:rsidRPr="006F0BB0" w:rsidRDefault="006F0BB0" w:rsidP="007D1DBA">
            <w:pPr>
              <w:jc w:val="left"/>
              <w:rPr>
                <w:sz w:val="18"/>
                <w:szCs w:val="18"/>
                <w:lang w:val="es-419" w:eastAsia="es-419"/>
              </w:rPr>
            </w:pPr>
            <w:r w:rsidRPr="006F0BB0">
              <w:rPr>
                <w:sz w:val="18"/>
                <w:szCs w:val="18"/>
                <w:lang w:val="es-419" w:eastAsia="es-419"/>
              </w:rPr>
              <w:t>Barbados</w:t>
            </w:r>
          </w:p>
        </w:tc>
        <w:tc>
          <w:tcPr>
            <w:tcW w:w="950" w:type="dxa"/>
            <w:tcBorders>
              <w:top w:val="nil"/>
              <w:left w:val="nil"/>
              <w:bottom w:val="single" w:sz="4" w:space="0" w:color="auto"/>
              <w:right w:val="single" w:sz="4" w:space="0" w:color="auto"/>
            </w:tcBorders>
            <w:shd w:val="clear" w:color="auto" w:fill="auto"/>
            <w:noWrap/>
            <w:hideMark/>
          </w:tcPr>
          <w:p w14:paraId="19622354" w14:textId="77777777" w:rsidR="006F0BB0" w:rsidRPr="006F0BB0" w:rsidRDefault="006F0BB0" w:rsidP="007D1DBA">
            <w:pPr>
              <w:jc w:val="right"/>
              <w:rPr>
                <w:sz w:val="18"/>
                <w:szCs w:val="18"/>
                <w:lang w:val="es-419" w:eastAsia="es-419"/>
              </w:rPr>
            </w:pPr>
            <w:r w:rsidRPr="006F0BB0">
              <w:rPr>
                <w:sz w:val="18"/>
                <w:szCs w:val="18"/>
                <w:lang w:val="es-419" w:eastAsia="es-419"/>
              </w:rPr>
              <w:t>158 343</w:t>
            </w:r>
          </w:p>
        </w:tc>
        <w:tc>
          <w:tcPr>
            <w:tcW w:w="950" w:type="dxa"/>
            <w:tcBorders>
              <w:top w:val="nil"/>
              <w:left w:val="nil"/>
              <w:bottom w:val="single" w:sz="4" w:space="0" w:color="auto"/>
              <w:right w:val="single" w:sz="4" w:space="0" w:color="auto"/>
            </w:tcBorders>
            <w:shd w:val="clear" w:color="auto" w:fill="auto"/>
            <w:noWrap/>
            <w:hideMark/>
          </w:tcPr>
          <w:p w14:paraId="64F20CC1" w14:textId="77777777" w:rsidR="006F0BB0" w:rsidRPr="006F0BB0" w:rsidRDefault="006F0BB0" w:rsidP="007D1DBA">
            <w:pPr>
              <w:jc w:val="right"/>
              <w:rPr>
                <w:sz w:val="18"/>
                <w:szCs w:val="18"/>
                <w:lang w:val="es-419" w:eastAsia="es-419"/>
              </w:rPr>
            </w:pPr>
            <w:r w:rsidRPr="006F0BB0">
              <w:rPr>
                <w:sz w:val="18"/>
                <w:szCs w:val="18"/>
                <w:lang w:val="es-419" w:eastAsia="es-419"/>
              </w:rPr>
              <w:t>163 093</w:t>
            </w:r>
          </w:p>
        </w:tc>
        <w:tc>
          <w:tcPr>
            <w:tcW w:w="950" w:type="dxa"/>
            <w:tcBorders>
              <w:top w:val="nil"/>
              <w:left w:val="nil"/>
              <w:bottom w:val="single" w:sz="4" w:space="0" w:color="auto"/>
              <w:right w:val="single" w:sz="4" w:space="0" w:color="auto"/>
            </w:tcBorders>
            <w:shd w:val="clear" w:color="auto" w:fill="auto"/>
            <w:noWrap/>
            <w:hideMark/>
          </w:tcPr>
          <w:p w14:paraId="34E02DA4" w14:textId="77777777" w:rsidR="006F0BB0" w:rsidRPr="006F0BB0" w:rsidRDefault="006F0BB0" w:rsidP="007D1DBA">
            <w:pPr>
              <w:jc w:val="right"/>
              <w:rPr>
                <w:sz w:val="18"/>
                <w:szCs w:val="18"/>
                <w:lang w:val="es-419" w:eastAsia="es-419"/>
              </w:rPr>
            </w:pPr>
            <w:r w:rsidRPr="006F0BB0">
              <w:rPr>
                <w:sz w:val="18"/>
                <w:szCs w:val="18"/>
                <w:lang w:val="es-419" w:eastAsia="es-419"/>
              </w:rPr>
              <w:t>167 986</w:t>
            </w:r>
          </w:p>
        </w:tc>
        <w:tc>
          <w:tcPr>
            <w:tcW w:w="950" w:type="dxa"/>
            <w:tcBorders>
              <w:top w:val="nil"/>
              <w:left w:val="nil"/>
              <w:bottom w:val="single" w:sz="4" w:space="0" w:color="auto"/>
              <w:right w:val="single" w:sz="4" w:space="0" w:color="auto"/>
            </w:tcBorders>
            <w:shd w:val="clear" w:color="auto" w:fill="auto"/>
            <w:noWrap/>
            <w:hideMark/>
          </w:tcPr>
          <w:p w14:paraId="1743CB24" w14:textId="77777777" w:rsidR="006F0BB0" w:rsidRPr="006F0BB0" w:rsidRDefault="006F0BB0" w:rsidP="007D1DBA">
            <w:pPr>
              <w:jc w:val="right"/>
              <w:rPr>
                <w:sz w:val="18"/>
                <w:szCs w:val="18"/>
                <w:lang w:val="es-419" w:eastAsia="es-419"/>
              </w:rPr>
            </w:pPr>
            <w:r w:rsidRPr="006F0BB0">
              <w:rPr>
                <w:sz w:val="18"/>
                <w:szCs w:val="18"/>
                <w:lang w:val="es-419" w:eastAsia="es-419"/>
              </w:rPr>
              <w:t>173 026</w:t>
            </w:r>
          </w:p>
        </w:tc>
        <w:tc>
          <w:tcPr>
            <w:tcW w:w="950" w:type="dxa"/>
            <w:tcBorders>
              <w:top w:val="nil"/>
              <w:left w:val="nil"/>
              <w:bottom w:val="single" w:sz="4" w:space="0" w:color="auto"/>
              <w:right w:val="single" w:sz="4" w:space="0" w:color="auto"/>
            </w:tcBorders>
            <w:shd w:val="clear" w:color="auto" w:fill="auto"/>
            <w:noWrap/>
            <w:hideMark/>
          </w:tcPr>
          <w:p w14:paraId="1ED4E066" w14:textId="77777777" w:rsidR="006F0BB0" w:rsidRPr="006F0BB0" w:rsidRDefault="006F0BB0" w:rsidP="007D1DBA">
            <w:pPr>
              <w:jc w:val="right"/>
              <w:rPr>
                <w:sz w:val="18"/>
                <w:szCs w:val="18"/>
                <w:lang w:val="es-419" w:eastAsia="es-419"/>
              </w:rPr>
            </w:pPr>
            <w:r w:rsidRPr="006F0BB0">
              <w:rPr>
                <w:sz w:val="18"/>
                <w:szCs w:val="18"/>
                <w:lang w:val="es-419" w:eastAsia="es-419"/>
              </w:rPr>
              <w:t>178 216</w:t>
            </w:r>
          </w:p>
        </w:tc>
        <w:tc>
          <w:tcPr>
            <w:tcW w:w="950" w:type="dxa"/>
            <w:tcBorders>
              <w:top w:val="nil"/>
              <w:left w:val="nil"/>
              <w:bottom w:val="single" w:sz="4" w:space="0" w:color="auto"/>
              <w:right w:val="single" w:sz="4" w:space="0" w:color="auto"/>
            </w:tcBorders>
            <w:shd w:val="clear" w:color="auto" w:fill="auto"/>
            <w:noWrap/>
            <w:hideMark/>
          </w:tcPr>
          <w:p w14:paraId="67B164FF" w14:textId="77777777" w:rsidR="006F0BB0" w:rsidRPr="006F0BB0" w:rsidRDefault="006F0BB0" w:rsidP="007D1DBA">
            <w:pPr>
              <w:jc w:val="right"/>
              <w:rPr>
                <w:sz w:val="18"/>
                <w:szCs w:val="18"/>
                <w:lang w:val="es-419" w:eastAsia="es-419"/>
              </w:rPr>
            </w:pPr>
            <w:r w:rsidRPr="006F0BB0">
              <w:rPr>
                <w:sz w:val="18"/>
                <w:szCs w:val="18"/>
                <w:lang w:val="es-419" w:eastAsia="es-419"/>
              </w:rPr>
              <w:t>183 563</w:t>
            </w:r>
          </w:p>
        </w:tc>
        <w:tc>
          <w:tcPr>
            <w:tcW w:w="950" w:type="dxa"/>
            <w:tcBorders>
              <w:top w:val="nil"/>
              <w:left w:val="nil"/>
              <w:bottom w:val="single" w:sz="4" w:space="0" w:color="auto"/>
              <w:right w:val="single" w:sz="4" w:space="0" w:color="auto"/>
            </w:tcBorders>
            <w:shd w:val="clear" w:color="auto" w:fill="auto"/>
            <w:noWrap/>
            <w:hideMark/>
          </w:tcPr>
          <w:p w14:paraId="1B7C7078" w14:textId="77777777" w:rsidR="006F0BB0" w:rsidRPr="006F0BB0" w:rsidRDefault="006F0BB0" w:rsidP="007D1DBA">
            <w:pPr>
              <w:jc w:val="right"/>
              <w:rPr>
                <w:sz w:val="18"/>
                <w:szCs w:val="18"/>
                <w:lang w:val="es-419" w:eastAsia="es-419"/>
              </w:rPr>
            </w:pPr>
            <w:r w:rsidRPr="006F0BB0">
              <w:rPr>
                <w:sz w:val="18"/>
                <w:szCs w:val="18"/>
                <w:lang w:val="es-419" w:eastAsia="es-419"/>
              </w:rPr>
              <w:t>168 035</w:t>
            </w:r>
          </w:p>
        </w:tc>
        <w:tc>
          <w:tcPr>
            <w:tcW w:w="1005" w:type="dxa"/>
            <w:tcBorders>
              <w:top w:val="nil"/>
              <w:left w:val="nil"/>
              <w:bottom w:val="single" w:sz="4" w:space="0" w:color="auto"/>
              <w:right w:val="single" w:sz="4" w:space="0" w:color="auto"/>
            </w:tcBorders>
            <w:shd w:val="clear" w:color="auto" w:fill="auto"/>
            <w:noWrap/>
            <w:hideMark/>
          </w:tcPr>
          <w:p w14:paraId="0FF3594E" w14:textId="77777777" w:rsidR="006F0BB0" w:rsidRPr="006F0BB0" w:rsidRDefault="006F0BB0" w:rsidP="007D1DBA">
            <w:pPr>
              <w:jc w:val="right"/>
              <w:rPr>
                <w:sz w:val="18"/>
                <w:szCs w:val="18"/>
                <w:lang w:val="es-419" w:eastAsia="es-419"/>
              </w:rPr>
            </w:pPr>
            <w:r w:rsidRPr="006F0BB0">
              <w:rPr>
                <w:sz w:val="18"/>
                <w:szCs w:val="18"/>
                <w:lang w:val="es-419" w:eastAsia="es-419"/>
              </w:rPr>
              <w:t>247 211</w:t>
            </w:r>
          </w:p>
        </w:tc>
        <w:tc>
          <w:tcPr>
            <w:tcW w:w="1181" w:type="dxa"/>
            <w:tcBorders>
              <w:top w:val="nil"/>
              <w:left w:val="nil"/>
              <w:bottom w:val="single" w:sz="4" w:space="0" w:color="auto"/>
              <w:right w:val="single" w:sz="4" w:space="0" w:color="auto"/>
            </w:tcBorders>
            <w:shd w:val="clear" w:color="auto" w:fill="auto"/>
            <w:noWrap/>
            <w:hideMark/>
          </w:tcPr>
          <w:p w14:paraId="05B5B12C" w14:textId="77777777" w:rsidR="006F0BB0" w:rsidRPr="006F0BB0" w:rsidRDefault="006F0BB0" w:rsidP="007D1DBA">
            <w:pPr>
              <w:jc w:val="right"/>
              <w:rPr>
                <w:sz w:val="18"/>
                <w:szCs w:val="18"/>
                <w:lang w:val="es-419" w:eastAsia="es-419"/>
              </w:rPr>
            </w:pPr>
            <w:r w:rsidRPr="006F0BB0">
              <w:rPr>
                <w:sz w:val="18"/>
                <w:szCs w:val="18"/>
                <w:lang w:val="es-419" w:eastAsia="es-419"/>
              </w:rPr>
              <w:t>74,3%</w:t>
            </w:r>
          </w:p>
        </w:tc>
      </w:tr>
      <w:tr w:rsidR="006F0BB0" w:rsidRPr="006F0BB0" w14:paraId="103EA04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160756" w14:textId="77777777" w:rsidR="006F0BB0" w:rsidRPr="006F0BB0" w:rsidRDefault="006F0BB0" w:rsidP="007D1DBA">
            <w:pPr>
              <w:jc w:val="left"/>
              <w:rPr>
                <w:sz w:val="18"/>
                <w:szCs w:val="18"/>
                <w:lang w:val="es-419" w:eastAsia="es-419"/>
              </w:rPr>
            </w:pPr>
            <w:r w:rsidRPr="006F0BB0">
              <w:rPr>
                <w:sz w:val="18"/>
                <w:szCs w:val="18"/>
                <w:lang w:val="es-419" w:eastAsia="es-419"/>
              </w:rPr>
              <w:lastRenderedPageBreak/>
              <w:t xml:space="preserve">República Dominicana </w:t>
            </w:r>
          </w:p>
        </w:tc>
        <w:tc>
          <w:tcPr>
            <w:tcW w:w="950" w:type="dxa"/>
            <w:tcBorders>
              <w:top w:val="nil"/>
              <w:left w:val="nil"/>
              <w:bottom w:val="single" w:sz="4" w:space="0" w:color="auto"/>
              <w:right w:val="single" w:sz="4" w:space="0" w:color="auto"/>
            </w:tcBorders>
            <w:shd w:val="clear" w:color="auto" w:fill="auto"/>
            <w:noWrap/>
            <w:hideMark/>
          </w:tcPr>
          <w:p w14:paraId="2E2462FB" w14:textId="77777777" w:rsidR="006F0BB0" w:rsidRPr="006F0BB0" w:rsidRDefault="006F0BB0" w:rsidP="007D1DBA">
            <w:pPr>
              <w:jc w:val="right"/>
              <w:rPr>
                <w:sz w:val="18"/>
                <w:szCs w:val="18"/>
                <w:lang w:val="es-419" w:eastAsia="es-419"/>
              </w:rPr>
            </w:pPr>
            <w:r w:rsidRPr="006F0BB0">
              <w:rPr>
                <w:sz w:val="18"/>
                <w:szCs w:val="18"/>
                <w:lang w:val="es-419" w:eastAsia="es-419"/>
              </w:rPr>
              <w:t>2 406 616</w:t>
            </w:r>
          </w:p>
        </w:tc>
        <w:tc>
          <w:tcPr>
            <w:tcW w:w="950" w:type="dxa"/>
            <w:tcBorders>
              <w:top w:val="nil"/>
              <w:left w:val="nil"/>
              <w:bottom w:val="single" w:sz="4" w:space="0" w:color="auto"/>
              <w:right w:val="single" w:sz="4" w:space="0" w:color="auto"/>
            </w:tcBorders>
            <w:shd w:val="clear" w:color="auto" w:fill="auto"/>
            <w:noWrap/>
            <w:hideMark/>
          </w:tcPr>
          <w:p w14:paraId="44F61106" w14:textId="77777777" w:rsidR="006F0BB0" w:rsidRPr="006F0BB0" w:rsidRDefault="006F0BB0" w:rsidP="007D1DBA">
            <w:pPr>
              <w:jc w:val="right"/>
              <w:rPr>
                <w:sz w:val="18"/>
                <w:szCs w:val="18"/>
                <w:lang w:val="es-419" w:eastAsia="es-419"/>
              </w:rPr>
            </w:pPr>
            <w:r w:rsidRPr="006F0BB0">
              <w:rPr>
                <w:sz w:val="18"/>
                <w:szCs w:val="18"/>
                <w:lang w:val="es-419" w:eastAsia="es-419"/>
              </w:rPr>
              <w:t>2 478 814</w:t>
            </w:r>
          </w:p>
        </w:tc>
        <w:tc>
          <w:tcPr>
            <w:tcW w:w="950" w:type="dxa"/>
            <w:tcBorders>
              <w:top w:val="nil"/>
              <w:left w:val="nil"/>
              <w:bottom w:val="single" w:sz="4" w:space="0" w:color="auto"/>
              <w:right w:val="single" w:sz="4" w:space="0" w:color="auto"/>
            </w:tcBorders>
            <w:shd w:val="clear" w:color="auto" w:fill="auto"/>
            <w:noWrap/>
            <w:hideMark/>
          </w:tcPr>
          <w:p w14:paraId="2EF7E4DA" w14:textId="77777777" w:rsidR="006F0BB0" w:rsidRPr="006F0BB0" w:rsidRDefault="006F0BB0" w:rsidP="007D1DBA">
            <w:pPr>
              <w:jc w:val="right"/>
              <w:rPr>
                <w:sz w:val="18"/>
                <w:szCs w:val="18"/>
                <w:lang w:val="es-419" w:eastAsia="es-419"/>
              </w:rPr>
            </w:pPr>
            <w:r w:rsidRPr="006F0BB0">
              <w:rPr>
                <w:sz w:val="18"/>
                <w:szCs w:val="18"/>
                <w:lang w:val="es-419" w:eastAsia="es-419"/>
              </w:rPr>
              <w:t>2 553 179</w:t>
            </w:r>
          </w:p>
        </w:tc>
        <w:tc>
          <w:tcPr>
            <w:tcW w:w="950" w:type="dxa"/>
            <w:tcBorders>
              <w:top w:val="nil"/>
              <w:left w:val="nil"/>
              <w:bottom w:val="single" w:sz="4" w:space="0" w:color="auto"/>
              <w:right w:val="single" w:sz="4" w:space="0" w:color="auto"/>
            </w:tcBorders>
            <w:shd w:val="clear" w:color="auto" w:fill="auto"/>
            <w:noWrap/>
            <w:hideMark/>
          </w:tcPr>
          <w:p w14:paraId="77135895" w14:textId="77777777" w:rsidR="006F0BB0" w:rsidRPr="006F0BB0" w:rsidRDefault="006F0BB0" w:rsidP="007D1DBA">
            <w:pPr>
              <w:jc w:val="right"/>
              <w:rPr>
                <w:sz w:val="18"/>
                <w:szCs w:val="18"/>
                <w:lang w:val="es-419" w:eastAsia="es-419"/>
              </w:rPr>
            </w:pPr>
            <w:r w:rsidRPr="006F0BB0">
              <w:rPr>
                <w:sz w:val="18"/>
                <w:szCs w:val="18"/>
                <w:lang w:val="es-419" w:eastAsia="es-419"/>
              </w:rPr>
              <w:t>2 629 774</w:t>
            </w:r>
          </w:p>
        </w:tc>
        <w:tc>
          <w:tcPr>
            <w:tcW w:w="950" w:type="dxa"/>
            <w:tcBorders>
              <w:top w:val="nil"/>
              <w:left w:val="nil"/>
              <w:bottom w:val="single" w:sz="4" w:space="0" w:color="auto"/>
              <w:right w:val="single" w:sz="4" w:space="0" w:color="auto"/>
            </w:tcBorders>
            <w:shd w:val="clear" w:color="auto" w:fill="auto"/>
            <w:noWrap/>
            <w:hideMark/>
          </w:tcPr>
          <w:p w14:paraId="3C3A40B8" w14:textId="77777777" w:rsidR="006F0BB0" w:rsidRPr="006F0BB0" w:rsidRDefault="006F0BB0" w:rsidP="007D1DBA">
            <w:pPr>
              <w:jc w:val="right"/>
              <w:rPr>
                <w:sz w:val="18"/>
                <w:szCs w:val="18"/>
                <w:lang w:val="es-419" w:eastAsia="es-419"/>
              </w:rPr>
            </w:pPr>
            <w:r w:rsidRPr="006F0BB0">
              <w:rPr>
                <w:sz w:val="18"/>
                <w:szCs w:val="18"/>
                <w:lang w:val="es-419" w:eastAsia="es-419"/>
              </w:rPr>
              <w:t>2 708 668</w:t>
            </w:r>
          </w:p>
        </w:tc>
        <w:tc>
          <w:tcPr>
            <w:tcW w:w="950" w:type="dxa"/>
            <w:tcBorders>
              <w:top w:val="nil"/>
              <w:left w:val="nil"/>
              <w:bottom w:val="single" w:sz="4" w:space="0" w:color="auto"/>
              <w:right w:val="single" w:sz="4" w:space="0" w:color="auto"/>
            </w:tcBorders>
            <w:shd w:val="clear" w:color="auto" w:fill="auto"/>
            <w:noWrap/>
            <w:hideMark/>
          </w:tcPr>
          <w:p w14:paraId="21D19E99" w14:textId="77777777" w:rsidR="006F0BB0" w:rsidRPr="006F0BB0" w:rsidRDefault="006F0BB0" w:rsidP="007D1DBA">
            <w:pPr>
              <w:jc w:val="right"/>
              <w:rPr>
                <w:sz w:val="18"/>
                <w:szCs w:val="18"/>
                <w:lang w:val="es-419" w:eastAsia="es-419"/>
              </w:rPr>
            </w:pPr>
            <w:r w:rsidRPr="006F0BB0">
              <w:rPr>
                <w:sz w:val="18"/>
                <w:szCs w:val="18"/>
                <w:lang w:val="es-419" w:eastAsia="es-419"/>
              </w:rPr>
              <w:t>2 789 928</w:t>
            </w:r>
          </w:p>
        </w:tc>
        <w:tc>
          <w:tcPr>
            <w:tcW w:w="950" w:type="dxa"/>
            <w:tcBorders>
              <w:top w:val="nil"/>
              <w:left w:val="nil"/>
              <w:bottom w:val="single" w:sz="4" w:space="0" w:color="auto"/>
              <w:right w:val="single" w:sz="4" w:space="0" w:color="auto"/>
            </w:tcBorders>
            <w:shd w:val="clear" w:color="auto" w:fill="auto"/>
            <w:noWrap/>
            <w:hideMark/>
          </w:tcPr>
          <w:p w14:paraId="01BE1F90" w14:textId="77777777" w:rsidR="006F0BB0" w:rsidRPr="006F0BB0" w:rsidRDefault="006F0BB0" w:rsidP="007D1DBA">
            <w:pPr>
              <w:jc w:val="right"/>
              <w:rPr>
                <w:sz w:val="18"/>
                <w:szCs w:val="18"/>
                <w:lang w:val="es-419" w:eastAsia="es-419"/>
              </w:rPr>
            </w:pPr>
            <w:r w:rsidRPr="006F0BB0">
              <w:rPr>
                <w:sz w:val="18"/>
                <w:szCs w:val="18"/>
                <w:lang w:val="es-419" w:eastAsia="es-419"/>
              </w:rPr>
              <w:t>2 553 923</w:t>
            </w:r>
          </w:p>
        </w:tc>
        <w:tc>
          <w:tcPr>
            <w:tcW w:w="1005" w:type="dxa"/>
            <w:tcBorders>
              <w:top w:val="nil"/>
              <w:left w:val="nil"/>
              <w:bottom w:val="single" w:sz="4" w:space="0" w:color="auto"/>
              <w:right w:val="single" w:sz="4" w:space="0" w:color="auto"/>
            </w:tcBorders>
            <w:shd w:val="clear" w:color="auto" w:fill="auto"/>
            <w:noWrap/>
            <w:hideMark/>
          </w:tcPr>
          <w:p w14:paraId="75CD91D4" w14:textId="77777777" w:rsidR="006F0BB0" w:rsidRPr="006F0BB0" w:rsidRDefault="006F0BB0" w:rsidP="007D1DBA">
            <w:pPr>
              <w:jc w:val="right"/>
              <w:rPr>
                <w:sz w:val="18"/>
                <w:szCs w:val="18"/>
                <w:lang w:val="es-419" w:eastAsia="es-419"/>
              </w:rPr>
            </w:pPr>
            <w:r w:rsidRPr="006F0BB0">
              <w:rPr>
                <w:sz w:val="18"/>
                <w:szCs w:val="18"/>
                <w:lang w:val="es-419" w:eastAsia="es-419"/>
              </w:rPr>
              <w:t>3 634 782</w:t>
            </w:r>
          </w:p>
        </w:tc>
        <w:tc>
          <w:tcPr>
            <w:tcW w:w="1181" w:type="dxa"/>
            <w:tcBorders>
              <w:top w:val="nil"/>
              <w:left w:val="nil"/>
              <w:bottom w:val="single" w:sz="4" w:space="0" w:color="auto"/>
              <w:right w:val="single" w:sz="4" w:space="0" w:color="auto"/>
            </w:tcBorders>
            <w:shd w:val="clear" w:color="auto" w:fill="auto"/>
            <w:noWrap/>
            <w:hideMark/>
          </w:tcPr>
          <w:p w14:paraId="6A606CE6" w14:textId="77777777" w:rsidR="006F0BB0" w:rsidRPr="006F0BB0" w:rsidRDefault="006F0BB0" w:rsidP="007D1DBA">
            <w:pPr>
              <w:jc w:val="right"/>
              <w:rPr>
                <w:sz w:val="18"/>
                <w:szCs w:val="18"/>
                <w:lang w:val="es-419" w:eastAsia="es-419"/>
              </w:rPr>
            </w:pPr>
            <w:r w:rsidRPr="006F0BB0">
              <w:rPr>
                <w:sz w:val="18"/>
                <w:szCs w:val="18"/>
                <w:lang w:val="es-419" w:eastAsia="es-419"/>
              </w:rPr>
              <w:t>76,8%</w:t>
            </w:r>
          </w:p>
        </w:tc>
      </w:tr>
      <w:tr w:rsidR="006F0BB0" w:rsidRPr="006F0BB0" w14:paraId="1D4F03B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978CC6"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Fiji</w:t>
            </w:r>
            <w:proofErr w:type="spellEnd"/>
          </w:p>
        </w:tc>
        <w:tc>
          <w:tcPr>
            <w:tcW w:w="950" w:type="dxa"/>
            <w:tcBorders>
              <w:top w:val="nil"/>
              <w:left w:val="nil"/>
              <w:bottom w:val="single" w:sz="4" w:space="0" w:color="auto"/>
              <w:right w:val="single" w:sz="4" w:space="0" w:color="auto"/>
            </w:tcBorders>
            <w:shd w:val="clear" w:color="auto" w:fill="auto"/>
            <w:noWrap/>
            <w:hideMark/>
          </w:tcPr>
          <w:p w14:paraId="4A005E9F" w14:textId="77777777" w:rsidR="006F0BB0" w:rsidRPr="006F0BB0" w:rsidRDefault="006F0BB0" w:rsidP="007D1DBA">
            <w:pPr>
              <w:jc w:val="right"/>
              <w:rPr>
                <w:sz w:val="18"/>
                <w:szCs w:val="18"/>
                <w:lang w:val="es-419" w:eastAsia="es-419"/>
              </w:rPr>
            </w:pPr>
            <w:r w:rsidRPr="006F0BB0">
              <w:rPr>
                <w:sz w:val="18"/>
                <w:szCs w:val="18"/>
                <w:lang w:val="es-419" w:eastAsia="es-419"/>
              </w:rPr>
              <w:t>280 203</w:t>
            </w:r>
          </w:p>
        </w:tc>
        <w:tc>
          <w:tcPr>
            <w:tcW w:w="950" w:type="dxa"/>
            <w:tcBorders>
              <w:top w:val="nil"/>
              <w:left w:val="nil"/>
              <w:bottom w:val="single" w:sz="4" w:space="0" w:color="auto"/>
              <w:right w:val="single" w:sz="4" w:space="0" w:color="auto"/>
            </w:tcBorders>
            <w:shd w:val="clear" w:color="auto" w:fill="auto"/>
            <w:noWrap/>
            <w:hideMark/>
          </w:tcPr>
          <w:p w14:paraId="0B3AD9AC" w14:textId="77777777" w:rsidR="006F0BB0" w:rsidRPr="006F0BB0" w:rsidRDefault="006F0BB0" w:rsidP="007D1DBA">
            <w:pPr>
              <w:jc w:val="right"/>
              <w:rPr>
                <w:sz w:val="18"/>
                <w:szCs w:val="18"/>
                <w:lang w:val="es-419" w:eastAsia="es-419"/>
              </w:rPr>
            </w:pPr>
            <w:r w:rsidRPr="006F0BB0">
              <w:rPr>
                <w:sz w:val="18"/>
                <w:szCs w:val="18"/>
                <w:lang w:val="es-419" w:eastAsia="es-419"/>
              </w:rPr>
              <w:t>288 609</w:t>
            </w:r>
          </w:p>
        </w:tc>
        <w:tc>
          <w:tcPr>
            <w:tcW w:w="950" w:type="dxa"/>
            <w:tcBorders>
              <w:top w:val="nil"/>
              <w:left w:val="nil"/>
              <w:bottom w:val="single" w:sz="4" w:space="0" w:color="auto"/>
              <w:right w:val="single" w:sz="4" w:space="0" w:color="auto"/>
            </w:tcBorders>
            <w:shd w:val="clear" w:color="auto" w:fill="auto"/>
            <w:noWrap/>
            <w:hideMark/>
          </w:tcPr>
          <w:p w14:paraId="6BBD6224" w14:textId="77777777" w:rsidR="006F0BB0" w:rsidRPr="006F0BB0" w:rsidRDefault="006F0BB0" w:rsidP="007D1DBA">
            <w:pPr>
              <w:jc w:val="right"/>
              <w:rPr>
                <w:sz w:val="18"/>
                <w:szCs w:val="18"/>
                <w:lang w:val="es-419" w:eastAsia="es-419"/>
              </w:rPr>
            </w:pPr>
            <w:r w:rsidRPr="006F0BB0">
              <w:rPr>
                <w:sz w:val="18"/>
                <w:szCs w:val="18"/>
                <w:lang w:val="es-419" w:eastAsia="es-419"/>
              </w:rPr>
              <w:t>297 267</w:t>
            </w:r>
          </w:p>
        </w:tc>
        <w:tc>
          <w:tcPr>
            <w:tcW w:w="950" w:type="dxa"/>
            <w:tcBorders>
              <w:top w:val="nil"/>
              <w:left w:val="nil"/>
              <w:bottom w:val="single" w:sz="4" w:space="0" w:color="auto"/>
              <w:right w:val="single" w:sz="4" w:space="0" w:color="auto"/>
            </w:tcBorders>
            <w:shd w:val="clear" w:color="auto" w:fill="auto"/>
            <w:noWrap/>
            <w:hideMark/>
          </w:tcPr>
          <w:p w14:paraId="5B6AE3EE" w14:textId="77777777" w:rsidR="006F0BB0" w:rsidRPr="006F0BB0" w:rsidRDefault="006F0BB0" w:rsidP="007D1DBA">
            <w:pPr>
              <w:jc w:val="right"/>
              <w:rPr>
                <w:sz w:val="18"/>
                <w:szCs w:val="18"/>
                <w:lang w:val="es-419" w:eastAsia="es-419"/>
              </w:rPr>
            </w:pPr>
            <w:r w:rsidRPr="006F0BB0">
              <w:rPr>
                <w:sz w:val="18"/>
                <w:szCs w:val="18"/>
                <w:lang w:val="es-419" w:eastAsia="es-419"/>
              </w:rPr>
              <w:t>306 185</w:t>
            </w:r>
          </w:p>
        </w:tc>
        <w:tc>
          <w:tcPr>
            <w:tcW w:w="950" w:type="dxa"/>
            <w:tcBorders>
              <w:top w:val="nil"/>
              <w:left w:val="nil"/>
              <w:bottom w:val="single" w:sz="4" w:space="0" w:color="auto"/>
              <w:right w:val="single" w:sz="4" w:space="0" w:color="auto"/>
            </w:tcBorders>
            <w:shd w:val="clear" w:color="auto" w:fill="auto"/>
            <w:noWrap/>
            <w:hideMark/>
          </w:tcPr>
          <w:p w14:paraId="2EB70E2F" w14:textId="77777777" w:rsidR="006F0BB0" w:rsidRPr="006F0BB0" w:rsidRDefault="006F0BB0" w:rsidP="007D1DBA">
            <w:pPr>
              <w:jc w:val="right"/>
              <w:rPr>
                <w:sz w:val="18"/>
                <w:szCs w:val="18"/>
                <w:lang w:val="es-419" w:eastAsia="es-419"/>
              </w:rPr>
            </w:pPr>
            <w:r w:rsidRPr="006F0BB0">
              <w:rPr>
                <w:sz w:val="18"/>
                <w:szCs w:val="18"/>
                <w:lang w:val="es-419" w:eastAsia="es-419"/>
              </w:rPr>
              <w:t>315 371</w:t>
            </w:r>
          </w:p>
        </w:tc>
        <w:tc>
          <w:tcPr>
            <w:tcW w:w="950" w:type="dxa"/>
            <w:tcBorders>
              <w:top w:val="nil"/>
              <w:left w:val="nil"/>
              <w:bottom w:val="single" w:sz="4" w:space="0" w:color="auto"/>
              <w:right w:val="single" w:sz="4" w:space="0" w:color="auto"/>
            </w:tcBorders>
            <w:shd w:val="clear" w:color="auto" w:fill="auto"/>
            <w:noWrap/>
            <w:hideMark/>
          </w:tcPr>
          <w:p w14:paraId="3FA7EA0E" w14:textId="77777777" w:rsidR="006F0BB0" w:rsidRPr="006F0BB0" w:rsidRDefault="006F0BB0" w:rsidP="007D1DBA">
            <w:pPr>
              <w:jc w:val="right"/>
              <w:rPr>
                <w:sz w:val="18"/>
                <w:szCs w:val="18"/>
                <w:lang w:val="es-419" w:eastAsia="es-419"/>
              </w:rPr>
            </w:pPr>
            <w:r w:rsidRPr="006F0BB0">
              <w:rPr>
                <w:sz w:val="18"/>
                <w:szCs w:val="18"/>
                <w:lang w:val="es-419" w:eastAsia="es-419"/>
              </w:rPr>
              <w:t>324 832</w:t>
            </w:r>
          </w:p>
        </w:tc>
        <w:tc>
          <w:tcPr>
            <w:tcW w:w="950" w:type="dxa"/>
            <w:tcBorders>
              <w:top w:val="nil"/>
              <w:left w:val="nil"/>
              <w:bottom w:val="single" w:sz="4" w:space="0" w:color="auto"/>
              <w:right w:val="single" w:sz="4" w:space="0" w:color="auto"/>
            </w:tcBorders>
            <w:shd w:val="clear" w:color="auto" w:fill="auto"/>
            <w:noWrap/>
            <w:hideMark/>
          </w:tcPr>
          <w:p w14:paraId="27CAF1C8" w14:textId="77777777" w:rsidR="006F0BB0" w:rsidRPr="006F0BB0" w:rsidRDefault="006F0BB0" w:rsidP="007D1DBA">
            <w:pPr>
              <w:jc w:val="right"/>
              <w:rPr>
                <w:sz w:val="18"/>
                <w:szCs w:val="18"/>
                <w:lang w:val="es-419" w:eastAsia="es-419"/>
              </w:rPr>
            </w:pPr>
            <w:r w:rsidRPr="006F0BB0">
              <w:rPr>
                <w:sz w:val="18"/>
                <w:szCs w:val="18"/>
                <w:lang w:val="es-419" w:eastAsia="es-419"/>
              </w:rPr>
              <w:t>297 354</w:t>
            </w:r>
          </w:p>
        </w:tc>
        <w:tc>
          <w:tcPr>
            <w:tcW w:w="1005" w:type="dxa"/>
            <w:tcBorders>
              <w:top w:val="nil"/>
              <w:left w:val="nil"/>
              <w:bottom w:val="single" w:sz="4" w:space="0" w:color="auto"/>
              <w:right w:val="single" w:sz="4" w:space="0" w:color="auto"/>
            </w:tcBorders>
            <w:shd w:val="clear" w:color="auto" w:fill="auto"/>
            <w:noWrap/>
            <w:hideMark/>
          </w:tcPr>
          <w:p w14:paraId="2FAA3F34" w14:textId="77777777" w:rsidR="006F0BB0" w:rsidRPr="006F0BB0" w:rsidRDefault="006F0BB0" w:rsidP="007D1DBA">
            <w:pPr>
              <w:jc w:val="right"/>
              <w:rPr>
                <w:sz w:val="18"/>
                <w:szCs w:val="18"/>
                <w:lang w:val="es-419" w:eastAsia="es-419"/>
              </w:rPr>
            </w:pPr>
            <w:r w:rsidRPr="006F0BB0">
              <w:rPr>
                <w:sz w:val="18"/>
                <w:szCs w:val="18"/>
                <w:lang w:val="es-419" w:eastAsia="es-419"/>
              </w:rPr>
              <w:t>420 020</w:t>
            </w:r>
          </w:p>
        </w:tc>
        <w:tc>
          <w:tcPr>
            <w:tcW w:w="1181" w:type="dxa"/>
            <w:tcBorders>
              <w:top w:val="nil"/>
              <w:left w:val="nil"/>
              <w:bottom w:val="single" w:sz="4" w:space="0" w:color="auto"/>
              <w:right w:val="single" w:sz="4" w:space="0" w:color="auto"/>
            </w:tcBorders>
            <w:shd w:val="clear" w:color="auto" w:fill="auto"/>
            <w:noWrap/>
            <w:hideMark/>
          </w:tcPr>
          <w:p w14:paraId="3147748D" w14:textId="77777777" w:rsidR="006F0BB0" w:rsidRPr="006F0BB0" w:rsidRDefault="006F0BB0" w:rsidP="007D1DBA">
            <w:pPr>
              <w:jc w:val="right"/>
              <w:rPr>
                <w:sz w:val="18"/>
                <w:szCs w:val="18"/>
                <w:lang w:val="es-419" w:eastAsia="es-419"/>
              </w:rPr>
            </w:pPr>
            <w:r w:rsidRPr="006F0BB0">
              <w:rPr>
                <w:sz w:val="18"/>
                <w:szCs w:val="18"/>
                <w:lang w:val="es-419" w:eastAsia="es-419"/>
              </w:rPr>
              <w:t>77,3%</w:t>
            </w:r>
          </w:p>
        </w:tc>
      </w:tr>
      <w:tr w:rsidR="006F0BB0" w:rsidRPr="006F0BB0" w14:paraId="3A7F4FD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4E49AF" w14:textId="77777777" w:rsidR="006F0BB0" w:rsidRPr="006F0BB0" w:rsidRDefault="006F0BB0" w:rsidP="007D1DBA">
            <w:pPr>
              <w:jc w:val="left"/>
              <w:rPr>
                <w:sz w:val="18"/>
                <w:szCs w:val="18"/>
                <w:lang w:val="es-419" w:eastAsia="es-419"/>
              </w:rPr>
            </w:pPr>
            <w:r w:rsidRPr="006F0BB0">
              <w:rPr>
                <w:sz w:val="18"/>
                <w:szCs w:val="18"/>
                <w:lang w:val="es-419" w:eastAsia="es-419"/>
              </w:rPr>
              <w:t>Santa Lucía</w:t>
            </w:r>
          </w:p>
        </w:tc>
        <w:tc>
          <w:tcPr>
            <w:tcW w:w="950" w:type="dxa"/>
            <w:tcBorders>
              <w:top w:val="nil"/>
              <w:left w:val="nil"/>
              <w:bottom w:val="single" w:sz="4" w:space="0" w:color="auto"/>
              <w:right w:val="single" w:sz="4" w:space="0" w:color="auto"/>
            </w:tcBorders>
            <w:shd w:val="clear" w:color="auto" w:fill="auto"/>
            <w:noWrap/>
            <w:hideMark/>
          </w:tcPr>
          <w:p w14:paraId="056DC659" w14:textId="77777777" w:rsidR="006F0BB0" w:rsidRPr="006F0BB0" w:rsidRDefault="006F0BB0" w:rsidP="007D1DBA">
            <w:pPr>
              <w:jc w:val="right"/>
              <w:rPr>
                <w:sz w:val="18"/>
                <w:szCs w:val="18"/>
                <w:lang w:val="es-419" w:eastAsia="es-419"/>
              </w:rPr>
            </w:pPr>
            <w:r w:rsidRPr="006F0BB0">
              <w:rPr>
                <w:sz w:val="18"/>
                <w:szCs w:val="18"/>
                <w:lang w:val="es-419" w:eastAsia="es-419"/>
              </w:rPr>
              <w:t>54 429</w:t>
            </w:r>
          </w:p>
        </w:tc>
        <w:tc>
          <w:tcPr>
            <w:tcW w:w="950" w:type="dxa"/>
            <w:tcBorders>
              <w:top w:val="nil"/>
              <w:left w:val="nil"/>
              <w:bottom w:val="single" w:sz="4" w:space="0" w:color="auto"/>
              <w:right w:val="single" w:sz="4" w:space="0" w:color="auto"/>
            </w:tcBorders>
            <w:shd w:val="clear" w:color="auto" w:fill="auto"/>
            <w:noWrap/>
            <w:hideMark/>
          </w:tcPr>
          <w:p w14:paraId="5F5EFCE7" w14:textId="77777777" w:rsidR="006F0BB0" w:rsidRPr="006F0BB0" w:rsidRDefault="006F0BB0" w:rsidP="007D1DBA">
            <w:pPr>
              <w:jc w:val="right"/>
              <w:rPr>
                <w:sz w:val="18"/>
                <w:szCs w:val="18"/>
                <w:lang w:val="es-419" w:eastAsia="es-419"/>
              </w:rPr>
            </w:pPr>
            <w:r w:rsidRPr="006F0BB0">
              <w:rPr>
                <w:sz w:val="18"/>
                <w:szCs w:val="18"/>
                <w:lang w:val="es-419" w:eastAsia="es-419"/>
              </w:rPr>
              <w:t>56 062</w:t>
            </w:r>
          </w:p>
        </w:tc>
        <w:tc>
          <w:tcPr>
            <w:tcW w:w="950" w:type="dxa"/>
            <w:tcBorders>
              <w:top w:val="nil"/>
              <w:left w:val="nil"/>
              <w:bottom w:val="single" w:sz="4" w:space="0" w:color="auto"/>
              <w:right w:val="single" w:sz="4" w:space="0" w:color="auto"/>
            </w:tcBorders>
            <w:shd w:val="clear" w:color="auto" w:fill="auto"/>
            <w:noWrap/>
            <w:hideMark/>
          </w:tcPr>
          <w:p w14:paraId="5A190913" w14:textId="77777777" w:rsidR="006F0BB0" w:rsidRPr="006F0BB0" w:rsidRDefault="006F0BB0" w:rsidP="007D1DBA">
            <w:pPr>
              <w:jc w:val="right"/>
              <w:rPr>
                <w:sz w:val="18"/>
                <w:szCs w:val="18"/>
                <w:lang w:val="es-419" w:eastAsia="es-419"/>
              </w:rPr>
            </w:pPr>
            <w:r w:rsidRPr="006F0BB0">
              <w:rPr>
                <w:sz w:val="18"/>
                <w:szCs w:val="18"/>
                <w:lang w:val="es-419" w:eastAsia="es-419"/>
              </w:rPr>
              <w:t>57 744</w:t>
            </w:r>
          </w:p>
        </w:tc>
        <w:tc>
          <w:tcPr>
            <w:tcW w:w="950" w:type="dxa"/>
            <w:tcBorders>
              <w:top w:val="nil"/>
              <w:left w:val="nil"/>
              <w:bottom w:val="single" w:sz="4" w:space="0" w:color="auto"/>
              <w:right w:val="single" w:sz="4" w:space="0" w:color="auto"/>
            </w:tcBorders>
            <w:shd w:val="clear" w:color="auto" w:fill="auto"/>
            <w:noWrap/>
            <w:hideMark/>
          </w:tcPr>
          <w:p w14:paraId="0D7E11F8" w14:textId="77777777" w:rsidR="006F0BB0" w:rsidRPr="006F0BB0" w:rsidRDefault="006F0BB0" w:rsidP="007D1DBA">
            <w:pPr>
              <w:jc w:val="right"/>
              <w:rPr>
                <w:sz w:val="18"/>
                <w:szCs w:val="18"/>
                <w:lang w:val="es-419" w:eastAsia="es-419"/>
              </w:rPr>
            </w:pPr>
            <w:r w:rsidRPr="006F0BB0">
              <w:rPr>
                <w:sz w:val="18"/>
                <w:szCs w:val="18"/>
                <w:lang w:val="es-419" w:eastAsia="es-419"/>
              </w:rPr>
              <w:t>59 476</w:t>
            </w:r>
          </w:p>
        </w:tc>
        <w:tc>
          <w:tcPr>
            <w:tcW w:w="950" w:type="dxa"/>
            <w:tcBorders>
              <w:top w:val="nil"/>
              <w:left w:val="nil"/>
              <w:bottom w:val="single" w:sz="4" w:space="0" w:color="auto"/>
              <w:right w:val="single" w:sz="4" w:space="0" w:color="auto"/>
            </w:tcBorders>
            <w:shd w:val="clear" w:color="auto" w:fill="auto"/>
            <w:noWrap/>
            <w:hideMark/>
          </w:tcPr>
          <w:p w14:paraId="3884186F" w14:textId="77777777" w:rsidR="006F0BB0" w:rsidRPr="006F0BB0" w:rsidRDefault="006F0BB0" w:rsidP="007D1DBA">
            <w:pPr>
              <w:jc w:val="right"/>
              <w:rPr>
                <w:sz w:val="18"/>
                <w:szCs w:val="18"/>
                <w:lang w:val="es-419" w:eastAsia="es-419"/>
              </w:rPr>
            </w:pPr>
            <w:r w:rsidRPr="006F0BB0">
              <w:rPr>
                <w:sz w:val="18"/>
                <w:szCs w:val="18"/>
                <w:lang w:val="es-419" w:eastAsia="es-419"/>
              </w:rPr>
              <w:t>61 260</w:t>
            </w:r>
          </w:p>
        </w:tc>
        <w:tc>
          <w:tcPr>
            <w:tcW w:w="950" w:type="dxa"/>
            <w:tcBorders>
              <w:top w:val="nil"/>
              <w:left w:val="nil"/>
              <w:bottom w:val="single" w:sz="4" w:space="0" w:color="auto"/>
              <w:right w:val="single" w:sz="4" w:space="0" w:color="auto"/>
            </w:tcBorders>
            <w:shd w:val="clear" w:color="auto" w:fill="auto"/>
            <w:noWrap/>
            <w:hideMark/>
          </w:tcPr>
          <w:p w14:paraId="3EAA1CC9" w14:textId="77777777" w:rsidR="006F0BB0" w:rsidRPr="006F0BB0" w:rsidRDefault="006F0BB0" w:rsidP="007D1DBA">
            <w:pPr>
              <w:jc w:val="right"/>
              <w:rPr>
                <w:sz w:val="18"/>
                <w:szCs w:val="18"/>
                <w:lang w:val="es-419" w:eastAsia="es-419"/>
              </w:rPr>
            </w:pPr>
            <w:r w:rsidRPr="006F0BB0">
              <w:rPr>
                <w:sz w:val="18"/>
                <w:szCs w:val="18"/>
                <w:lang w:val="es-419" w:eastAsia="es-419"/>
              </w:rPr>
              <w:t>63 098</w:t>
            </w:r>
          </w:p>
        </w:tc>
        <w:tc>
          <w:tcPr>
            <w:tcW w:w="950" w:type="dxa"/>
            <w:tcBorders>
              <w:top w:val="nil"/>
              <w:left w:val="nil"/>
              <w:bottom w:val="single" w:sz="4" w:space="0" w:color="auto"/>
              <w:right w:val="single" w:sz="4" w:space="0" w:color="auto"/>
            </w:tcBorders>
            <w:shd w:val="clear" w:color="auto" w:fill="auto"/>
            <w:noWrap/>
            <w:hideMark/>
          </w:tcPr>
          <w:p w14:paraId="1F1F2948" w14:textId="77777777" w:rsidR="006F0BB0" w:rsidRPr="006F0BB0" w:rsidRDefault="006F0BB0" w:rsidP="007D1DBA">
            <w:pPr>
              <w:jc w:val="right"/>
              <w:rPr>
                <w:sz w:val="18"/>
                <w:szCs w:val="18"/>
                <w:lang w:val="es-419" w:eastAsia="es-419"/>
              </w:rPr>
            </w:pPr>
            <w:r w:rsidRPr="006F0BB0">
              <w:rPr>
                <w:sz w:val="18"/>
                <w:szCs w:val="18"/>
                <w:lang w:val="es-419" w:eastAsia="es-419"/>
              </w:rPr>
              <w:t>57 761</w:t>
            </w:r>
          </w:p>
        </w:tc>
        <w:tc>
          <w:tcPr>
            <w:tcW w:w="1005" w:type="dxa"/>
            <w:tcBorders>
              <w:top w:val="nil"/>
              <w:left w:val="nil"/>
              <w:bottom w:val="single" w:sz="4" w:space="0" w:color="auto"/>
              <w:right w:val="single" w:sz="4" w:space="0" w:color="auto"/>
            </w:tcBorders>
            <w:shd w:val="clear" w:color="auto" w:fill="auto"/>
            <w:noWrap/>
            <w:hideMark/>
          </w:tcPr>
          <w:p w14:paraId="097F75F8" w14:textId="77777777" w:rsidR="006F0BB0" w:rsidRPr="006F0BB0" w:rsidRDefault="006F0BB0" w:rsidP="007D1DBA">
            <w:pPr>
              <w:jc w:val="right"/>
              <w:rPr>
                <w:sz w:val="18"/>
                <w:szCs w:val="18"/>
                <w:lang w:val="es-419" w:eastAsia="es-419"/>
              </w:rPr>
            </w:pPr>
            <w:r w:rsidRPr="006F0BB0">
              <w:rPr>
                <w:sz w:val="18"/>
                <w:szCs w:val="18"/>
                <w:lang w:val="es-419" w:eastAsia="es-419"/>
              </w:rPr>
              <w:t>80 773</w:t>
            </w:r>
          </w:p>
        </w:tc>
        <w:tc>
          <w:tcPr>
            <w:tcW w:w="1181" w:type="dxa"/>
            <w:tcBorders>
              <w:top w:val="nil"/>
              <w:left w:val="nil"/>
              <w:bottom w:val="single" w:sz="4" w:space="0" w:color="auto"/>
              <w:right w:val="single" w:sz="4" w:space="0" w:color="auto"/>
            </w:tcBorders>
            <w:shd w:val="clear" w:color="auto" w:fill="auto"/>
            <w:noWrap/>
            <w:hideMark/>
          </w:tcPr>
          <w:p w14:paraId="79DD5127" w14:textId="77777777" w:rsidR="006F0BB0" w:rsidRPr="006F0BB0" w:rsidRDefault="006F0BB0" w:rsidP="007D1DBA">
            <w:pPr>
              <w:jc w:val="right"/>
              <w:rPr>
                <w:sz w:val="18"/>
                <w:szCs w:val="18"/>
                <w:lang w:val="es-419" w:eastAsia="es-419"/>
              </w:rPr>
            </w:pPr>
            <w:r w:rsidRPr="006F0BB0">
              <w:rPr>
                <w:sz w:val="18"/>
                <w:szCs w:val="18"/>
                <w:lang w:val="es-419" w:eastAsia="es-419"/>
              </w:rPr>
              <w:t>78,1%</w:t>
            </w:r>
          </w:p>
        </w:tc>
      </w:tr>
      <w:tr w:rsidR="006F0BB0" w:rsidRPr="006F0BB0" w14:paraId="40830B69"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278D27" w14:textId="77777777" w:rsidR="006F0BB0" w:rsidRPr="006F0BB0" w:rsidRDefault="006F0BB0" w:rsidP="007D1DBA">
            <w:pPr>
              <w:jc w:val="left"/>
              <w:rPr>
                <w:sz w:val="18"/>
                <w:szCs w:val="18"/>
                <w:lang w:val="es-419" w:eastAsia="es-419"/>
              </w:rPr>
            </w:pPr>
            <w:r w:rsidRPr="006F0BB0">
              <w:rPr>
                <w:sz w:val="18"/>
                <w:szCs w:val="18"/>
                <w:lang w:val="es-419" w:eastAsia="es-419"/>
              </w:rPr>
              <w:t>Colombia</w:t>
            </w:r>
          </w:p>
        </w:tc>
        <w:tc>
          <w:tcPr>
            <w:tcW w:w="950" w:type="dxa"/>
            <w:tcBorders>
              <w:top w:val="nil"/>
              <w:left w:val="nil"/>
              <w:bottom w:val="single" w:sz="4" w:space="0" w:color="auto"/>
              <w:right w:val="single" w:sz="4" w:space="0" w:color="auto"/>
            </w:tcBorders>
            <w:shd w:val="clear" w:color="auto" w:fill="auto"/>
            <w:noWrap/>
            <w:hideMark/>
          </w:tcPr>
          <w:p w14:paraId="255EF007" w14:textId="77777777" w:rsidR="006F0BB0" w:rsidRPr="006F0BB0" w:rsidRDefault="006F0BB0" w:rsidP="007D1DBA">
            <w:pPr>
              <w:jc w:val="right"/>
              <w:rPr>
                <w:sz w:val="18"/>
                <w:szCs w:val="18"/>
                <w:lang w:val="es-419" w:eastAsia="es-419"/>
              </w:rPr>
            </w:pPr>
            <w:r w:rsidRPr="006F0BB0">
              <w:rPr>
                <w:sz w:val="18"/>
                <w:szCs w:val="18"/>
                <w:lang w:val="es-419" w:eastAsia="es-419"/>
              </w:rPr>
              <w:t>5 270 350</w:t>
            </w:r>
          </w:p>
        </w:tc>
        <w:tc>
          <w:tcPr>
            <w:tcW w:w="950" w:type="dxa"/>
            <w:tcBorders>
              <w:top w:val="nil"/>
              <w:left w:val="nil"/>
              <w:bottom w:val="single" w:sz="4" w:space="0" w:color="auto"/>
              <w:right w:val="single" w:sz="4" w:space="0" w:color="auto"/>
            </w:tcBorders>
            <w:shd w:val="clear" w:color="auto" w:fill="auto"/>
            <w:noWrap/>
            <w:hideMark/>
          </w:tcPr>
          <w:p w14:paraId="462B14BC" w14:textId="77777777" w:rsidR="006F0BB0" w:rsidRPr="006F0BB0" w:rsidRDefault="006F0BB0" w:rsidP="007D1DBA">
            <w:pPr>
              <w:jc w:val="right"/>
              <w:rPr>
                <w:sz w:val="18"/>
                <w:szCs w:val="18"/>
                <w:lang w:val="es-419" w:eastAsia="es-419"/>
              </w:rPr>
            </w:pPr>
            <w:r w:rsidRPr="006F0BB0">
              <w:rPr>
                <w:sz w:val="18"/>
                <w:szCs w:val="18"/>
                <w:lang w:val="es-419" w:eastAsia="es-419"/>
              </w:rPr>
              <w:t>5 428 461</w:t>
            </w:r>
          </w:p>
        </w:tc>
        <w:tc>
          <w:tcPr>
            <w:tcW w:w="950" w:type="dxa"/>
            <w:tcBorders>
              <w:top w:val="nil"/>
              <w:left w:val="nil"/>
              <w:bottom w:val="single" w:sz="4" w:space="0" w:color="auto"/>
              <w:right w:val="single" w:sz="4" w:space="0" w:color="auto"/>
            </w:tcBorders>
            <w:shd w:val="clear" w:color="auto" w:fill="auto"/>
            <w:noWrap/>
            <w:hideMark/>
          </w:tcPr>
          <w:p w14:paraId="7DC7421D" w14:textId="77777777" w:rsidR="006F0BB0" w:rsidRPr="006F0BB0" w:rsidRDefault="006F0BB0" w:rsidP="007D1DBA">
            <w:pPr>
              <w:jc w:val="right"/>
              <w:rPr>
                <w:sz w:val="18"/>
                <w:szCs w:val="18"/>
                <w:lang w:val="es-419" w:eastAsia="es-419"/>
              </w:rPr>
            </w:pPr>
            <w:r w:rsidRPr="006F0BB0">
              <w:rPr>
                <w:sz w:val="18"/>
                <w:szCs w:val="18"/>
                <w:lang w:val="es-419" w:eastAsia="es-419"/>
              </w:rPr>
              <w:t>5 591 314</w:t>
            </w:r>
          </w:p>
        </w:tc>
        <w:tc>
          <w:tcPr>
            <w:tcW w:w="950" w:type="dxa"/>
            <w:tcBorders>
              <w:top w:val="nil"/>
              <w:left w:val="nil"/>
              <w:bottom w:val="single" w:sz="4" w:space="0" w:color="auto"/>
              <w:right w:val="single" w:sz="4" w:space="0" w:color="auto"/>
            </w:tcBorders>
            <w:shd w:val="clear" w:color="auto" w:fill="auto"/>
            <w:noWrap/>
            <w:hideMark/>
          </w:tcPr>
          <w:p w14:paraId="60406039" w14:textId="77777777" w:rsidR="006F0BB0" w:rsidRPr="006F0BB0" w:rsidRDefault="006F0BB0" w:rsidP="007D1DBA">
            <w:pPr>
              <w:jc w:val="right"/>
              <w:rPr>
                <w:sz w:val="18"/>
                <w:szCs w:val="18"/>
                <w:lang w:val="es-419" w:eastAsia="es-419"/>
              </w:rPr>
            </w:pPr>
            <w:r w:rsidRPr="006F0BB0">
              <w:rPr>
                <w:sz w:val="18"/>
                <w:szCs w:val="18"/>
                <w:lang w:val="es-419" w:eastAsia="es-419"/>
              </w:rPr>
              <w:t>5 759 054</w:t>
            </w:r>
          </w:p>
        </w:tc>
        <w:tc>
          <w:tcPr>
            <w:tcW w:w="950" w:type="dxa"/>
            <w:tcBorders>
              <w:top w:val="nil"/>
              <w:left w:val="nil"/>
              <w:bottom w:val="single" w:sz="4" w:space="0" w:color="auto"/>
              <w:right w:val="single" w:sz="4" w:space="0" w:color="auto"/>
            </w:tcBorders>
            <w:shd w:val="clear" w:color="auto" w:fill="auto"/>
            <w:noWrap/>
            <w:hideMark/>
          </w:tcPr>
          <w:p w14:paraId="20B85721" w14:textId="77777777" w:rsidR="006F0BB0" w:rsidRPr="006F0BB0" w:rsidRDefault="006F0BB0" w:rsidP="007D1DBA">
            <w:pPr>
              <w:jc w:val="right"/>
              <w:rPr>
                <w:sz w:val="18"/>
                <w:szCs w:val="18"/>
                <w:lang w:val="es-419" w:eastAsia="es-419"/>
              </w:rPr>
            </w:pPr>
            <w:r w:rsidRPr="006F0BB0">
              <w:rPr>
                <w:sz w:val="18"/>
                <w:szCs w:val="18"/>
                <w:lang w:val="es-419" w:eastAsia="es-419"/>
              </w:rPr>
              <w:t>5 931 825</w:t>
            </w:r>
          </w:p>
        </w:tc>
        <w:tc>
          <w:tcPr>
            <w:tcW w:w="950" w:type="dxa"/>
            <w:tcBorders>
              <w:top w:val="nil"/>
              <w:left w:val="nil"/>
              <w:bottom w:val="single" w:sz="4" w:space="0" w:color="auto"/>
              <w:right w:val="single" w:sz="4" w:space="0" w:color="auto"/>
            </w:tcBorders>
            <w:shd w:val="clear" w:color="auto" w:fill="auto"/>
            <w:noWrap/>
            <w:hideMark/>
          </w:tcPr>
          <w:p w14:paraId="5AF36075" w14:textId="77777777" w:rsidR="006F0BB0" w:rsidRPr="006F0BB0" w:rsidRDefault="006F0BB0" w:rsidP="007D1DBA">
            <w:pPr>
              <w:jc w:val="right"/>
              <w:rPr>
                <w:sz w:val="18"/>
                <w:szCs w:val="18"/>
                <w:lang w:val="es-419" w:eastAsia="es-419"/>
              </w:rPr>
            </w:pPr>
            <w:r w:rsidRPr="006F0BB0">
              <w:rPr>
                <w:sz w:val="18"/>
                <w:szCs w:val="18"/>
                <w:lang w:val="es-419" w:eastAsia="es-419"/>
              </w:rPr>
              <w:t>6 109 780</w:t>
            </w:r>
          </w:p>
        </w:tc>
        <w:tc>
          <w:tcPr>
            <w:tcW w:w="950" w:type="dxa"/>
            <w:tcBorders>
              <w:top w:val="nil"/>
              <w:left w:val="nil"/>
              <w:bottom w:val="single" w:sz="4" w:space="0" w:color="auto"/>
              <w:right w:val="single" w:sz="4" w:space="0" w:color="auto"/>
            </w:tcBorders>
            <w:shd w:val="clear" w:color="auto" w:fill="auto"/>
            <w:noWrap/>
            <w:hideMark/>
          </w:tcPr>
          <w:p w14:paraId="45C84FAE" w14:textId="77777777" w:rsidR="006F0BB0" w:rsidRPr="006F0BB0" w:rsidRDefault="006F0BB0" w:rsidP="007D1DBA">
            <w:pPr>
              <w:jc w:val="right"/>
              <w:rPr>
                <w:sz w:val="18"/>
                <w:szCs w:val="18"/>
                <w:lang w:val="es-419" w:eastAsia="es-419"/>
              </w:rPr>
            </w:pPr>
            <w:r w:rsidRPr="006F0BB0">
              <w:rPr>
                <w:sz w:val="18"/>
                <w:szCs w:val="18"/>
                <w:lang w:val="es-419" w:eastAsia="es-419"/>
              </w:rPr>
              <w:t>5 592 943</w:t>
            </w:r>
          </w:p>
        </w:tc>
        <w:tc>
          <w:tcPr>
            <w:tcW w:w="1005" w:type="dxa"/>
            <w:tcBorders>
              <w:top w:val="nil"/>
              <w:left w:val="nil"/>
              <w:bottom w:val="single" w:sz="4" w:space="0" w:color="auto"/>
              <w:right w:val="single" w:sz="4" w:space="0" w:color="auto"/>
            </w:tcBorders>
            <w:shd w:val="clear" w:color="auto" w:fill="auto"/>
            <w:noWrap/>
            <w:hideMark/>
          </w:tcPr>
          <w:p w14:paraId="30A5A49F" w14:textId="77777777" w:rsidR="006F0BB0" w:rsidRPr="006F0BB0" w:rsidRDefault="006F0BB0" w:rsidP="007D1DBA">
            <w:pPr>
              <w:jc w:val="right"/>
              <w:rPr>
                <w:sz w:val="18"/>
                <w:szCs w:val="18"/>
                <w:lang w:val="es-419" w:eastAsia="es-419"/>
              </w:rPr>
            </w:pPr>
            <w:r w:rsidRPr="006F0BB0">
              <w:rPr>
                <w:sz w:val="18"/>
                <w:szCs w:val="18"/>
                <w:lang w:val="es-419" w:eastAsia="es-419"/>
              </w:rPr>
              <w:t>7 775 007</w:t>
            </w:r>
          </w:p>
        </w:tc>
        <w:tc>
          <w:tcPr>
            <w:tcW w:w="1181" w:type="dxa"/>
            <w:tcBorders>
              <w:top w:val="nil"/>
              <w:left w:val="nil"/>
              <w:bottom w:val="single" w:sz="4" w:space="0" w:color="auto"/>
              <w:right w:val="single" w:sz="4" w:space="0" w:color="auto"/>
            </w:tcBorders>
            <w:shd w:val="clear" w:color="auto" w:fill="auto"/>
            <w:noWrap/>
            <w:hideMark/>
          </w:tcPr>
          <w:p w14:paraId="5DA93C81" w14:textId="77777777" w:rsidR="006F0BB0" w:rsidRPr="006F0BB0" w:rsidRDefault="006F0BB0" w:rsidP="007D1DBA">
            <w:pPr>
              <w:jc w:val="right"/>
              <w:rPr>
                <w:sz w:val="18"/>
                <w:szCs w:val="18"/>
                <w:lang w:val="es-419" w:eastAsia="es-419"/>
              </w:rPr>
            </w:pPr>
            <w:r w:rsidRPr="006F0BB0">
              <w:rPr>
                <w:sz w:val="18"/>
                <w:szCs w:val="18"/>
                <w:lang w:val="es-419" w:eastAsia="es-419"/>
              </w:rPr>
              <w:t>78,6%</w:t>
            </w:r>
          </w:p>
        </w:tc>
      </w:tr>
      <w:tr w:rsidR="006F0BB0" w:rsidRPr="006F0BB0" w14:paraId="4982C11E"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59A038"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Botswana</w:t>
            </w:r>
            <w:proofErr w:type="spellEnd"/>
          </w:p>
        </w:tc>
        <w:tc>
          <w:tcPr>
            <w:tcW w:w="950" w:type="dxa"/>
            <w:tcBorders>
              <w:top w:val="nil"/>
              <w:left w:val="nil"/>
              <w:bottom w:val="single" w:sz="4" w:space="0" w:color="auto"/>
              <w:right w:val="single" w:sz="4" w:space="0" w:color="auto"/>
            </w:tcBorders>
            <w:shd w:val="clear" w:color="auto" w:fill="auto"/>
            <w:noWrap/>
            <w:hideMark/>
          </w:tcPr>
          <w:p w14:paraId="4F6485D2" w14:textId="77777777" w:rsidR="006F0BB0" w:rsidRPr="006F0BB0" w:rsidRDefault="006F0BB0" w:rsidP="007D1DBA">
            <w:pPr>
              <w:jc w:val="right"/>
              <w:rPr>
                <w:sz w:val="18"/>
                <w:szCs w:val="18"/>
                <w:lang w:val="es-419" w:eastAsia="es-419"/>
              </w:rPr>
            </w:pPr>
            <w:r w:rsidRPr="006F0BB0">
              <w:rPr>
                <w:sz w:val="18"/>
                <w:szCs w:val="18"/>
                <w:lang w:val="es-419" w:eastAsia="es-419"/>
              </w:rPr>
              <w:t>574 066</w:t>
            </w:r>
          </w:p>
        </w:tc>
        <w:tc>
          <w:tcPr>
            <w:tcW w:w="950" w:type="dxa"/>
            <w:tcBorders>
              <w:top w:val="nil"/>
              <w:left w:val="nil"/>
              <w:bottom w:val="single" w:sz="4" w:space="0" w:color="auto"/>
              <w:right w:val="single" w:sz="4" w:space="0" w:color="auto"/>
            </w:tcBorders>
            <w:shd w:val="clear" w:color="auto" w:fill="auto"/>
            <w:noWrap/>
            <w:hideMark/>
          </w:tcPr>
          <w:p w14:paraId="5E6E9E55" w14:textId="77777777" w:rsidR="006F0BB0" w:rsidRPr="006F0BB0" w:rsidRDefault="006F0BB0" w:rsidP="007D1DBA">
            <w:pPr>
              <w:jc w:val="right"/>
              <w:rPr>
                <w:sz w:val="18"/>
                <w:szCs w:val="18"/>
                <w:lang w:val="es-419" w:eastAsia="es-419"/>
              </w:rPr>
            </w:pPr>
            <w:r w:rsidRPr="006F0BB0">
              <w:rPr>
                <w:sz w:val="18"/>
                <w:szCs w:val="18"/>
                <w:lang w:val="es-419" w:eastAsia="es-419"/>
              </w:rPr>
              <w:t>591 288</w:t>
            </w:r>
          </w:p>
        </w:tc>
        <w:tc>
          <w:tcPr>
            <w:tcW w:w="950" w:type="dxa"/>
            <w:tcBorders>
              <w:top w:val="nil"/>
              <w:left w:val="nil"/>
              <w:bottom w:val="single" w:sz="4" w:space="0" w:color="auto"/>
              <w:right w:val="single" w:sz="4" w:space="0" w:color="auto"/>
            </w:tcBorders>
            <w:shd w:val="clear" w:color="auto" w:fill="auto"/>
            <w:noWrap/>
            <w:hideMark/>
          </w:tcPr>
          <w:p w14:paraId="54BD02F0" w14:textId="77777777" w:rsidR="006F0BB0" w:rsidRPr="006F0BB0" w:rsidRDefault="006F0BB0" w:rsidP="007D1DBA">
            <w:pPr>
              <w:jc w:val="right"/>
              <w:rPr>
                <w:sz w:val="18"/>
                <w:szCs w:val="18"/>
                <w:lang w:val="es-419" w:eastAsia="es-419"/>
              </w:rPr>
            </w:pPr>
            <w:r w:rsidRPr="006F0BB0">
              <w:rPr>
                <w:sz w:val="18"/>
                <w:szCs w:val="18"/>
                <w:lang w:val="es-419" w:eastAsia="es-419"/>
              </w:rPr>
              <w:t>609 027</w:t>
            </w:r>
          </w:p>
        </w:tc>
        <w:tc>
          <w:tcPr>
            <w:tcW w:w="950" w:type="dxa"/>
            <w:tcBorders>
              <w:top w:val="nil"/>
              <w:left w:val="nil"/>
              <w:bottom w:val="single" w:sz="4" w:space="0" w:color="auto"/>
              <w:right w:val="single" w:sz="4" w:space="0" w:color="auto"/>
            </w:tcBorders>
            <w:shd w:val="clear" w:color="auto" w:fill="auto"/>
            <w:noWrap/>
            <w:hideMark/>
          </w:tcPr>
          <w:p w14:paraId="722685C7" w14:textId="77777777" w:rsidR="006F0BB0" w:rsidRPr="006F0BB0" w:rsidRDefault="006F0BB0" w:rsidP="007D1DBA">
            <w:pPr>
              <w:jc w:val="right"/>
              <w:rPr>
                <w:sz w:val="18"/>
                <w:szCs w:val="18"/>
                <w:lang w:val="es-419" w:eastAsia="es-419"/>
              </w:rPr>
            </w:pPr>
            <w:r w:rsidRPr="006F0BB0">
              <w:rPr>
                <w:sz w:val="18"/>
                <w:szCs w:val="18"/>
                <w:lang w:val="es-419" w:eastAsia="es-419"/>
              </w:rPr>
              <w:t>627 297</w:t>
            </w:r>
          </w:p>
        </w:tc>
        <w:tc>
          <w:tcPr>
            <w:tcW w:w="950" w:type="dxa"/>
            <w:tcBorders>
              <w:top w:val="nil"/>
              <w:left w:val="nil"/>
              <w:bottom w:val="single" w:sz="4" w:space="0" w:color="auto"/>
              <w:right w:val="single" w:sz="4" w:space="0" w:color="auto"/>
            </w:tcBorders>
            <w:shd w:val="clear" w:color="auto" w:fill="auto"/>
            <w:noWrap/>
            <w:hideMark/>
          </w:tcPr>
          <w:p w14:paraId="4AE72644" w14:textId="77777777" w:rsidR="006F0BB0" w:rsidRPr="006F0BB0" w:rsidRDefault="006F0BB0" w:rsidP="007D1DBA">
            <w:pPr>
              <w:jc w:val="right"/>
              <w:rPr>
                <w:sz w:val="18"/>
                <w:szCs w:val="18"/>
                <w:lang w:val="es-419" w:eastAsia="es-419"/>
              </w:rPr>
            </w:pPr>
            <w:r w:rsidRPr="006F0BB0">
              <w:rPr>
                <w:sz w:val="18"/>
                <w:szCs w:val="18"/>
                <w:lang w:val="es-419" w:eastAsia="es-419"/>
              </w:rPr>
              <w:t>646 116</w:t>
            </w:r>
          </w:p>
        </w:tc>
        <w:tc>
          <w:tcPr>
            <w:tcW w:w="950" w:type="dxa"/>
            <w:tcBorders>
              <w:top w:val="nil"/>
              <w:left w:val="nil"/>
              <w:bottom w:val="single" w:sz="4" w:space="0" w:color="auto"/>
              <w:right w:val="single" w:sz="4" w:space="0" w:color="auto"/>
            </w:tcBorders>
            <w:shd w:val="clear" w:color="auto" w:fill="auto"/>
            <w:noWrap/>
            <w:hideMark/>
          </w:tcPr>
          <w:p w14:paraId="20B3EC07" w14:textId="77777777" w:rsidR="006F0BB0" w:rsidRPr="006F0BB0" w:rsidRDefault="006F0BB0" w:rsidP="007D1DBA">
            <w:pPr>
              <w:jc w:val="right"/>
              <w:rPr>
                <w:sz w:val="18"/>
                <w:szCs w:val="18"/>
                <w:lang w:val="es-419" w:eastAsia="es-419"/>
              </w:rPr>
            </w:pPr>
            <w:r w:rsidRPr="006F0BB0">
              <w:rPr>
                <w:sz w:val="18"/>
                <w:szCs w:val="18"/>
                <w:lang w:val="es-419" w:eastAsia="es-419"/>
              </w:rPr>
              <w:t>665 500</w:t>
            </w:r>
          </w:p>
        </w:tc>
        <w:tc>
          <w:tcPr>
            <w:tcW w:w="950" w:type="dxa"/>
            <w:tcBorders>
              <w:top w:val="nil"/>
              <w:left w:val="nil"/>
              <w:bottom w:val="single" w:sz="4" w:space="0" w:color="auto"/>
              <w:right w:val="single" w:sz="4" w:space="0" w:color="auto"/>
            </w:tcBorders>
            <w:shd w:val="clear" w:color="auto" w:fill="auto"/>
            <w:noWrap/>
            <w:hideMark/>
          </w:tcPr>
          <w:p w14:paraId="31727C8B" w14:textId="77777777" w:rsidR="006F0BB0" w:rsidRPr="006F0BB0" w:rsidRDefault="006F0BB0" w:rsidP="007D1DBA">
            <w:pPr>
              <w:jc w:val="right"/>
              <w:rPr>
                <w:sz w:val="18"/>
                <w:szCs w:val="18"/>
                <w:lang w:val="es-419" w:eastAsia="es-419"/>
              </w:rPr>
            </w:pPr>
            <w:r w:rsidRPr="006F0BB0">
              <w:rPr>
                <w:sz w:val="18"/>
                <w:szCs w:val="18"/>
                <w:lang w:val="es-419" w:eastAsia="es-419"/>
              </w:rPr>
              <w:t>609 204</w:t>
            </w:r>
          </w:p>
        </w:tc>
        <w:tc>
          <w:tcPr>
            <w:tcW w:w="1005" w:type="dxa"/>
            <w:tcBorders>
              <w:top w:val="nil"/>
              <w:left w:val="nil"/>
              <w:bottom w:val="single" w:sz="4" w:space="0" w:color="auto"/>
              <w:right w:val="single" w:sz="4" w:space="0" w:color="auto"/>
            </w:tcBorders>
            <w:shd w:val="clear" w:color="auto" w:fill="auto"/>
            <w:noWrap/>
            <w:hideMark/>
          </w:tcPr>
          <w:p w14:paraId="1020BC96" w14:textId="77777777" w:rsidR="006F0BB0" w:rsidRPr="006F0BB0" w:rsidRDefault="006F0BB0" w:rsidP="007D1DBA">
            <w:pPr>
              <w:jc w:val="right"/>
              <w:rPr>
                <w:sz w:val="18"/>
                <w:szCs w:val="18"/>
                <w:lang w:val="es-419" w:eastAsia="es-419"/>
              </w:rPr>
            </w:pPr>
            <w:r w:rsidRPr="006F0BB0">
              <w:rPr>
                <w:sz w:val="18"/>
                <w:szCs w:val="18"/>
                <w:lang w:val="es-419" w:eastAsia="es-419"/>
              </w:rPr>
              <w:t>844 551</w:t>
            </w:r>
          </w:p>
        </w:tc>
        <w:tc>
          <w:tcPr>
            <w:tcW w:w="1181" w:type="dxa"/>
            <w:tcBorders>
              <w:top w:val="nil"/>
              <w:left w:val="nil"/>
              <w:bottom w:val="single" w:sz="4" w:space="0" w:color="auto"/>
              <w:right w:val="single" w:sz="4" w:space="0" w:color="auto"/>
            </w:tcBorders>
            <w:shd w:val="clear" w:color="auto" w:fill="auto"/>
            <w:noWrap/>
            <w:hideMark/>
          </w:tcPr>
          <w:p w14:paraId="52EF8309" w14:textId="77777777" w:rsidR="006F0BB0" w:rsidRPr="006F0BB0" w:rsidRDefault="006F0BB0" w:rsidP="007D1DBA">
            <w:pPr>
              <w:jc w:val="right"/>
              <w:rPr>
                <w:sz w:val="18"/>
                <w:szCs w:val="18"/>
                <w:lang w:val="es-419" w:eastAsia="es-419"/>
              </w:rPr>
            </w:pPr>
            <w:r w:rsidRPr="006F0BB0">
              <w:rPr>
                <w:sz w:val="18"/>
                <w:szCs w:val="18"/>
                <w:lang w:val="es-419" w:eastAsia="es-419"/>
              </w:rPr>
              <w:t>78,8%</w:t>
            </w:r>
          </w:p>
        </w:tc>
      </w:tr>
      <w:tr w:rsidR="006F0BB0" w:rsidRPr="006F0BB0" w14:paraId="43E06D9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37755D" w14:textId="77777777" w:rsidR="006F0BB0" w:rsidRPr="006F0BB0" w:rsidRDefault="006F0BB0" w:rsidP="007D1DBA">
            <w:pPr>
              <w:jc w:val="left"/>
              <w:rPr>
                <w:sz w:val="18"/>
                <w:szCs w:val="18"/>
                <w:lang w:val="es-419" w:eastAsia="es-419"/>
              </w:rPr>
            </w:pPr>
            <w:r w:rsidRPr="006F0BB0">
              <w:rPr>
                <w:sz w:val="18"/>
                <w:szCs w:val="18"/>
                <w:lang w:val="es-419" w:eastAsia="es-419"/>
              </w:rPr>
              <w:t>Paraguay</w:t>
            </w:r>
          </w:p>
        </w:tc>
        <w:tc>
          <w:tcPr>
            <w:tcW w:w="950" w:type="dxa"/>
            <w:tcBorders>
              <w:top w:val="nil"/>
              <w:left w:val="nil"/>
              <w:bottom w:val="single" w:sz="4" w:space="0" w:color="auto"/>
              <w:right w:val="single" w:sz="4" w:space="0" w:color="auto"/>
            </w:tcBorders>
            <w:shd w:val="clear" w:color="auto" w:fill="auto"/>
            <w:noWrap/>
            <w:hideMark/>
          </w:tcPr>
          <w:p w14:paraId="429E45FB" w14:textId="77777777" w:rsidR="006F0BB0" w:rsidRPr="006F0BB0" w:rsidRDefault="006F0BB0" w:rsidP="007D1DBA">
            <w:pPr>
              <w:jc w:val="right"/>
              <w:rPr>
                <w:sz w:val="18"/>
                <w:szCs w:val="18"/>
                <w:lang w:val="es-419" w:eastAsia="es-419"/>
              </w:rPr>
            </w:pPr>
            <w:r w:rsidRPr="006F0BB0">
              <w:rPr>
                <w:sz w:val="18"/>
                <w:szCs w:val="18"/>
                <w:lang w:val="es-419" w:eastAsia="es-419"/>
              </w:rPr>
              <w:t>934 649</w:t>
            </w:r>
          </w:p>
        </w:tc>
        <w:tc>
          <w:tcPr>
            <w:tcW w:w="950" w:type="dxa"/>
            <w:tcBorders>
              <w:top w:val="nil"/>
              <w:left w:val="nil"/>
              <w:bottom w:val="single" w:sz="4" w:space="0" w:color="auto"/>
              <w:right w:val="single" w:sz="4" w:space="0" w:color="auto"/>
            </w:tcBorders>
            <w:shd w:val="clear" w:color="auto" w:fill="auto"/>
            <w:noWrap/>
            <w:hideMark/>
          </w:tcPr>
          <w:p w14:paraId="4CEF75D1" w14:textId="77777777" w:rsidR="006F0BB0" w:rsidRPr="006F0BB0" w:rsidRDefault="006F0BB0" w:rsidP="007D1DBA">
            <w:pPr>
              <w:jc w:val="right"/>
              <w:rPr>
                <w:sz w:val="18"/>
                <w:szCs w:val="18"/>
                <w:lang w:val="es-419" w:eastAsia="es-419"/>
              </w:rPr>
            </w:pPr>
            <w:r w:rsidRPr="006F0BB0">
              <w:rPr>
                <w:sz w:val="18"/>
                <w:szCs w:val="18"/>
                <w:lang w:val="es-419" w:eastAsia="es-419"/>
              </w:rPr>
              <w:t>962 688</w:t>
            </w:r>
          </w:p>
        </w:tc>
        <w:tc>
          <w:tcPr>
            <w:tcW w:w="950" w:type="dxa"/>
            <w:tcBorders>
              <w:top w:val="nil"/>
              <w:left w:val="nil"/>
              <w:bottom w:val="single" w:sz="4" w:space="0" w:color="auto"/>
              <w:right w:val="single" w:sz="4" w:space="0" w:color="auto"/>
            </w:tcBorders>
            <w:shd w:val="clear" w:color="auto" w:fill="auto"/>
            <w:noWrap/>
            <w:hideMark/>
          </w:tcPr>
          <w:p w14:paraId="19879F48" w14:textId="77777777" w:rsidR="006F0BB0" w:rsidRPr="006F0BB0" w:rsidRDefault="006F0BB0" w:rsidP="007D1DBA">
            <w:pPr>
              <w:jc w:val="right"/>
              <w:rPr>
                <w:sz w:val="18"/>
                <w:szCs w:val="18"/>
                <w:lang w:val="es-419" w:eastAsia="es-419"/>
              </w:rPr>
            </w:pPr>
            <w:r w:rsidRPr="006F0BB0">
              <w:rPr>
                <w:sz w:val="18"/>
                <w:szCs w:val="18"/>
                <w:lang w:val="es-419" w:eastAsia="es-419"/>
              </w:rPr>
              <w:t>991 569</w:t>
            </w:r>
          </w:p>
        </w:tc>
        <w:tc>
          <w:tcPr>
            <w:tcW w:w="950" w:type="dxa"/>
            <w:tcBorders>
              <w:top w:val="nil"/>
              <w:left w:val="nil"/>
              <w:bottom w:val="single" w:sz="4" w:space="0" w:color="auto"/>
              <w:right w:val="single" w:sz="4" w:space="0" w:color="auto"/>
            </w:tcBorders>
            <w:shd w:val="clear" w:color="auto" w:fill="auto"/>
            <w:noWrap/>
            <w:hideMark/>
          </w:tcPr>
          <w:p w14:paraId="02F64428" w14:textId="77777777" w:rsidR="006F0BB0" w:rsidRPr="006F0BB0" w:rsidRDefault="006F0BB0" w:rsidP="007D1DBA">
            <w:pPr>
              <w:jc w:val="right"/>
              <w:rPr>
                <w:sz w:val="18"/>
                <w:szCs w:val="18"/>
                <w:lang w:val="es-419" w:eastAsia="es-419"/>
              </w:rPr>
            </w:pPr>
            <w:r w:rsidRPr="006F0BB0">
              <w:rPr>
                <w:sz w:val="18"/>
                <w:szCs w:val="18"/>
                <w:lang w:val="es-419" w:eastAsia="es-419"/>
              </w:rPr>
              <w:t>1 021 316</w:t>
            </w:r>
          </w:p>
        </w:tc>
        <w:tc>
          <w:tcPr>
            <w:tcW w:w="950" w:type="dxa"/>
            <w:tcBorders>
              <w:top w:val="nil"/>
              <w:left w:val="nil"/>
              <w:bottom w:val="single" w:sz="4" w:space="0" w:color="auto"/>
              <w:right w:val="single" w:sz="4" w:space="0" w:color="auto"/>
            </w:tcBorders>
            <w:shd w:val="clear" w:color="auto" w:fill="auto"/>
            <w:noWrap/>
            <w:hideMark/>
          </w:tcPr>
          <w:p w14:paraId="3CA17272" w14:textId="77777777" w:rsidR="006F0BB0" w:rsidRPr="006F0BB0" w:rsidRDefault="006F0BB0" w:rsidP="007D1DBA">
            <w:pPr>
              <w:jc w:val="right"/>
              <w:rPr>
                <w:sz w:val="18"/>
                <w:szCs w:val="18"/>
                <w:lang w:val="es-419" w:eastAsia="es-419"/>
              </w:rPr>
            </w:pPr>
            <w:r w:rsidRPr="006F0BB0">
              <w:rPr>
                <w:sz w:val="18"/>
                <w:szCs w:val="18"/>
                <w:lang w:val="es-419" w:eastAsia="es-419"/>
              </w:rPr>
              <w:t>1 051 956</w:t>
            </w:r>
          </w:p>
        </w:tc>
        <w:tc>
          <w:tcPr>
            <w:tcW w:w="950" w:type="dxa"/>
            <w:tcBorders>
              <w:top w:val="nil"/>
              <w:left w:val="nil"/>
              <w:bottom w:val="single" w:sz="4" w:space="0" w:color="auto"/>
              <w:right w:val="single" w:sz="4" w:space="0" w:color="auto"/>
            </w:tcBorders>
            <w:shd w:val="clear" w:color="auto" w:fill="auto"/>
            <w:noWrap/>
            <w:hideMark/>
          </w:tcPr>
          <w:p w14:paraId="18B056EF" w14:textId="77777777" w:rsidR="006F0BB0" w:rsidRPr="006F0BB0" w:rsidRDefault="006F0BB0" w:rsidP="007D1DBA">
            <w:pPr>
              <w:jc w:val="right"/>
              <w:rPr>
                <w:sz w:val="18"/>
                <w:szCs w:val="18"/>
                <w:lang w:val="es-419" w:eastAsia="es-419"/>
              </w:rPr>
            </w:pPr>
            <w:r w:rsidRPr="006F0BB0">
              <w:rPr>
                <w:sz w:val="18"/>
                <w:szCs w:val="18"/>
                <w:lang w:val="es-419" w:eastAsia="es-419"/>
              </w:rPr>
              <w:t>1 083 514</w:t>
            </w:r>
          </w:p>
        </w:tc>
        <w:tc>
          <w:tcPr>
            <w:tcW w:w="950" w:type="dxa"/>
            <w:tcBorders>
              <w:top w:val="nil"/>
              <w:left w:val="nil"/>
              <w:bottom w:val="single" w:sz="4" w:space="0" w:color="auto"/>
              <w:right w:val="single" w:sz="4" w:space="0" w:color="auto"/>
            </w:tcBorders>
            <w:shd w:val="clear" w:color="auto" w:fill="auto"/>
            <w:noWrap/>
            <w:hideMark/>
          </w:tcPr>
          <w:p w14:paraId="4003DF4C" w14:textId="77777777" w:rsidR="006F0BB0" w:rsidRPr="006F0BB0" w:rsidRDefault="006F0BB0" w:rsidP="007D1DBA">
            <w:pPr>
              <w:jc w:val="right"/>
              <w:rPr>
                <w:sz w:val="18"/>
                <w:szCs w:val="18"/>
                <w:lang w:val="es-419" w:eastAsia="es-419"/>
              </w:rPr>
            </w:pPr>
            <w:r w:rsidRPr="006F0BB0">
              <w:rPr>
                <w:sz w:val="18"/>
                <w:szCs w:val="18"/>
                <w:lang w:val="es-419" w:eastAsia="es-419"/>
              </w:rPr>
              <w:t>991 858</w:t>
            </w:r>
          </w:p>
        </w:tc>
        <w:tc>
          <w:tcPr>
            <w:tcW w:w="1005" w:type="dxa"/>
            <w:tcBorders>
              <w:top w:val="nil"/>
              <w:left w:val="nil"/>
              <w:bottom w:val="single" w:sz="4" w:space="0" w:color="auto"/>
              <w:right w:val="single" w:sz="4" w:space="0" w:color="auto"/>
            </w:tcBorders>
            <w:shd w:val="clear" w:color="auto" w:fill="auto"/>
            <w:noWrap/>
            <w:hideMark/>
          </w:tcPr>
          <w:p w14:paraId="6F9A4398" w14:textId="77777777" w:rsidR="006F0BB0" w:rsidRPr="006F0BB0" w:rsidRDefault="006F0BB0" w:rsidP="007D1DBA">
            <w:pPr>
              <w:jc w:val="right"/>
              <w:rPr>
                <w:sz w:val="18"/>
                <w:szCs w:val="18"/>
                <w:lang w:val="es-419" w:eastAsia="es-419"/>
              </w:rPr>
            </w:pPr>
            <w:r w:rsidRPr="006F0BB0">
              <w:rPr>
                <w:sz w:val="18"/>
                <w:szCs w:val="18"/>
                <w:lang w:val="es-419" w:eastAsia="es-419"/>
              </w:rPr>
              <w:t>1 370 931</w:t>
            </w:r>
          </w:p>
        </w:tc>
        <w:tc>
          <w:tcPr>
            <w:tcW w:w="1181" w:type="dxa"/>
            <w:tcBorders>
              <w:top w:val="nil"/>
              <w:left w:val="nil"/>
              <w:bottom w:val="single" w:sz="4" w:space="0" w:color="auto"/>
              <w:right w:val="single" w:sz="4" w:space="0" w:color="auto"/>
            </w:tcBorders>
            <w:shd w:val="clear" w:color="auto" w:fill="auto"/>
            <w:noWrap/>
            <w:hideMark/>
          </w:tcPr>
          <w:p w14:paraId="0C200805" w14:textId="77777777" w:rsidR="006F0BB0" w:rsidRPr="006F0BB0" w:rsidRDefault="006F0BB0" w:rsidP="007D1DBA">
            <w:pPr>
              <w:jc w:val="right"/>
              <w:rPr>
                <w:sz w:val="18"/>
                <w:szCs w:val="18"/>
                <w:lang w:val="es-419" w:eastAsia="es-419"/>
              </w:rPr>
            </w:pPr>
            <w:r w:rsidRPr="006F0BB0">
              <w:rPr>
                <w:sz w:val="18"/>
                <w:szCs w:val="18"/>
                <w:lang w:val="es-419" w:eastAsia="es-419"/>
              </w:rPr>
              <w:t>79,0%</w:t>
            </w:r>
          </w:p>
        </w:tc>
      </w:tr>
      <w:tr w:rsidR="006F0BB0" w:rsidRPr="006F0BB0" w14:paraId="4F54275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3D87E5E" w14:textId="77777777" w:rsidR="006F0BB0" w:rsidRPr="006F0BB0" w:rsidRDefault="006F0BB0" w:rsidP="007D1DBA">
            <w:pPr>
              <w:jc w:val="left"/>
              <w:rPr>
                <w:sz w:val="18"/>
                <w:szCs w:val="18"/>
                <w:lang w:val="es-419" w:eastAsia="es-419"/>
              </w:rPr>
            </w:pPr>
            <w:r w:rsidRPr="006F0BB0">
              <w:rPr>
                <w:sz w:val="18"/>
                <w:szCs w:val="18"/>
                <w:lang w:val="es-419" w:eastAsia="es-419"/>
              </w:rPr>
              <w:t>Pakistán</w:t>
            </w:r>
          </w:p>
        </w:tc>
        <w:tc>
          <w:tcPr>
            <w:tcW w:w="950" w:type="dxa"/>
            <w:tcBorders>
              <w:top w:val="nil"/>
              <w:left w:val="nil"/>
              <w:bottom w:val="single" w:sz="4" w:space="0" w:color="auto"/>
              <w:right w:val="single" w:sz="4" w:space="0" w:color="auto"/>
            </w:tcBorders>
            <w:shd w:val="clear" w:color="auto" w:fill="auto"/>
            <w:noWrap/>
            <w:hideMark/>
          </w:tcPr>
          <w:p w14:paraId="73748714" w14:textId="77777777" w:rsidR="006F0BB0" w:rsidRPr="006F0BB0" w:rsidRDefault="006F0BB0" w:rsidP="007D1DBA">
            <w:pPr>
              <w:jc w:val="right"/>
              <w:rPr>
                <w:sz w:val="18"/>
                <w:szCs w:val="18"/>
                <w:lang w:val="es-419" w:eastAsia="es-419"/>
              </w:rPr>
            </w:pPr>
            <w:r w:rsidRPr="006F0BB0">
              <w:rPr>
                <w:sz w:val="18"/>
                <w:szCs w:val="18"/>
                <w:lang w:val="es-419" w:eastAsia="es-419"/>
              </w:rPr>
              <w:t>7 435 247</w:t>
            </w:r>
          </w:p>
        </w:tc>
        <w:tc>
          <w:tcPr>
            <w:tcW w:w="950" w:type="dxa"/>
            <w:tcBorders>
              <w:top w:val="nil"/>
              <w:left w:val="nil"/>
              <w:bottom w:val="single" w:sz="4" w:space="0" w:color="auto"/>
              <w:right w:val="single" w:sz="4" w:space="0" w:color="auto"/>
            </w:tcBorders>
            <w:shd w:val="clear" w:color="auto" w:fill="auto"/>
            <w:noWrap/>
            <w:hideMark/>
          </w:tcPr>
          <w:p w14:paraId="586F0D8A" w14:textId="77777777" w:rsidR="006F0BB0" w:rsidRPr="006F0BB0" w:rsidRDefault="006F0BB0" w:rsidP="007D1DBA">
            <w:pPr>
              <w:jc w:val="right"/>
              <w:rPr>
                <w:sz w:val="18"/>
                <w:szCs w:val="18"/>
                <w:lang w:val="es-419" w:eastAsia="es-419"/>
              </w:rPr>
            </w:pPr>
            <w:r w:rsidRPr="006F0BB0">
              <w:rPr>
                <w:sz w:val="18"/>
                <w:szCs w:val="18"/>
                <w:lang w:val="es-419" w:eastAsia="es-419"/>
              </w:rPr>
              <w:t>7 658 304</w:t>
            </w:r>
          </w:p>
        </w:tc>
        <w:tc>
          <w:tcPr>
            <w:tcW w:w="950" w:type="dxa"/>
            <w:tcBorders>
              <w:top w:val="nil"/>
              <w:left w:val="nil"/>
              <w:bottom w:val="single" w:sz="4" w:space="0" w:color="auto"/>
              <w:right w:val="single" w:sz="4" w:space="0" w:color="auto"/>
            </w:tcBorders>
            <w:shd w:val="clear" w:color="auto" w:fill="auto"/>
            <w:noWrap/>
            <w:hideMark/>
          </w:tcPr>
          <w:p w14:paraId="376749F7" w14:textId="77777777" w:rsidR="006F0BB0" w:rsidRPr="006F0BB0" w:rsidRDefault="006F0BB0" w:rsidP="007D1DBA">
            <w:pPr>
              <w:jc w:val="right"/>
              <w:rPr>
                <w:sz w:val="18"/>
                <w:szCs w:val="18"/>
                <w:lang w:val="es-419" w:eastAsia="es-419"/>
              </w:rPr>
            </w:pPr>
            <w:r w:rsidRPr="006F0BB0">
              <w:rPr>
                <w:sz w:val="18"/>
                <w:szCs w:val="18"/>
                <w:lang w:val="es-419" w:eastAsia="es-419"/>
              </w:rPr>
              <w:t>7 888 054</w:t>
            </w:r>
          </w:p>
        </w:tc>
        <w:tc>
          <w:tcPr>
            <w:tcW w:w="950" w:type="dxa"/>
            <w:tcBorders>
              <w:top w:val="nil"/>
              <w:left w:val="nil"/>
              <w:bottom w:val="single" w:sz="4" w:space="0" w:color="auto"/>
              <w:right w:val="single" w:sz="4" w:space="0" w:color="auto"/>
            </w:tcBorders>
            <w:shd w:val="clear" w:color="auto" w:fill="auto"/>
            <w:noWrap/>
            <w:hideMark/>
          </w:tcPr>
          <w:p w14:paraId="108D529D" w14:textId="77777777" w:rsidR="006F0BB0" w:rsidRPr="006F0BB0" w:rsidRDefault="006F0BB0" w:rsidP="007D1DBA">
            <w:pPr>
              <w:jc w:val="right"/>
              <w:rPr>
                <w:sz w:val="18"/>
                <w:szCs w:val="18"/>
                <w:lang w:val="es-419" w:eastAsia="es-419"/>
              </w:rPr>
            </w:pPr>
            <w:r w:rsidRPr="006F0BB0">
              <w:rPr>
                <w:sz w:val="18"/>
                <w:szCs w:val="18"/>
                <w:lang w:val="es-419" w:eastAsia="es-419"/>
              </w:rPr>
              <w:t>8 124 695</w:t>
            </w:r>
          </w:p>
        </w:tc>
        <w:tc>
          <w:tcPr>
            <w:tcW w:w="950" w:type="dxa"/>
            <w:tcBorders>
              <w:top w:val="nil"/>
              <w:left w:val="nil"/>
              <w:bottom w:val="single" w:sz="4" w:space="0" w:color="auto"/>
              <w:right w:val="single" w:sz="4" w:space="0" w:color="auto"/>
            </w:tcBorders>
            <w:shd w:val="clear" w:color="auto" w:fill="auto"/>
            <w:noWrap/>
            <w:hideMark/>
          </w:tcPr>
          <w:p w14:paraId="18A70843" w14:textId="77777777" w:rsidR="006F0BB0" w:rsidRPr="006F0BB0" w:rsidRDefault="006F0BB0" w:rsidP="007D1DBA">
            <w:pPr>
              <w:jc w:val="right"/>
              <w:rPr>
                <w:sz w:val="18"/>
                <w:szCs w:val="18"/>
                <w:lang w:val="es-419" w:eastAsia="es-419"/>
              </w:rPr>
            </w:pPr>
            <w:r w:rsidRPr="006F0BB0">
              <w:rPr>
                <w:sz w:val="18"/>
                <w:szCs w:val="18"/>
                <w:lang w:val="es-419" w:eastAsia="es-419"/>
              </w:rPr>
              <w:t>8 368 436</w:t>
            </w:r>
          </w:p>
        </w:tc>
        <w:tc>
          <w:tcPr>
            <w:tcW w:w="950" w:type="dxa"/>
            <w:tcBorders>
              <w:top w:val="nil"/>
              <w:left w:val="nil"/>
              <w:bottom w:val="single" w:sz="4" w:space="0" w:color="auto"/>
              <w:right w:val="single" w:sz="4" w:space="0" w:color="auto"/>
            </w:tcBorders>
            <w:shd w:val="clear" w:color="auto" w:fill="auto"/>
            <w:noWrap/>
            <w:hideMark/>
          </w:tcPr>
          <w:p w14:paraId="5AF4A0CB" w14:textId="77777777" w:rsidR="006F0BB0" w:rsidRPr="006F0BB0" w:rsidRDefault="006F0BB0" w:rsidP="007D1DBA">
            <w:pPr>
              <w:jc w:val="right"/>
              <w:rPr>
                <w:sz w:val="18"/>
                <w:szCs w:val="18"/>
                <w:lang w:val="es-419" w:eastAsia="es-419"/>
              </w:rPr>
            </w:pPr>
            <w:r w:rsidRPr="006F0BB0">
              <w:rPr>
                <w:sz w:val="18"/>
                <w:szCs w:val="18"/>
                <w:lang w:val="es-419" w:eastAsia="es-419"/>
              </w:rPr>
              <w:t>8 619 489</w:t>
            </w:r>
          </w:p>
        </w:tc>
        <w:tc>
          <w:tcPr>
            <w:tcW w:w="950" w:type="dxa"/>
            <w:tcBorders>
              <w:top w:val="nil"/>
              <w:left w:val="nil"/>
              <w:bottom w:val="single" w:sz="4" w:space="0" w:color="auto"/>
              <w:right w:val="single" w:sz="4" w:space="0" w:color="auto"/>
            </w:tcBorders>
            <w:shd w:val="clear" w:color="auto" w:fill="auto"/>
            <w:noWrap/>
            <w:hideMark/>
          </w:tcPr>
          <w:p w14:paraId="75C97D42" w14:textId="77777777" w:rsidR="006F0BB0" w:rsidRPr="006F0BB0" w:rsidRDefault="006F0BB0" w:rsidP="007D1DBA">
            <w:pPr>
              <w:jc w:val="right"/>
              <w:rPr>
                <w:sz w:val="18"/>
                <w:szCs w:val="18"/>
                <w:lang w:val="es-419" w:eastAsia="es-419"/>
              </w:rPr>
            </w:pPr>
            <w:r w:rsidRPr="006F0BB0">
              <w:rPr>
                <w:sz w:val="18"/>
                <w:szCs w:val="18"/>
                <w:lang w:val="es-419" w:eastAsia="es-419"/>
              </w:rPr>
              <w:t>7 890 351</w:t>
            </w:r>
          </w:p>
        </w:tc>
        <w:tc>
          <w:tcPr>
            <w:tcW w:w="1005" w:type="dxa"/>
            <w:tcBorders>
              <w:top w:val="nil"/>
              <w:left w:val="nil"/>
              <w:bottom w:val="single" w:sz="4" w:space="0" w:color="auto"/>
              <w:right w:val="single" w:sz="4" w:space="0" w:color="auto"/>
            </w:tcBorders>
            <w:shd w:val="clear" w:color="auto" w:fill="auto"/>
            <w:noWrap/>
            <w:hideMark/>
          </w:tcPr>
          <w:p w14:paraId="4DD7544C" w14:textId="77777777" w:rsidR="006F0BB0" w:rsidRPr="006F0BB0" w:rsidRDefault="006F0BB0" w:rsidP="007D1DBA">
            <w:pPr>
              <w:jc w:val="right"/>
              <w:rPr>
                <w:sz w:val="18"/>
                <w:szCs w:val="18"/>
                <w:lang w:val="es-419" w:eastAsia="es-419"/>
              </w:rPr>
            </w:pPr>
            <w:r w:rsidRPr="006F0BB0">
              <w:rPr>
                <w:sz w:val="18"/>
                <w:szCs w:val="18"/>
                <w:lang w:val="es-419" w:eastAsia="es-419"/>
              </w:rPr>
              <w:t>10 836 190</w:t>
            </w:r>
          </w:p>
        </w:tc>
        <w:tc>
          <w:tcPr>
            <w:tcW w:w="1181" w:type="dxa"/>
            <w:tcBorders>
              <w:top w:val="nil"/>
              <w:left w:val="nil"/>
              <w:bottom w:val="single" w:sz="4" w:space="0" w:color="auto"/>
              <w:right w:val="single" w:sz="4" w:space="0" w:color="auto"/>
            </w:tcBorders>
            <w:shd w:val="clear" w:color="auto" w:fill="auto"/>
            <w:noWrap/>
            <w:hideMark/>
          </w:tcPr>
          <w:p w14:paraId="58C9C33F" w14:textId="77777777" w:rsidR="006F0BB0" w:rsidRPr="006F0BB0" w:rsidRDefault="006F0BB0" w:rsidP="007D1DBA">
            <w:pPr>
              <w:jc w:val="right"/>
              <w:rPr>
                <w:sz w:val="18"/>
                <w:szCs w:val="18"/>
                <w:lang w:val="es-419" w:eastAsia="es-419"/>
              </w:rPr>
            </w:pPr>
            <w:r w:rsidRPr="006F0BB0">
              <w:rPr>
                <w:sz w:val="18"/>
                <w:szCs w:val="18"/>
                <w:lang w:val="es-419" w:eastAsia="es-419"/>
              </w:rPr>
              <w:t>79,5%</w:t>
            </w:r>
          </w:p>
        </w:tc>
      </w:tr>
      <w:tr w:rsidR="006F0BB0" w:rsidRPr="006F0BB0" w14:paraId="13D347D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76448A" w14:textId="77777777" w:rsidR="006F0BB0" w:rsidRPr="006F0BB0" w:rsidRDefault="006F0BB0" w:rsidP="007D1DBA">
            <w:pPr>
              <w:jc w:val="left"/>
              <w:rPr>
                <w:sz w:val="18"/>
                <w:szCs w:val="18"/>
                <w:lang w:val="es-419" w:eastAsia="es-419"/>
              </w:rPr>
            </w:pPr>
            <w:r w:rsidRPr="006F0BB0">
              <w:rPr>
                <w:sz w:val="18"/>
                <w:szCs w:val="18"/>
                <w:lang w:val="es-419" w:eastAsia="es-419"/>
              </w:rPr>
              <w:t>Guyana</w:t>
            </w:r>
          </w:p>
        </w:tc>
        <w:tc>
          <w:tcPr>
            <w:tcW w:w="950" w:type="dxa"/>
            <w:tcBorders>
              <w:top w:val="nil"/>
              <w:left w:val="nil"/>
              <w:bottom w:val="single" w:sz="4" w:space="0" w:color="auto"/>
              <w:right w:val="single" w:sz="4" w:space="0" w:color="auto"/>
            </w:tcBorders>
            <w:shd w:val="clear" w:color="auto" w:fill="auto"/>
            <w:noWrap/>
            <w:hideMark/>
          </w:tcPr>
          <w:p w14:paraId="56305FB6" w14:textId="77777777" w:rsidR="006F0BB0" w:rsidRPr="006F0BB0" w:rsidRDefault="006F0BB0" w:rsidP="007D1DBA">
            <w:pPr>
              <w:jc w:val="right"/>
              <w:rPr>
                <w:sz w:val="18"/>
                <w:szCs w:val="18"/>
                <w:lang w:val="es-419" w:eastAsia="es-419"/>
              </w:rPr>
            </w:pPr>
            <w:r w:rsidRPr="006F0BB0">
              <w:rPr>
                <w:sz w:val="18"/>
                <w:szCs w:val="18"/>
                <w:lang w:val="es-419" w:eastAsia="es-419"/>
              </w:rPr>
              <w:t>92 782</w:t>
            </w:r>
          </w:p>
        </w:tc>
        <w:tc>
          <w:tcPr>
            <w:tcW w:w="950" w:type="dxa"/>
            <w:tcBorders>
              <w:top w:val="nil"/>
              <w:left w:val="nil"/>
              <w:bottom w:val="single" w:sz="4" w:space="0" w:color="auto"/>
              <w:right w:val="single" w:sz="4" w:space="0" w:color="auto"/>
            </w:tcBorders>
            <w:shd w:val="clear" w:color="auto" w:fill="auto"/>
            <w:noWrap/>
            <w:hideMark/>
          </w:tcPr>
          <w:p w14:paraId="18D4B371" w14:textId="77777777" w:rsidR="006F0BB0" w:rsidRPr="006F0BB0" w:rsidRDefault="006F0BB0" w:rsidP="007D1DBA">
            <w:pPr>
              <w:jc w:val="right"/>
              <w:rPr>
                <w:sz w:val="18"/>
                <w:szCs w:val="18"/>
                <w:lang w:val="es-419" w:eastAsia="es-419"/>
              </w:rPr>
            </w:pPr>
            <w:r w:rsidRPr="006F0BB0">
              <w:rPr>
                <w:sz w:val="18"/>
                <w:szCs w:val="18"/>
                <w:lang w:val="es-419" w:eastAsia="es-419"/>
              </w:rPr>
              <w:t>95 565</w:t>
            </w:r>
          </w:p>
        </w:tc>
        <w:tc>
          <w:tcPr>
            <w:tcW w:w="950" w:type="dxa"/>
            <w:tcBorders>
              <w:top w:val="nil"/>
              <w:left w:val="nil"/>
              <w:bottom w:val="single" w:sz="4" w:space="0" w:color="auto"/>
              <w:right w:val="single" w:sz="4" w:space="0" w:color="auto"/>
            </w:tcBorders>
            <w:shd w:val="clear" w:color="auto" w:fill="auto"/>
            <w:noWrap/>
            <w:hideMark/>
          </w:tcPr>
          <w:p w14:paraId="32F4C63A" w14:textId="77777777" w:rsidR="006F0BB0" w:rsidRPr="006F0BB0" w:rsidRDefault="006F0BB0" w:rsidP="007D1DBA">
            <w:pPr>
              <w:jc w:val="right"/>
              <w:rPr>
                <w:sz w:val="18"/>
                <w:szCs w:val="18"/>
                <w:lang w:val="es-419" w:eastAsia="es-419"/>
              </w:rPr>
            </w:pPr>
            <w:r w:rsidRPr="006F0BB0">
              <w:rPr>
                <w:sz w:val="18"/>
                <w:szCs w:val="18"/>
                <w:lang w:val="es-419" w:eastAsia="es-419"/>
              </w:rPr>
              <w:t>98 432</w:t>
            </w:r>
          </w:p>
        </w:tc>
        <w:tc>
          <w:tcPr>
            <w:tcW w:w="950" w:type="dxa"/>
            <w:tcBorders>
              <w:top w:val="nil"/>
              <w:left w:val="nil"/>
              <w:bottom w:val="single" w:sz="4" w:space="0" w:color="auto"/>
              <w:right w:val="single" w:sz="4" w:space="0" w:color="auto"/>
            </w:tcBorders>
            <w:shd w:val="clear" w:color="auto" w:fill="auto"/>
            <w:noWrap/>
            <w:hideMark/>
          </w:tcPr>
          <w:p w14:paraId="7365602E" w14:textId="77777777" w:rsidR="006F0BB0" w:rsidRPr="006F0BB0" w:rsidRDefault="006F0BB0" w:rsidP="007D1DBA">
            <w:pPr>
              <w:jc w:val="right"/>
              <w:rPr>
                <w:sz w:val="18"/>
                <w:szCs w:val="18"/>
                <w:lang w:val="es-419" w:eastAsia="es-419"/>
              </w:rPr>
            </w:pPr>
            <w:r w:rsidRPr="006F0BB0">
              <w:rPr>
                <w:sz w:val="18"/>
                <w:szCs w:val="18"/>
                <w:lang w:val="es-419" w:eastAsia="es-419"/>
              </w:rPr>
              <w:t>101 385</w:t>
            </w:r>
          </w:p>
        </w:tc>
        <w:tc>
          <w:tcPr>
            <w:tcW w:w="950" w:type="dxa"/>
            <w:tcBorders>
              <w:top w:val="nil"/>
              <w:left w:val="nil"/>
              <w:bottom w:val="single" w:sz="4" w:space="0" w:color="auto"/>
              <w:right w:val="single" w:sz="4" w:space="0" w:color="auto"/>
            </w:tcBorders>
            <w:shd w:val="clear" w:color="auto" w:fill="auto"/>
            <w:noWrap/>
            <w:hideMark/>
          </w:tcPr>
          <w:p w14:paraId="1327BEFF" w14:textId="77777777" w:rsidR="006F0BB0" w:rsidRPr="006F0BB0" w:rsidRDefault="006F0BB0" w:rsidP="007D1DBA">
            <w:pPr>
              <w:jc w:val="right"/>
              <w:rPr>
                <w:sz w:val="18"/>
                <w:szCs w:val="18"/>
                <w:lang w:val="es-419" w:eastAsia="es-419"/>
              </w:rPr>
            </w:pPr>
            <w:r w:rsidRPr="006F0BB0">
              <w:rPr>
                <w:sz w:val="18"/>
                <w:szCs w:val="18"/>
                <w:lang w:val="es-419" w:eastAsia="es-419"/>
              </w:rPr>
              <w:t>104 427</w:t>
            </w:r>
          </w:p>
        </w:tc>
        <w:tc>
          <w:tcPr>
            <w:tcW w:w="950" w:type="dxa"/>
            <w:tcBorders>
              <w:top w:val="nil"/>
              <w:left w:val="nil"/>
              <w:bottom w:val="single" w:sz="4" w:space="0" w:color="auto"/>
              <w:right w:val="single" w:sz="4" w:space="0" w:color="auto"/>
            </w:tcBorders>
            <w:shd w:val="clear" w:color="auto" w:fill="auto"/>
            <w:noWrap/>
            <w:hideMark/>
          </w:tcPr>
          <w:p w14:paraId="76D700E5" w14:textId="77777777" w:rsidR="006F0BB0" w:rsidRPr="006F0BB0" w:rsidRDefault="006F0BB0" w:rsidP="007D1DBA">
            <w:pPr>
              <w:jc w:val="right"/>
              <w:rPr>
                <w:sz w:val="18"/>
                <w:szCs w:val="18"/>
                <w:lang w:val="es-419" w:eastAsia="es-419"/>
              </w:rPr>
            </w:pPr>
            <w:r w:rsidRPr="006F0BB0">
              <w:rPr>
                <w:sz w:val="18"/>
                <w:szCs w:val="18"/>
                <w:lang w:val="es-419" w:eastAsia="es-419"/>
              </w:rPr>
              <w:t>107 560</w:t>
            </w:r>
          </w:p>
        </w:tc>
        <w:tc>
          <w:tcPr>
            <w:tcW w:w="950" w:type="dxa"/>
            <w:tcBorders>
              <w:top w:val="nil"/>
              <w:left w:val="nil"/>
              <w:bottom w:val="single" w:sz="4" w:space="0" w:color="auto"/>
              <w:right w:val="single" w:sz="4" w:space="0" w:color="auto"/>
            </w:tcBorders>
            <w:shd w:val="clear" w:color="auto" w:fill="auto"/>
            <w:noWrap/>
            <w:hideMark/>
          </w:tcPr>
          <w:p w14:paraId="314A3D3D" w14:textId="77777777" w:rsidR="006F0BB0" w:rsidRPr="006F0BB0" w:rsidRDefault="006F0BB0" w:rsidP="007D1DBA">
            <w:pPr>
              <w:jc w:val="right"/>
              <w:rPr>
                <w:sz w:val="18"/>
                <w:szCs w:val="18"/>
                <w:lang w:val="es-419" w:eastAsia="es-419"/>
              </w:rPr>
            </w:pPr>
            <w:r w:rsidRPr="006F0BB0">
              <w:rPr>
                <w:sz w:val="18"/>
                <w:szCs w:val="18"/>
                <w:lang w:val="es-419" w:eastAsia="es-419"/>
              </w:rPr>
              <w:t>98 461</w:t>
            </w:r>
          </w:p>
        </w:tc>
        <w:tc>
          <w:tcPr>
            <w:tcW w:w="1005" w:type="dxa"/>
            <w:tcBorders>
              <w:top w:val="nil"/>
              <w:left w:val="nil"/>
              <w:bottom w:val="single" w:sz="4" w:space="0" w:color="auto"/>
              <w:right w:val="single" w:sz="4" w:space="0" w:color="auto"/>
            </w:tcBorders>
            <w:shd w:val="clear" w:color="auto" w:fill="auto"/>
            <w:noWrap/>
            <w:hideMark/>
          </w:tcPr>
          <w:p w14:paraId="081C244E" w14:textId="77777777" w:rsidR="006F0BB0" w:rsidRPr="006F0BB0" w:rsidRDefault="006F0BB0" w:rsidP="007D1DBA">
            <w:pPr>
              <w:jc w:val="right"/>
              <w:rPr>
                <w:sz w:val="18"/>
                <w:szCs w:val="18"/>
                <w:lang w:val="es-419" w:eastAsia="es-419"/>
              </w:rPr>
            </w:pPr>
            <w:r w:rsidRPr="006F0BB0">
              <w:rPr>
                <w:sz w:val="18"/>
                <w:szCs w:val="18"/>
                <w:lang w:val="es-419" w:eastAsia="es-419"/>
              </w:rPr>
              <w:t>134 951</w:t>
            </w:r>
          </w:p>
        </w:tc>
        <w:tc>
          <w:tcPr>
            <w:tcW w:w="1181" w:type="dxa"/>
            <w:tcBorders>
              <w:top w:val="nil"/>
              <w:left w:val="nil"/>
              <w:bottom w:val="single" w:sz="4" w:space="0" w:color="auto"/>
              <w:right w:val="single" w:sz="4" w:space="0" w:color="auto"/>
            </w:tcBorders>
            <w:shd w:val="clear" w:color="auto" w:fill="auto"/>
            <w:noWrap/>
            <w:hideMark/>
          </w:tcPr>
          <w:p w14:paraId="3AA98154" w14:textId="77777777" w:rsidR="006F0BB0" w:rsidRPr="006F0BB0" w:rsidRDefault="006F0BB0" w:rsidP="007D1DBA">
            <w:pPr>
              <w:jc w:val="right"/>
              <w:rPr>
                <w:sz w:val="18"/>
                <w:szCs w:val="18"/>
                <w:lang w:val="es-419" w:eastAsia="es-419"/>
              </w:rPr>
            </w:pPr>
            <w:r w:rsidRPr="006F0BB0">
              <w:rPr>
                <w:sz w:val="18"/>
                <w:szCs w:val="18"/>
                <w:lang w:val="es-419" w:eastAsia="es-419"/>
              </w:rPr>
              <w:t>79,7%</w:t>
            </w:r>
          </w:p>
        </w:tc>
      </w:tr>
      <w:tr w:rsidR="006F0BB0" w:rsidRPr="006F0BB0" w14:paraId="0A27110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76B74D"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Zimbabwe</w:t>
            </w:r>
            <w:proofErr w:type="spellEnd"/>
          </w:p>
        </w:tc>
        <w:tc>
          <w:tcPr>
            <w:tcW w:w="950" w:type="dxa"/>
            <w:tcBorders>
              <w:top w:val="nil"/>
              <w:left w:val="nil"/>
              <w:bottom w:val="single" w:sz="4" w:space="0" w:color="auto"/>
              <w:right w:val="single" w:sz="4" w:space="0" w:color="auto"/>
            </w:tcBorders>
            <w:shd w:val="clear" w:color="auto" w:fill="auto"/>
            <w:noWrap/>
            <w:hideMark/>
          </w:tcPr>
          <w:p w14:paraId="0462DC6B" w14:textId="77777777" w:rsidR="006F0BB0" w:rsidRPr="006F0BB0" w:rsidRDefault="006F0BB0" w:rsidP="007D1DBA">
            <w:pPr>
              <w:jc w:val="right"/>
              <w:rPr>
                <w:sz w:val="18"/>
                <w:szCs w:val="18"/>
                <w:lang w:val="es-419" w:eastAsia="es-419"/>
              </w:rPr>
            </w:pPr>
            <w:r w:rsidRPr="006F0BB0">
              <w:rPr>
                <w:sz w:val="18"/>
                <w:szCs w:val="18"/>
                <w:lang w:val="es-419" w:eastAsia="es-419"/>
              </w:rPr>
              <w:t>1 024 385</w:t>
            </w:r>
          </w:p>
        </w:tc>
        <w:tc>
          <w:tcPr>
            <w:tcW w:w="950" w:type="dxa"/>
            <w:tcBorders>
              <w:top w:val="nil"/>
              <w:left w:val="nil"/>
              <w:bottom w:val="single" w:sz="4" w:space="0" w:color="auto"/>
              <w:right w:val="single" w:sz="4" w:space="0" w:color="auto"/>
            </w:tcBorders>
            <w:shd w:val="clear" w:color="auto" w:fill="auto"/>
            <w:noWrap/>
            <w:hideMark/>
          </w:tcPr>
          <w:p w14:paraId="5FAEA75F" w14:textId="77777777" w:rsidR="006F0BB0" w:rsidRPr="006F0BB0" w:rsidRDefault="006F0BB0" w:rsidP="007D1DBA">
            <w:pPr>
              <w:jc w:val="right"/>
              <w:rPr>
                <w:sz w:val="18"/>
                <w:szCs w:val="18"/>
                <w:lang w:val="es-419" w:eastAsia="es-419"/>
              </w:rPr>
            </w:pPr>
            <w:r w:rsidRPr="006F0BB0">
              <w:rPr>
                <w:sz w:val="18"/>
                <w:szCs w:val="18"/>
                <w:lang w:val="es-419" w:eastAsia="es-419"/>
              </w:rPr>
              <w:t>1 055 117</w:t>
            </w:r>
          </w:p>
        </w:tc>
        <w:tc>
          <w:tcPr>
            <w:tcW w:w="950" w:type="dxa"/>
            <w:tcBorders>
              <w:top w:val="nil"/>
              <w:left w:val="nil"/>
              <w:bottom w:val="single" w:sz="4" w:space="0" w:color="auto"/>
              <w:right w:val="single" w:sz="4" w:space="0" w:color="auto"/>
            </w:tcBorders>
            <w:shd w:val="clear" w:color="auto" w:fill="auto"/>
            <w:noWrap/>
            <w:hideMark/>
          </w:tcPr>
          <w:p w14:paraId="4A57D1AF" w14:textId="77777777" w:rsidR="006F0BB0" w:rsidRPr="006F0BB0" w:rsidRDefault="006F0BB0" w:rsidP="007D1DBA">
            <w:pPr>
              <w:jc w:val="right"/>
              <w:rPr>
                <w:sz w:val="18"/>
                <w:szCs w:val="18"/>
                <w:lang w:val="es-419" w:eastAsia="es-419"/>
              </w:rPr>
            </w:pPr>
            <w:r w:rsidRPr="006F0BB0">
              <w:rPr>
                <w:sz w:val="18"/>
                <w:szCs w:val="18"/>
                <w:lang w:val="es-419" w:eastAsia="es-419"/>
              </w:rPr>
              <w:t>1 086 770</w:t>
            </w:r>
          </w:p>
        </w:tc>
        <w:tc>
          <w:tcPr>
            <w:tcW w:w="950" w:type="dxa"/>
            <w:tcBorders>
              <w:top w:val="nil"/>
              <w:left w:val="nil"/>
              <w:bottom w:val="single" w:sz="4" w:space="0" w:color="auto"/>
              <w:right w:val="single" w:sz="4" w:space="0" w:color="auto"/>
            </w:tcBorders>
            <w:shd w:val="clear" w:color="auto" w:fill="auto"/>
            <w:noWrap/>
            <w:hideMark/>
          </w:tcPr>
          <w:p w14:paraId="26140F2D" w14:textId="77777777" w:rsidR="006F0BB0" w:rsidRPr="006F0BB0" w:rsidRDefault="006F0BB0" w:rsidP="007D1DBA">
            <w:pPr>
              <w:jc w:val="right"/>
              <w:rPr>
                <w:sz w:val="18"/>
                <w:szCs w:val="18"/>
                <w:lang w:val="es-419" w:eastAsia="es-419"/>
              </w:rPr>
            </w:pPr>
            <w:r w:rsidRPr="006F0BB0">
              <w:rPr>
                <w:sz w:val="18"/>
                <w:szCs w:val="18"/>
                <w:lang w:val="es-419" w:eastAsia="es-419"/>
              </w:rPr>
              <w:t>1 119 373</w:t>
            </w:r>
          </w:p>
        </w:tc>
        <w:tc>
          <w:tcPr>
            <w:tcW w:w="950" w:type="dxa"/>
            <w:tcBorders>
              <w:top w:val="nil"/>
              <w:left w:val="nil"/>
              <w:bottom w:val="single" w:sz="4" w:space="0" w:color="auto"/>
              <w:right w:val="single" w:sz="4" w:space="0" w:color="auto"/>
            </w:tcBorders>
            <w:shd w:val="clear" w:color="auto" w:fill="auto"/>
            <w:noWrap/>
            <w:hideMark/>
          </w:tcPr>
          <w:p w14:paraId="6A96FAB3" w14:textId="77777777" w:rsidR="006F0BB0" w:rsidRPr="006F0BB0" w:rsidRDefault="006F0BB0" w:rsidP="007D1DBA">
            <w:pPr>
              <w:jc w:val="right"/>
              <w:rPr>
                <w:sz w:val="18"/>
                <w:szCs w:val="18"/>
                <w:lang w:val="es-419" w:eastAsia="es-419"/>
              </w:rPr>
            </w:pPr>
            <w:r w:rsidRPr="006F0BB0">
              <w:rPr>
                <w:sz w:val="18"/>
                <w:szCs w:val="18"/>
                <w:lang w:val="es-419" w:eastAsia="es-419"/>
              </w:rPr>
              <w:t>1 152 954</w:t>
            </w:r>
          </w:p>
        </w:tc>
        <w:tc>
          <w:tcPr>
            <w:tcW w:w="950" w:type="dxa"/>
            <w:tcBorders>
              <w:top w:val="nil"/>
              <w:left w:val="nil"/>
              <w:bottom w:val="single" w:sz="4" w:space="0" w:color="auto"/>
              <w:right w:val="single" w:sz="4" w:space="0" w:color="auto"/>
            </w:tcBorders>
            <w:shd w:val="clear" w:color="auto" w:fill="auto"/>
            <w:noWrap/>
            <w:hideMark/>
          </w:tcPr>
          <w:p w14:paraId="3D1C9E90" w14:textId="77777777" w:rsidR="006F0BB0" w:rsidRPr="006F0BB0" w:rsidRDefault="006F0BB0" w:rsidP="007D1DBA">
            <w:pPr>
              <w:jc w:val="right"/>
              <w:rPr>
                <w:sz w:val="18"/>
                <w:szCs w:val="18"/>
                <w:lang w:val="es-419" w:eastAsia="es-419"/>
              </w:rPr>
            </w:pPr>
            <w:r w:rsidRPr="006F0BB0">
              <w:rPr>
                <w:sz w:val="18"/>
                <w:szCs w:val="18"/>
                <w:lang w:val="es-419" w:eastAsia="es-419"/>
              </w:rPr>
              <w:t>1 187 543</w:t>
            </w:r>
          </w:p>
        </w:tc>
        <w:tc>
          <w:tcPr>
            <w:tcW w:w="950" w:type="dxa"/>
            <w:tcBorders>
              <w:top w:val="nil"/>
              <w:left w:val="nil"/>
              <w:bottom w:val="single" w:sz="4" w:space="0" w:color="auto"/>
              <w:right w:val="single" w:sz="4" w:space="0" w:color="auto"/>
            </w:tcBorders>
            <w:shd w:val="clear" w:color="auto" w:fill="auto"/>
            <w:noWrap/>
            <w:hideMark/>
          </w:tcPr>
          <w:p w14:paraId="0DFBC59E" w14:textId="77777777" w:rsidR="006F0BB0" w:rsidRPr="006F0BB0" w:rsidRDefault="006F0BB0" w:rsidP="007D1DBA">
            <w:pPr>
              <w:jc w:val="right"/>
              <w:rPr>
                <w:sz w:val="18"/>
                <w:szCs w:val="18"/>
                <w:lang w:val="es-419" w:eastAsia="es-419"/>
              </w:rPr>
            </w:pPr>
            <w:r w:rsidRPr="006F0BB0">
              <w:rPr>
                <w:sz w:val="18"/>
                <w:szCs w:val="18"/>
                <w:lang w:val="es-419" w:eastAsia="es-419"/>
              </w:rPr>
              <w:t>1 087 087</w:t>
            </w:r>
          </w:p>
        </w:tc>
        <w:tc>
          <w:tcPr>
            <w:tcW w:w="1005" w:type="dxa"/>
            <w:tcBorders>
              <w:top w:val="nil"/>
              <w:left w:val="nil"/>
              <w:bottom w:val="single" w:sz="4" w:space="0" w:color="auto"/>
              <w:right w:val="single" w:sz="4" w:space="0" w:color="auto"/>
            </w:tcBorders>
            <w:shd w:val="clear" w:color="auto" w:fill="auto"/>
            <w:noWrap/>
            <w:hideMark/>
          </w:tcPr>
          <w:p w14:paraId="0ED906EF" w14:textId="77777777" w:rsidR="006F0BB0" w:rsidRPr="006F0BB0" w:rsidRDefault="006F0BB0" w:rsidP="007D1DBA">
            <w:pPr>
              <w:jc w:val="right"/>
              <w:rPr>
                <w:sz w:val="18"/>
                <w:szCs w:val="18"/>
                <w:lang w:val="es-419" w:eastAsia="es-419"/>
              </w:rPr>
            </w:pPr>
            <w:r w:rsidRPr="006F0BB0">
              <w:rPr>
                <w:sz w:val="18"/>
                <w:szCs w:val="18"/>
                <w:lang w:val="es-419" w:eastAsia="es-419"/>
              </w:rPr>
              <w:t>1 451 588</w:t>
            </w:r>
          </w:p>
        </w:tc>
        <w:tc>
          <w:tcPr>
            <w:tcW w:w="1181" w:type="dxa"/>
            <w:tcBorders>
              <w:top w:val="nil"/>
              <w:left w:val="nil"/>
              <w:bottom w:val="single" w:sz="4" w:space="0" w:color="auto"/>
              <w:right w:val="single" w:sz="4" w:space="0" w:color="auto"/>
            </w:tcBorders>
            <w:shd w:val="clear" w:color="auto" w:fill="auto"/>
            <w:noWrap/>
            <w:hideMark/>
          </w:tcPr>
          <w:p w14:paraId="36EBABB5" w14:textId="77777777" w:rsidR="006F0BB0" w:rsidRPr="006F0BB0" w:rsidRDefault="006F0BB0" w:rsidP="007D1DBA">
            <w:pPr>
              <w:jc w:val="right"/>
              <w:rPr>
                <w:sz w:val="18"/>
                <w:szCs w:val="18"/>
                <w:lang w:val="es-419" w:eastAsia="es-419"/>
              </w:rPr>
            </w:pPr>
            <w:r w:rsidRPr="006F0BB0">
              <w:rPr>
                <w:sz w:val="18"/>
                <w:szCs w:val="18"/>
                <w:lang w:val="es-419" w:eastAsia="es-419"/>
              </w:rPr>
              <w:t>81,8%</w:t>
            </w:r>
          </w:p>
        </w:tc>
      </w:tr>
      <w:tr w:rsidR="006F0BB0" w:rsidRPr="006F0BB0" w14:paraId="3DC0813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C4FDF5" w14:textId="77777777" w:rsidR="006F0BB0" w:rsidRPr="006F0BB0" w:rsidRDefault="006F0BB0" w:rsidP="007D1DBA">
            <w:pPr>
              <w:jc w:val="left"/>
              <w:rPr>
                <w:sz w:val="18"/>
                <w:szCs w:val="18"/>
                <w:lang w:val="es-419" w:eastAsia="es-419"/>
              </w:rPr>
            </w:pPr>
            <w:r w:rsidRPr="006F0BB0">
              <w:rPr>
                <w:sz w:val="18"/>
                <w:szCs w:val="18"/>
                <w:lang w:val="es-419" w:eastAsia="es-419"/>
              </w:rPr>
              <w:t>Guinea</w:t>
            </w:r>
          </w:p>
        </w:tc>
        <w:tc>
          <w:tcPr>
            <w:tcW w:w="950" w:type="dxa"/>
            <w:tcBorders>
              <w:top w:val="nil"/>
              <w:left w:val="nil"/>
              <w:bottom w:val="single" w:sz="4" w:space="0" w:color="auto"/>
              <w:right w:val="single" w:sz="4" w:space="0" w:color="auto"/>
            </w:tcBorders>
            <w:shd w:val="clear" w:color="auto" w:fill="auto"/>
            <w:noWrap/>
            <w:hideMark/>
          </w:tcPr>
          <w:p w14:paraId="7B4F4D42" w14:textId="77777777" w:rsidR="006F0BB0" w:rsidRPr="006F0BB0" w:rsidRDefault="006F0BB0" w:rsidP="007D1DBA">
            <w:pPr>
              <w:jc w:val="right"/>
              <w:rPr>
                <w:sz w:val="18"/>
                <w:szCs w:val="18"/>
                <w:lang w:val="es-419" w:eastAsia="es-419"/>
              </w:rPr>
            </w:pPr>
            <w:r w:rsidRPr="006F0BB0">
              <w:rPr>
                <w:sz w:val="18"/>
                <w:szCs w:val="18"/>
                <w:lang w:val="es-419" w:eastAsia="es-419"/>
              </w:rPr>
              <w:t>1 391 166</w:t>
            </w:r>
          </w:p>
        </w:tc>
        <w:tc>
          <w:tcPr>
            <w:tcW w:w="950" w:type="dxa"/>
            <w:tcBorders>
              <w:top w:val="nil"/>
              <w:left w:val="nil"/>
              <w:bottom w:val="single" w:sz="4" w:space="0" w:color="auto"/>
              <w:right w:val="single" w:sz="4" w:space="0" w:color="auto"/>
            </w:tcBorders>
            <w:shd w:val="clear" w:color="auto" w:fill="auto"/>
            <w:noWrap/>
            <w:hideMark/>
          </w:tcPr>
          <w:p w14:paraId="2C53D217" w14:textId="77777777" w:rsidR="006F0BB0" w:rsidRPr="006F0BB0" w:rsidRDefault="006F0BB0" w:rsidP="007D1DBA">
            <w:pPr>
              <w:jc w:val="right"/>
              <w:rPr>
                <w:sz w:val="18"/>
                <w:szCs w:val="18"/>
                <w:lang w:val="es-419" w:eastAsia="es-419"/>
              </w:rPr>
            </w:pPr>
            <w:r w:rsidRPr="006F0BB0">
              <w:rPr>
                <w:sz w:val="18"/>
                <w:szCs w:val="18"/>
                <w:lang w:val="es-419" w:eastAsia="es-419"/>
              </w:rPr>
              <w:t>1 432 900</w:t>
            </w:r>
          </w:p>
        </w:tc>
        <w:tc>
          <w:tcPr>
            <w:tcW w:w="950" w:type="dxa"/>
            <w:tcBorders>
              <w:top w:val="nil"/>
              <w:left w:val="nil"/>
              <w:bottom w:val="single" w:sz="4" w:space="0" w:color="auto"/>
              <w:right w:val="single" w:sz="4" w:space="0" w:color="auto"/>
            </w:tcBorders>
            <w:shd w:val="clear" w:color="auto" w:fill="auto"/>
            <w:noWrap/>
            <w:hideMark/>
          </w:tcPr>
          <w:p w14:paraId="26AF929A" w14:textId="77777777" w:rsidR="006F0BB0" w:rsidRPr="006F0BB0" w:rsidRDefault="006F0BB0" w:rsidP="007D1DBA">
            <w:pPr>
              <w:jc w:val="right"/>
              <w:rPr>
                <w:sz w:val="18"/>
                <w:szCs w:val="18"/>
                <w:lang w:val="es-419" w:eastAsia="es-419"/>
              </w:rPr>
            </w:pPr>
            <w:r w:rsidRPr="006F0BB0">
              <w:rPr>
                <w:sz w:val="18"/>
                <w:szCs w:val="18"/>
                <w:lang w:val="es-419" w:eastAsia="es-419"/>
              </w:rPr>
              <w:t>1 475 887</w:t>
            </w:r>
          </w:p>
        </w:tc>
        <w:tc>
          <w:tcPr>
            <w:tcW w:w="950" w:type="dxa"/>
            <w:tcBorders>
              <w:top w:val="nil"/>
              <w:left w:val="nil"/>
              <w:bottom w:val="single" w:sz="4" w:space="0" w:color="auto"/>
              <w:right w:val="single" w:sz="4" w:space="0" w:color="auto"/>
            </w:tcBorders>
            <w:shd w:val="clear" w:color="auto" w:fill="auto"/>
            <w:noWrap/>
            <w:hideMark/>
          </w:tcPr>
          <w:p w14:paraId="3897D40B" w14:textId="77777777" w:rsidR="006F0BB0" w:rsidRPr="006F0BB0" w:rsidRDefault="006F0BB0" w:rsidP="007D1DBA">
            <w:pPr>
              <w:jc w:val="right"/>
              <w:rPr>
                <w:sz w:val="18"/>
                <w:szCs w:val="18"/>
                <w:lang w:val="es-419" w:eastAsia="es-419"/>
              </w:rPr>
            </w:pPr>
            <w:r w:rsidRPr="006F0BB0">
              <w:rPr>
                <w:sz w:val="18"/>
                <w:szCs w:val="18"/>
                <w:lang w:val="es-419" w:eastAsia="es-419"/>
              </w:rPr>
              <w:t>1 520 164</w:t>
            </w:r>
          </w:p>
        </w:tc>
        <w:tc>
          <w:tcPr>
            <w:tcW w:w="950" w:type="dxa"/>
            <w:tcBorders>
              <w:top w:val="nil"/>
              <w:left w:val="nil"/>
              <w:bottom w:val="single" w:sz="4" w:space="0" w:color="auto"/>
              <w:right w:val="single" w:sz="4" w:space="0" w:color="auto"/>
            </w:tcBorders>
            <w:shd w:val="clear" w:color="auto" w:fill="auto"/>
            <w:noWrap/>
            <w:hideMark/>
          </w:tcPr>
          <w:p w14:paraId="33AE8962" w14:textId="77777777" w:rsidR="006F0BB0" w:rsidRPr="006F0BB0" w:rsidRDefault="006F0BB0" w:rsidP="007D1DBA">
            <w:pPr>
              <w:jc w:val="right"/>
              <w:rPr>
                <w:sz w:val="18"/>
                <w:szCs w:val="18"/>
                <w:lang w:val="es-419" w:eastAsia="es-419"/>
              </w:rPr>
            </w:pPr>
            <w:r w:rsidRPr="006F0BB0">
              <w:rPr>
                <w:sz w:val="18"/>
                <w:szCs w:val="18"/>
                <w:lang w:val="es-419" w:eastAsia="es-419"/>
              </w:rPr>
              <w:t>1 565 769</w:t>
            </w:r>
          </w:p>
        </w:tc>
        <w:tc>
          <w:tcPr>
            <w:tcW w:w="950" w:type="dxa"/>
            <w:tcBorders>
              <w:top w:val="nil"/>
              <w:left w:val="nil"/>
              <w:bottom w:val="single" w:sz="4" w:space="0" w:color="auto"/>
              <w:right w:val="single" w:sz="4" w:space="0" w:color="auto"/>
            </w:tcBorders>
            <w:shd w:val="clear" w:color="auto" w:fill="auto"/>
            <w:noWrap/>
            <w:hideMark/>
          </w:tcPr>
          <w:p w14:paraId="49D930D8" w14:textId="77777777" w:rsidR="006F0BB0" w:rsidRPr="006F0BB0" w:rsidRDefault="006F0BB0" w:rsidP="007D1DBA">
            <w:pPr>
              <w:jc w:val="right"/>
              <w:rPr>
                <w:sz w:val="18"/>
                <w:szCs w:val="18"/>
                <w:lang w:val="es-419" w:eastAsia="es-419"/>
              </w:rPr>
            </w:pPr>
            <w:r w:rsidRPr="006F0BB0">
              <w:rPr>
                <w:sz w:val="18"/>
                <w:szCs w:val="18"/>
                <w:lang w:val="es-419" w:eastAsia="es-419"/>
              </w:rPr>
              <w:t>1 612 742</w:t>
            </w:r>
          </w:p>
        </w:tc>
        <w:tc>
          <w:tcPr>
            <w:tcW w:w="950" w:type="dxa"/>
            <w:tcBorders>
              <w:top w:val="nil"/>
              <w:left w:val="nil"/>
              <w:bottom w:val="single" w:sz="4" w:space="0" w:color="auto"/>
              <w:right w:val="single" w:sz="4" w:space="0" w:color="auto"/>
            </w:tcBorders>
            <w:shd w:val="clear" w:color="auto" w:fill="auto"/>
            <w:noWrap/>
            <w:hideMark/>
          </w:tcPr>
          <w:p w14:paraId="2C33A9CF" w14:textId="77777777" w:rsidR="006F0BB0" w:rsidRPr="006F0BB0" w:rsidRDefault="006F0BB0" w:rsidP="007D1DBA">
            <w:pPr>
              <w:jc w:val="right"/>
              <w:rPr>
                <w:sz w:val="18"/>
                <w:szCs w:val="18"/>
                <w:lang w:val="es-419" w:eastAsia="es-419"/>
              </w:rPr>
            </w:pPr>
            <w:r w:rsidRPr="006F0BB0">
              <w:rPr>
                <w:sz w:val="18"/>
                <w:szCs w:val="18"/>
                <w:lang w:val="es-419" w:eastAsia="es-419"/>
              </w:rPr>
              <w:t>1 476 317</w:t>
            </w:r>
          </w:p>
        </w:tc>
        <w:tc>
          <w:tcPr>
            <w:tcW w:w="1005" w:type="dxa"/>
            <w:tcBorders>
              <w:top w:val="nil"/>
              <w:left w:val="nil"/>
              <w:bottom w:val="single" w:sz="4" w:space="0" w:color="auto"/>
              <w:right w:val="single" w:sz="4" w:space="0" w:color="auto"/>
            </w:tcBorders>
            <w:shd w:val="clear" w:color="auto" w:fill="auto"/>
            <w:noWrap/>
            <w:hideMark/>
          </w:tcPr>
          <w:p w14:paraId="55062DC9" w14:textId="77777777" w:rsidR="006F0BB0" w:rsidRPr="006F0BB0" w:rsidRDefault="006F0BB0" w:rsidP="007D1DBA">
            <w:pPr>
              <w:jc w:val="right"/>
              <w:rPr>
                <w:sz w:val="18"/>
                <w:szCs w:val="18"/>
                <w:lang w:val="es-419" w:eastAsia="es-419"/>
              </w:rPr>
            </w:pPr>
            <w:r w:rsidRPr="006F0BB0">
              <w:rPr>
                <w:sz w:val="18"/>
                <w:szCs w:val="18"/>
                <w:lang w:val="es-419" w:eastAsia="es-419"/>
              </w:rPr>
              <w:t>1 959 965</w:t>
            </w:r>
          </w:p>
        </w:tc>
        <w:tc>
          <w:tcPr>
            <w:tcW w:w="1181" w:type="dxa"/>
            <w:tcBorders>
              <w:top w:val="nil"/>
              <w:left w:val="nil"/>
              <w:bottom w:val="single" w:sz="4" w:space="0" w:color="auto"/>
              <w:right w:val="single" w:sz="4" w:space="0" w:color="auto"/>
            </w:tcBorders>
            <w:shd w:val="clear" w:color="auto" w:fill="auto"/>
            <w:noWrap/>
            <w:hideMark/>
          </w:tcPr>
          <w:p w14:paraId="69174BB6" w14:textId="77777777" w:rsidR="006F0BB0" w:rsidRPr="006F0BB0" w:rsidRDefault="006F0BB0" w:rsidP="007D1DBA">
            <w:pPr>
              <w:jc w:val="right"/>
              <w:rPr>
                <w:sz w:val="18"/>
                <w:szCs w:val="18"/>
                <w:lang w:val="es-419" w:eastAsia="es-419"/>
              </w:rPr>
            </w:pPr>
            <w:r w:rsidRPr="006F0BB0">
              <w:rPr>
                <w:sz w:val="18"/>
                <w:szCs w:val="18"/>
                <w:lang w:val="es-419" w:eastAsia="es-419"/>
              </w:rPr>
              <w:t>82,3%</w:t>
            </w:r>
          </w:p>
        </w:tc>
      </w:tr>
      <w:tr w:rsidR="006F0BB0" w:rsidRPr="006F0BB0" w14:paraId="1947D5C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295394" w14:textId="77777777" w:rsidR="006F0BB0" w:rsidRPr="006F0BB0" w:rsidRDefault="006F0BB0" w:rsidP="007D1DBA">
            <w:pPr>
              <w:jc w:val="left"/>
              <w:rPr>
                <w:sz w:val="18"/>
                <w:szCs w:val="18"/>
                <w:lang w:val="es-419" w:eastAsia="es-419"/>
              </w:rPr>
            </w:pPr>
            <w:r w:rsidRPr="006F0BB0">
              <w:rPr>
                <w:sz w:val="18"/>
                <w:szCs w:val="18"/>
                <w:lang w:val="es-419" w:eastAsia="es-419"/>
              </w:rPr>
              <w:t>Madagascar</w:t>
            </w:r>
          </w:p>
        </w:tc>
        <w:tc>
          <w:tcPr>
            <w:tcW w:w="950" w:type="dxa"/>
            <w:tcBorders>
              <w:top w:val="nil"/>
              <w:left w:val="nil"/>
              <w:bottom w:val="single" w:sz="4" w:space="0" w:color="auto"/>
              <w:right w:val="single" w:sz="4" w:space="0" w:color="auto"/>
            </w:tcBorders>
            <w:shd w:val="clear" w:color="auto" w:fill="auto"/>
            <w:noWrap/>
            <w:hideMark/>
          </w:tcPr>
          <w:p w14:paraId="55780445" w14:textId="77777777" w:rsidR="006F0BB0" w:rsidRPr="006F0BB0" w:rsidRDefault="006F0BB0" w:rsidP="007D1DBA">
            <w:pPr>
              <w:jc w:val="right"/>
              <w:rPr>
                <w:sz w:val="18"/>
                <w:szCs w:val="18"/>
                <w:lang w:val="es-419" w:eastAsia="es-419"/>
              </w:rPr>
            </w:pPr>
            <w:r w:rsidRPr="006F0BB0">
              <w:rPr>
                <w:sz w:val="18"/>
                <w:szCs w:val="18"/>
                <w:lang w:val="es-419" w:eastAsia="es-419"/>
              </w:rPr>
              <w:t>1 558 144</w:t>
            </w:r>
          </w:p>
        </w:tc>
        <w:tc>
          <w:tcPr>
            <w:tcW w:w="950" w:type="dxa"/>
            <w:tcBorders>
              <w:top w:val="nil"/>
              <w:left w:val="nil"/>
              <w:bottom w:val="single" w:sz="4" w:space="0" w:color="auto"/>
              <w:right w:val="single" w:sz="4" w:space="0" w:color="auto"/>
            </w:tcBorders>
            <w:shd w:val="clear" w:color="auto" w:fill="auto"/>
            <w:noWrap/>
            <w:hideMark/>
          </w:tcPr>
          <w:p w14:paraId="7848AB0C" w14:textId="77777777" w:rsidR="006F0BB0" w:rsidRPr="006F0BB0" w:rsidRDefault="006F0BB0" w:rsidP="007D1DBA">
            <w:pPr>
              <w:jc w:val="right"/>
              <w:rPr>
                <w:sz w:val="18"/>
                <w:szCs w:val="18"/>
                <w:lang w:val="es-419" w:eastAsia="es-419"/>
              </w:rPr>
            </w:pPr>
            <w:r w:rsidRPr="006F0BB0">
              <w:rPr>
                <w:sz w:val="18"/>
                <w:szCs w:val="18"/>
                <w:lang w:val="es-419" w:eastAsia="es-419"/>
              </w:rPr>
              <w:t>1 604 888</w:t>
            </w:r>
          </w:p>
        </w:tc>
        <w:tc>
          <w:tcPr>
            <w:tcW w:w="950" w:type="dxa"/>
            <w:tcBorders>
              <w:top w:val="nil"/>
              <w:left w:val="nil"/>
              <w:bottom w:val="single" w:sz="4" w:space="0" w:color="auto"/>
              <w:right w:val="single" w:sz="4" w:space="0" w:color="auto"/>
            </w:tcBorders>
            <w:shd w:val="clear" w:color="auto" w:fill="auto"/>
            <w:noWrap/>
            <w:hideMark/>
          </w:tcPr>
          <w:p w14:paraId="16D6DF5A" w14:textId="77777777" w:rsidR="006F0BB0" w:rsidRPr="006F0BB0" w:rsidRDefault="006F0BB0" w:rsidP="007D1DBA">
            <w:pPr>
              <w:jc w:val="right"/>
              <w:rPr>
                <w:sz w:val="18"/>
                <w:szCs w:val="18"/>
                <w:lang w:val="es-419" w:eastAsia="es-419"/>
              </w:rPr>
            </w:pPr>
            <w:r w:rsidRPr="006F0BB0">
              <w:rPr>
                <w:sz w:val="18"/>
                <w:szCs w:val="18"/>
                <w:lang w:val="es-419" w:eastAsia="es-419"/>
              </w:rPr>
              <w:t>1 653 035</w:t>
            </w:r>
          </w:p>
        </w:tc>
        <w:tc>
          <w:tcPr>
            <w:tcW w:w="950" w:type="dxa"/>
            <w:tcBorders>
              <w:top w:val="nil"/>
              <w:left w:val="nil"/>
              <w:bottom w:val="single" w:sz="4" w:space="0" w:color="auto"/>
              <w:right w:val="single" w:sz="4" w:space="0" w:color="auto"/>
            </w:tcBorders>
            <w:shd w:val="clear" w:color="auto" w:fill="auto"/>
            <w:noWrap/>
            <w:hideMark/>
          </w:tcPr>
          <w:p w14:paraId="4C433A10" w14:textId="77777777" w:rsidR="006F0BB0" w:rsidRPr="006F0BB0" w:rsidRDefault="006F0BB0" w:rsidP="007D1DBA">
            <w:pPr>
              <w:jc w:val="right"/>
              <w:rPr>
                <w:sz w:val="18"/>
                <w:szCs w:val="18"/>
                <w:lang w:val="es-419" w:eastAsia="es-419"/>
              </w:rPr>
            </w:pPr>
            <w:r w:rsidRPr="006F0BB0">
              <w:rPr>
                <w:sz w:val="18"/>
                <w:szCs w:val="18"/>
                <w:lang w:val="es-419" w:eastAsia="es-419"/>
              </w:rPr>
              <w:t>1 702 626</w:t>
            </w:r>
          </w:p>
        </w:tc>
        <w:tc>
          <w:tcPr>
            <w:tcW w:w="950" w:type="dxa"/>
            <w:tcBorders>
              <w:top w:val="nil"/>
              <w:left w:val="nil"/>
              <w:bottom w:val="single" w:sz="4" w:space="0" w:color="auto"/>
              <w:right w:val="single" w:sz="4" w:space="0" w:color="auto"/>
            </w:tcBorders>
            <w:shd w:val="clear" w:color="auto" w:fill="auto"/>
            <w:noWrap/>
            <w:hideMark/>
          </w:tcPr>
          <w:p w14:paraId="4A1764C2" w14:textId="77777777" w:rsidR="006F0BB0" w:rsidRPr="006F0BB0" w:rsidRDefault="006F0BB0" w:rsidP="007D1DBA">
            <w:pPr>
              <w:jc w:val="right"/>
              <w:rPr>
                <w:sz w:val="18"/>
                <w:szCs w:val="18"/>
                <w:lang w:val="es-419" w:eastAsia="es-419"/>
              </w:rPr>
            </w:pPr>
            <w:r w:rsidRPr="006F0BB0">
              <w:rPr>
                <w:sz w:val="18"/>
                <w:szCs w:val="18"/>
                <w:lang w:val="es-419" w:eastAsia="es-419"/>
              </w:rPr>
              <w:t>1 753 704</w:t>
            </w:r>
          </w:p>
        </w:tc>
        <w:tc>
          <w:tcPr>
            <w:tcW w:w="950" w:type="dxa"/>
            <w:tcBorders>
              <w:top w:val="nil"/>
              <w:left w:val="nil"/>
              <w:bottom w:val="single" w:sz="4" w:space="0" w:color="auto"/>
              <w:right w:val="single" w:sz="4" w:space="0" w:color="auto"/>
            </w:tcBorders>
            <w:shd w:val="clear" w:color="auto" w:fill="auto"/>
            <w:noWrap/>
            <w:hideMark/>
          </w:tcPr>
          <w:p w14:paraId="7E81445C" w14:textId="77777777" w:rsidR="006F0BB0" w:rsidRPr="006F0BB0" w:rsidRDefault="006F0BB0" w:rsidP="007D1DBA">
            <w:pPr>
              <w:jc w:val="right"/>
              <w:rPr>
                <w:sz w:val="18"/>
                <w:szCs w:val="18"/>
                <w:lang w:val="es-419" w:eastAsia="es-419"/>
              </w:rPr>
            </w:pPr>
            <w:r w:rsidRPr="006F0BB0">
              <w:rPr>
                <w:sz w:val="18"/>
                <w:szCs w:val="18"/>
                <w:lang w:val="es-419" w:eastAsia="es-419"/>
              </w:rPr>
              <w:t>1 806 315</w:t>
            </w:r>
          </w:p>
        </w:tc>
        <w:tc>
          <w:tcPr>
            <w:tcW w:w="950" w:type="dxa"/>
            <w:tcBorders>
              <w:top w:val="nil"/>
              <w:left w:val="nil"/>
              <w:bottom w:val="single" w:sz="4" w:space="0" w:color="auto"/>
              <w:right w:val="single" w:sz="4" w:space="0" w:color="auto"/>
            </w:tcBorders>
            <w:shd w:val="clear" w:color="auto" w:fill="auto"/>
            <w:noWrap/>
            <w:hideMark/>
          </w:tcPr>
          <w:p w14:paraId="40286E1D" w14:textId="77777777" w:rsidR="006F0BB0" w:rsidRPr="006F0BB0" w:rsidRDefault="006F0BB0" w:rsidP="007D1DBA">
            <w:pPr>
              <w:jc w:val="right"/>
              <w:rPr>
                <w:sz w:val="18"/>
                <w:szCs w:val="18"/>
                <w:lang w:val="es-419" w:eastAsia="es-419"/>
              </w:rPr>
            </w:pPr>
            <w:r w:rsidRPr="006F0BB0">
              <w:rPr>
                <w:sz w:val="18"/>
                <w:szCs w:val="18"/>
                <w:lang w:val="es-419" w:eastAsia="es-419"/>
              </w:rPr>
              <w:t>1 653 516</w:t>
            </w:r>
          </w:p>
        </w:tc>
        <w:tc>
          <w:tcPr>
            <w:tcW w:w="1005" w:type="dxa"/>
            <w:tcBorders>
              <w:top w:val="nil"/>
              <w:left w:val="nil"/>
              <w:bottom w:val="single" w:sz="4" w:space="0" w:color="auto"/>
              <w:right w:val="single" w:sz="4" w:space="0" w:color="auto"/>
            </w:tcBorders>
            <w:shd w:val="clear" w:color="auto" w:fill="auto"/>
            <w:noWrap/>
            <w:hideMark/>
          </w:tcPr>
          <w:p w14:paraId="6A152F91" w14:textId="77777777" w:rsidR="006F0BB0" w:rsidRPr="006F0BB0" w:rsidRDefault="006F0BB0" w:rsidP="007D1DBA">
            <w:pPr>
              <w:jc w:val="right"/>
              <w:rPr>
                <w:sz w:val="18"/>
                <w:szCs w:val="18"/>
                <w:lang w:val="es-419" w:eastAsia="es-419"/>
              </w:rPr>
            </w:pPr>
            <w:r w:rsidRPr="006F0BB0">
              <w:rPr>
                <w:sz w:val="18"/>
                <w:szCs w:val="18"/>
                <w:lang w:val="es-419" w:eastAsia="es-419"/>
              </w:rPr>
              <w:t>2 186 329</w:t>
            </w:r>
          </w:p>
        </w:tc>
        <w:tc>
          <w:tcPr>
            <w:tcW w:w="1181" w:type="dxa"/>
            <w:tcBorders>
              <w:top w:val="nil"/>
              <w:left w:val="nil"/>
              <w:bottom w:val="single" w:sz="4" w:space="0" w:color="auto"/>
              <w:right w:val="single" w:sz="4" w:space="0" w:color="auto"/>
            </w:tcBorders>
            <w:shd w:val="clear" w:color="auto" w:fill="auto"/>
            <w:noWrap/>
            <w:hideMark/>
          </w:tcPr>
          <w:p w14:paraId="49CEB022" w14:textId="77777777" w:rsidR="006F0BB0" w:rsidRPr="006F0BB0" w:rsidRDefault="006F0BB0" w:rsidP="007D1DBA">
            <w:pPr>
              <w:jc w:val="right"/>
              <w:rPr>
                <w:sz w:val="18"/>
                <w:szCs w:val="18"/>
                <w:lang w:val="es-419" w:eastAsia="es-419"/>
              </w:rPr>
            </w:pPr>
            <w:r w:rsidRPr="006F0BB0">
              <w:rPr>
                <w:sz w:val="18"/>
                <w:szCs w:val="18"/>
                <w:lang w:val="es-419" w:eastAsia="es-419"/>
              </w:rPr>
              <w:t>82,6%</w:t>
            </w:r>
          </w:p>
        </w:tc>
      </w:tr>
      <w:tr w:rsidR="006F0BB0" w:rsidRPr="006F0BB0" w14:paraId="649DD98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E018F0"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Trinidad y </w:t>
            </w:r>
            <w:proofErr w:type="spellStart"/>
            <w:r w:rsidRPr="006F0BB0">
              <w:rPr>
                <w:sz w:val="18"/>
                <w:szCs w:val="18"/>
                <w:lang w:val="es-419" w:eastAsia="es-419"/>
              </w:rPr>
              <w:t>Tabago</w:t>
            </w:r>
            <w:proofErr w:type="spellEnd"/>
          </w:p>
        </w:tc>
        <w:tc>
          <w:tcPr>
            <w:tcW w:w="950" w:type="dxa"/>
            <w:tcBorders>
              <w:top w:val="nil"/>
              <w:left w:val="nil"/>
              <w:bottom w:val="single" w:sz="4" w:space="0" w:color="auto"/>
              <w:right w:val="single" w:sz="4" w:space="0" w:color="auto"/>
            </w:tcBorders>
            <w:shd w:val="clear" w:color="auto" w:fill="auto"/>
            <w:noWrap/>
            <w:hideMark/>
          </w:tcPr>
          <w:p w14:paraId="7729A87E" w14:textId="77777777" w:rsidR="006F0BB0" w:rsidRPr="006F0BB0" w:rsidRDefault="006F0BB0" w:rsidP="007D1DBA">
            <w:pPr>
              <w:jc w:val="right"/>
              <w:rPr>
                <w:sz w:val="18"/>
                <w:szCs w:val="18"/>
                <w:lang w:val="es-419" w:eastAsia="es-419"/>
              </w:rPr>
            </w:pPr>
            <w:r w:rsidRPr="006F0BB0">
              <w:rPr>
                <w:sz w:val="18"/>
                <w:szCs w:val="18"/>
                <w:lang w:val="es-419" w:eastAsia="es-419"/>
              </w:rPr>
              <w:t>2 755 910</w:t>
            </w:r>
          </w:p>
        </w:tc>
        <w:tc>
          <w:tcPr>
            <w:tcW w:w="950" w:type="dxa"/>
            <w:tcBorders>
              <w:top w:val="nil"/>
              <w:left w:val="nil"/>
              <w:bottom w:val="single" w:sz="4" w:space="0" w:color="auto"/>
              <w:right w:val="single" w:sz="4" w:space="0" w:color="auto"/>
            </w:tcBorders>
            <w:shd w:val="clear" w:color="auto" w:fill="auto"/>
            <w:noWrap/>
            <w:hideMark/>
          </w:tcPr>
          <w:p w14:paraId="1431ECFA" w14:textId="77777777" w:rsidR="006F0BB0" w:rsidRPr="006F0BB0" w:rsidRDefault="006F0BB0" w:rsidP="007D1DBA">
            <w:pPr>
              <w:jc w:val="right"/>
              <w:rPr>
                <w:sz w:val="18"/>
                <w:szCs w:val="18"/>
                <w:lang w:val="es-419" w:eastAsia="es-419"/>
              </w:rPr>
            </w:pPr>
            <w:r w:rsidRPr="006F0BB0">
              <w:rPr>
                <w:sz w:val="18"/>
                <w:szCs w:val="18"/>
                <w:lang w:val="es-419" w:eastAsia="es-419"/>
              </w:rPr>
              <w:t>2 838 587</w:t>
            </w:r>
          </w:p>
        </w:tc>
        <w:tc>
          <w:tcPr>
            <w:tcW w:w="950" w:type="dxa"/>
            <w:tcBorders>
              <w:top w:val="nil"/>
              <w:left w:val="nil"/>
              <w:bottom w:val="single" w:sz="4" w:space="0" w:color="auto"/>
              <w:right w:val="single" w:sz="4" w:space="0" w:color="auto"/>
            </w:tcBorders>
            <w:shd w:val="clear" w:color="auto" w:fill="auto"/>
            <w:noWrap/>
            <w:hideMark/>
          </w:tcPr>
          <w:p w14:paraId="5A5CE865" w14:textId="77777777" w:rsidR="006F0BB0" w:rsidRPr="006F0BB0" w:rsidRDefault="006F0BB0" w:rsidP="007D1DBA">
            <w:pPr>
              <w:jc w:val="right"/>
              <w:rPr>
                <w:sz w:val="18"/>
                <w:szCs w:val="18"/>
                <w:lang w:val="es-419" w:eastAsia="es-419"/>
              </w:rPr>
            </w:pPr>
            <w:r w:rsidRPr="006F0BB0">
              <w:rPr>
                <w:sz w:val="18"/>
                <w:szCs w:val="18"/>
                <w:lang w:val="es-419" w:eastAsia="es-419"/>
              </w:rPr>
              <w:t>2 923 745</w:t>
            </w:r>
          </w:p>
        </w:tc>
        <w:tc>
          <w:tcPr>
            <w:tcW w:w="950" w:type="dxa"/>
            <w:tcBorders>
              <w:top w:val="nil"/>
              <w:left w:val="nil"/>
              <w:bottom w:val="single" w:sz="4" w:space="0" w:color="auto"/>
              <w:right w:val="single" w:sz="4" w:space="0" w:color="auto"/>
            </w:tcBorders>
            <w:shd w:val="clear" w:color="auto" w:fill="auto"/>
            <w:noWrap/>
            <w:hideMark/>
          </w:tcPr>
          <w:p w14:paraId="394C3FA9" w14:textId="77777777" w:rsidR="006F0BB0" w:rsidRPr="006F0BB0" w:rsidRDefault="006F0BB0" w:rsidP="007D1DBA">
            <w:pPr>
              <w:jc w:val="right"/>
              <w:rPr>
                <w:sz w:val="18"/>
                <w:szCs w:val="18"/>
                <w:lang w:val="es-419" w:eastAsia="es-419"/>
              </w:rPr>
            </w:pPr>
            <w:r w:rsidRPr="006F0BB0">
              <w:rPr>
                <w:sz w:val="18"/>
                <w:szCs w:val="18"/>
                <w:lang w:val="es-419" w:eastAsia="es-419"/>
              </w:rPr>
              <w:t>3 011 457</w:t>
            </w:r>
          </w:p>
        </w:tc>
        <w:tc>
          <w:tcPr>
            <w:tcW w:w="950" w:type="dxa"/>
            <w:tcBorders>
              <w:top w:val="nil"/>
              <w:left w:val="nil"/>
              <w:bottom w:val="single" w:sz="4" w:space="0" w:color="auto"/>
              <w:right w:val="single" w:sz="4" w:space="0" w:color="auto"/>
            </w:tcBorders>
            <w:shd w:val="clear" w:color="auto" w:fill="auto"/>
            <w:noWrap/>
            <w:hideMark/>
          </w:tcPr>
          <w:p w14:paraId="3D330F7C" w14:textId="77777777" w:rsidR="006F0BB0" w:rsidRPr="006F0BB0" w:rsidRDefault="006F0BB0" w:rsidP="007D1DBA">
            <w:pPr>
              <w:jc w:val="right"/>
              <w:rPr>
                <w:sz w:val="18"/>
                <w:szCs w:val="18"/>
                <w:lang w:val="es-419" w:eastAsia="es-419"/>
              </w:rPr>
            </w:pPr>
            <w:r w:rsidRPr="006F0BB0">
              <w:rPr>
                <w:sz w:val="18"/>
                <w:szCs w:val="18"/>
                <w:lang w:val="es-419" w:eastAsia="es-419"/>
              </w:rPr>
              <w:t>3 101 801</w:t>
            </w:r>
          </w:p>
        </w:tc>
        <w:tc>
          <w:tcPr>
            <w:tcW w:w="950" w:type="dxa"/>
            <w:tcBorders>
              <w:top w:val="nil"/>
              <w:left w:val="nil"/>
              <w:bottom w:val="single" w:sz="4" w:space="0" w:color="auto"/>
              <w:right w:val="single" w:sz="4" w:space="0" w:color="auto"/>
            </w:tcBorders>
            <w:shd w:val="clear" w:color="auto" w:fill="auto"/>
            <w:noWrap/>
            <w:hideMark/>
          </w:tcPr>
          <w:p w14:paraId="6AE5E0C2" w14:textId="77777777" w:rsidR="006F0BB0" w:rsidRPr="006F0BB0" w:rsidRDefault="006F0BB0" w:rsidP="007D1DBA">
            <w:pPr>
              <w:jc w:val="right"/>
              <w:rPr>
                <w:sz w:val="18"/>
                <w:szCs w:val="18"/>
                <w:lang w:val="es-419" w:eastAsia="es-419"/>
              </w:rPr>
            </w:pPr>
            <w:r w:rsidRPr="006F0BB0">
              <w:rPr>
                <w:sz w:val="18"/>
                <w:szCs w:val="18"/>
                <w:lang w:val="es-419" w:eastAsia="es-419"/>
              </w:rPr>
              <w:t>3 194 855</w:t>
            </w:r>
          </w:p>
        </w:tc>
        <w:tc>
          <w:tcPr>
            <w:tcW w:w="950" w:type="dxa"/>
            <w:tcBorders>
              <w:top w:val="nil"/>
              <w:left w:val="nil"/>
              <w:bottom w:val="single" w:sz="4" w:space="0" w:color="auto"/>
              <w:right w:val="single" w:sz="4" w:space="0" w:color="auto"/>
            </w:tcBorders>
            <w:shd w:val="clear" w:color="auto" w:fill="auto"/>
            <w:noWrap/>
            <w:hideMark/>
          </w:tcPr>
          <w:p w14:paraId="0FEC7514" w14:textId="77777777" w:rsidR="006F0BB0" w:rsidRPr="006F0BB0" w:rsidRDefault="006F0BB0" w:rsidP="007D1DBA">
            <w:pPr>
              <w:jc w:val="right"/>
              <w:rPr>
                <w:sz w:val="18"/>
                <w:szCs w:val="18"/>
                <w:lang w:val="es-419" w:eastAsia="es-419"/>
              </w:rPr>
            </w:pPr>
            <w:r w:rsidRPr="006F0BB0">
              <w:rPr>
                <w:sz w:val="18"/>
                <w:szCs w:val="18"/>
                <w:lang w:val="es-419" w:eastAsia="es-419"/>
              </w:rPr>
              <w:t>2 924 596</w:t>
            </w:r>
          </w:p>
        </w:tc>
        <w:tc>
          <w:tcPr>
            <w:tcW w:w="1005" w:type="dxa"/>
            <w:tcBorders>
              <w:top w:val="nil"/>
              <w:left w:val="nil"/>
              <w:bottom w:val="single" w:sz="4" w:space="0" w:color="auto"/>
              <w:right w:val="single" w:sz="4" w:space="0" w:color="auto"/>
            </w:tcBorders>
            <w:shd w:val="clear" w:color="auto" w:fill="auto"/>
            <w:noWrap/>
            <w:hideMark/>
          </w:tcPr>
          <w:p w14:paraId="7D544AD1" w14:textId="77777777" w:rsidR="006F0BB0" w:rsidRPr="006F0BB0" w:rsidRDefault="006F0BB0" w:rsidP="007D1DBA">
            <w:pPr>
              <w:jc w:val="right"/>
              <w:rPr>
                <w:sz w:val="18"/>
                <w:szCs w:val="18"/>
                <w:lang w:val="es-419" w:eastAsia="es-419"/>
              </w:rPr>
            </w:pPr>
            <w:r w:rsidRPr="006F0BB0">
              <w:rPr>
                <w:sz w:val="18"/>
                <w:szCs w:val="18"/>
                <w:lang w:val="es-419" w:eastAsia="es-419"/>
              </w:rPr>
              <w:t>3 855 307</w:t>
            </w:r>
          </w:p>
        </w:tc>
        <w:tc>
          <w:tcPr>
            <w:tcW w:w="1181" w:type="dxa"/>
            <w:tcBorders>
              <w:top w:val="nil"/>
              <w:left w:val="nil"/>
              <w:bottom w:val="single" w:sz="4" w:space="0" w:color="auto"/>
              <w:right w:val="single" w:sz="4" w:space="0" w:color="auto"/>
            </w:tcBorders>
            <w:shd w:val="clear" w:color="auto" w:fill="auto"/>
            <w:noWrap/>
            <w:hideMark/>
          </w:tcPr>
          <w:p w14:paraId="25C729DD" w14:textId="77777777" w:rsidR="006F0BB0" w:rsidRPr="006F0BB0" w:rsidRDefault="006F0BB0" w:rsidP="007D1DBA">
            <w:pPr>
              <w:jc w:val="right"/>
              <w:rPr>
                <w:sz w:val="18"/>
                <w:szCs w:val="18"/>
                <w:lang w:val="es-419" w:eastAsia="es-419"/>
              </w:rPr>
            </w:pPr>
            <w:r w:rsidRPr="006F0BB0">
              <w:rPr>
                <w:sz w:val="18"/>
                <w:szCs w:val="18"/>
                <w:lang w:val="es-419" w:eastAsia="es-419"/>
              </w:rPr>
              <w:t>82,9%</w:t>
            </w:r>
          </w:p>
        </w:tc>
      </w:tr>
      <w:tr w:rsidR="006F0BB0" w:rsidRPr="006F0BB0" w14:paraId="68DE53A3"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AEEC82" w14:textId="77777777" w:rsidR="006F0BB0" w:rsidRPr="006F0BB0" w:rsidRDefault="006F0BB0" w:rsidP="007D1DBA">
            <w:pPr>
              <w:jc w:val="left"/>
              <w:rPr>
                <w:sz w:val="18"/>
                <w:szCs w:val="18"/>
                <w:lang w:val="es-419" w:eastAsia="es-419"/>
              </w:rPr>
            </w:pPr>
            <w:r w:rsidRPr="006F0BB0">
              <w:rPr>
                <w:sz w:val="18"/>
                <w:szCs w:val="18"/>
                <w:lang w:val="es-419" w:eastAsia="es-419"/>
              </w:rPr>
              <w:t>Benín</w:t>
            </w:r>
          </w:p>
        </w:tc>
        <w:tc>
          <w:tcPr>
            <w:tcW w:w="950" w:type="dxa"/>
            <w:tcBorders>
              <w:top w:val="nil"/>
              <w:left w:val="nil"/>
              <w:bottom w:val="single" w:sz="4" w:space="0" w:color="auto"/>
              <w:right w:val="single" w:sz="4" w:space="0" w:color="auto"/>
            </w:tcBorders>
            <w:shd w:val="clear" w:color="auto" w:fill="auto"/>
            <w:noWrap/>
            <w:hideMark/>
          </w:tcPr>
          <w:p w14:paraId="4FB3F03F" w14:textId="77777777" w:rsidR="006F0BB0" w:rsidRPr="006F0BB0" w:rsidRDefault="006F0BB0" w:rsidP="007D1DBA">
            <w:pPr>
              <w:jc w:val="right"/>
              <w:rPr>
                <w:sz w:val="18"/>
                <w:szCs w:val="18"/>
                <w:lang w:val="es-419" w:eastAsia="es-419"/>
              </w:rPr>
            </w:pPr>
            <w:r w:rsidRPr="006F0BB0">
              <w:rPr>
                <w:sz w:val="18"/>
                <w:szCs w:val="18"/>
                <w:lang w:val="es-419" w:eastAsia="es-419"/>
              </w:rPr>
              <w:t>1 507 956</w:t>
            </w:r>
          </w:p>
        </w:tc>
        <w:tc>
          <w:tcPr>
            <w:tcW w:w="950" w:type="dxa"/>
            <w:tcBorders>
              <w:top w:val="nil"/>
              <w:left w:val="nil"/>
              <w:bottom w:val="single" w:sz="4" w:space="0" w:color="auto"/>
              <w:right w:val="single" w:sz="4" w:space="0" w:color="auto"/>
            </w:tcBorders>
            <w:shd w:val="clear" w:color="auto" w:fill="auto"/>
            <w:noWrap/>
            <w:hideMark/>
          </w:tcPr>
          <w:p w14:paraId="4514837E" w14:textId="77777777" w:rsidR="006F0BB0" w:rsidRPr="006F0BB0" w:rsidRDefault="006F0BB0" w:rsidP="007D1DBA">
            <w:pPr>
              <w:jc w:val="right"/>
              <w:rPr>
                <w:sz w:val="18"/>
                <w:szCs w:val="18"/>
                <w:lang w:val="es-419" w:eastAsia="es-419"/>
              </w:rPr>
            </w:pPr>
            <w:r w:rsidRPr="006F0BB0">
              <w:rPr>
                <w:sz w:val="18"/>
                <w:szCs w:val="18"/>
                <w:lang w:val="es-419" w:eastAsia="es-419"/>
              </w:rPr>
              <w:t>1 553 195</w:t>
            </w:r>
          </w:p>
        </w:tc>
        <w:tc>
          <w:tcPr>
            <w:tcW w:w="950" w:type="dxa"/>
            <w:tcBorders>
              <w:top w:val="nil"/>
              <w:left w:val="nil"/>
              <w:bottom w:val="single" w:sz="4" w:space="0" w:color="auto"/>
              <w:right w:val="single" w:sz="4" w:space="0" w:color="auto"/>
            </w:tcBorders>
            <w:shd w:val="clear" w:color="auto" w:fill="auto"/>
            <w:noWrap/>
            <w:hideMark/>
          </w:tcPr>
          <w:p w14:paraId="3F05541D" w14:textId="77777777" w:rsidR="006F0BB0" w:rsidRPr="006F0BB0" w:rsidRDefault="006F0BB0" w:rsidP="007D1DBA">
            <w:pPr>
              <w:jc w:val="right"/>
              <w:rPr>
                <w:sz w:val="18"/>
                <w:szCs w:val="18"/>
                <w:lang w:val="es-419" w:eastAsia="es-419"/>
              </w:rPr>
            </w:pPr>
            <w:r w:rsidRPr="006F0BB0">
              <w:rPr>
                <w:sz w:val="18"/>
                <w:szCs w:val="18"/>
                <w:lang w:val="es-419" w:eastAsia="es-419"/>
              </w:rPr>
              <w:t>1 599 791</w:t>
            </w:r>
          </w:p>
        </w:tc>
        <w:tc>
          <w:tcPr>
            <w:tcW w:w="950" w:type="dxa"/>
            <w:tcBorders>
              <w:top w:val="nil"/>
              <w:left w:val="nil"/>
              <w:bottom w:val="single" w:sz="4" w:space="0" w:color="auto"/>
              <w:right w:val="single" w:sz="4" w:space="0" w:color="auto"/>
            </w:tcBorders>
            <w:shd w:val="clear" w:color="auto" w:fill="auto"/>
            <w:noWrap/>
            <w:hideMark/>
          </w:tcPr>
          <w:p w14:paraId="4A78A01F" w14:textId="77777777" w:rsidR="006F0BB0" w:rsidRPr="006F0BB0" w:rsidRDefault="006F0BB0" w:rsidP="007D1DBA">
            <w:pPr>
              <w:jc w:val="right"/>
              <w:rPr>
                <w:sz w:val="18"/>
                <w:szCs w:val="18"/>
                <w:lang w:val="es-419" w:eastAsia="es-419"/>
              </w:rPr>
            </w:pPr>
            <w:r w:rsidRPr="006F0BB0">
              <w:rPr>
                <w:sz w:val="18"/>
                <w:szCs w:val="18"/>
                <w:lang w:val="es-419" w:eastAsia="es-419"/>
              </w:rPr>
              <w:t>1 647 784</w:t>
            </w:r>
          </w:p>
        </w:tc>
        <w:tc>
          <w:tcPr>
            <w:tcW w:w="950" w:type="dxa"/>
            <w:tcBorders>
              <w:top w:val="nil"/>
              <w:left w:val="nil"/>
              <w:bottom w:val="single" w:sz="4" w:space="0" w:color="auto"/>
              <w:right w:val="single" w:sz="4" w:space="0" w:color="auto"/>
            </w:tcBorders>
            <w:shd w:val="clear" w:color="auto" w:fill="auto"/>
            <w:noWrap/>
            <w:hideMark/>
          </w:tcPr>
          <w:p w14:paraId="10A398F6" w14:textId="77777777" w:rsidR="006F0BB0" w:rsidRPr="006F0BB0" w:rsidRDefault="006F0BB0" w:rsidP="007D1DBA">
            <w:pPr>
              <w:jc w:val="right"/>
              <w:rPr>
                <w:sz w:val="18"/>
                <w:szCs w:val="18"/>
                <w:lang w:val="es-419" w:eastAsia="es-419"/>
              </w:rPr>
            </w:pPr>
            <w:r w:rsidRPr="006F0BB0">
              <w:rPr>
                <w:sz w:val="18"/>
                <w:szCs w:val="18"/>
                <w:lang w:val="es-419" w:eastAsia="es-419"/>
              </w:rPr>
              <w:t>1 697 218</w:t>
            </w:r>
          </w:p>
        </w:tc>
        <w:tc>
          <w:tcPr>
            <w:tcW w:w="950" w:type="dxa"/>
            <w:tcBorders>
              <w:top w:val="nil"/>
              <w:left w:val="nil"/>
              <w:bottom w:val="single" w:sz="4" w:space="0" w:color="auto"/>
              <w:right w:val="single" w:sz="4" w:space="0" w:color="auto"/>
            </w:tcBorders>
            <w:shd w:val="clear" w:color="auto" w:fill="auto"/>
            <w:noWrap/>
            <w:hideMark/>
          </w:tcPr>
          <w:p w14:paraId="6F2FC4B8" w14:textId="77777777" w:rsidR="006F0BB0" w:rsidRPr="006F0BB0" w:rsidRDefault="006F0BB0" w:rsidP="007D1DBA">
            <w:pPr>
              <w:jc w:val="right"/>
              <w:rPr>
                <w:sz w:val="18"/>
                <w:szCs w:val="18"/>
                <w:lang w:val="es-419" w:eastAsia="es-419"/>
              </w:rPr>
            </w:pPr>
            <w:r w:rsidRPr="006F0BB0">
              <w:rPr>
                <w:sz w:val="18"/>
                <w:szCs w:val="18"/>
                <w:lang w:val="es-419" w:eastAsia="es-419"/>
              </w:rPr>
              <w:t>1 748 134</w:t>
            </w:r>
          </w:p>
        </w:tc>
        <w:tc>
          <w:tcPr>
            <w:tcW w:w="950" w:type="dxa"/>
            <w:tcBorders>
              <w:top w:val="nil"/>
              <w:left w:val="nil"/>
              <w:bottom w:val="single" w:sz="4" w:space="0" w:color="auto"/>
              <w:right w:val="single" w:sz="4" w:space="0" w:color="auto"/>
            </w:tcBorders>
            <w:shd w:val="clear" w:color="auto" w:fill="auto"/>
            <w:noWrap/>
            <w:hideMark/>
          </w:tcPr>
          <w:p w14:paraId="169ABF42" w14:textId="77777777" w:rsidR="006F0BB0" w:rsidRPr="006F0BB0" w:rsidRDefault="006F0BB0" w:rsidP="007D1DBA">
            <w:pPr>
              <w:jc w:val="right"/>
              <w:rPr>
                <w:sz w:val="18"/>
                <w:szCs w:val="18"/>
                <w:lang w:val="es-419" w:eastAsia="es-419"/>
              </w:rPr>
            </w:pPr>
            <w:r w:rsidRPr="006F0BB0">
              <w:rPr>
                <w:sz w:val="18"/>
                <w:szCs w:val="18"/>
                <w:lang w:val="es-419" w:eastAsia="es-419"/>
              </w:rPr>
              <w:t>1 600 256</w:t>
            </w:r>
          </w:p>
        </w:tc>
        <w:tc>
          <w:tcPr>
            <w:tcW w:w="1005" w:type="dxa"/>
            <w:tcBorders>
              <w:top w:val="nil"/>
              <w:left w:val="nil"/>
              <w:bottom w:val="single" w:sz="4" w:space="0" w:color="auto"/>
              <w:right w:val="single" w:sz="4" w:space="0" w:color="auto"/>
            </w:tcBorders>
            <w:shd w:val="clear" w:color="auto" w:fill="auto"/>
            <w:noWrap/>
            <w:hideMark/>
          </w:tcPr>
          <w:p w14:paraId="49A7F68E" w14:textId="77777777" w:rsidR="006F0BB0" w:rsidRPr="006F0BB0" w:rsidRDefault="006F0BB0" w:rsidP="007D1DBA">
            <w:pPr>
              <w:jc w:val="right"/>
              <w:rPr>
                <w:sz w:val="18"/>
                <w:szCs w:val="18"/>
                <w:lang w:val="es-419" w:eastAsia="es-419"/>
              </w:rPr>
            </w:pPr>
            <w:r w:rsidRPr="006F0BB0">
              <w:rPr>
                <w:sz w:val="18"/>
                <w:szCs w:val="18"/>
                <w:lang w:val="es-419" w:eastAsia="es-419"/>
              </w:rPr>
              <w:t>2 109 104</w:t>
            </w:r>
          </w:p>
        </w:tc>
        <w:tc>
          <w:tcPr>
            <w:tcW w:w="1181" w:type="dxa"/>
            <w:tcBorders>
              <w:top w:val="nil"/>
              <w:left w:val="nil"/>
              <w:bottom w:val="single" w:sz="4" w:space="0" w:color="auto"/>
              <w:right w:val="single" w:sz="4" w:space="0" w:color="auto"/>
            </w:tcBorders>
            <w:shd w:val="clear" w:color="auto" w:fill="auto"/>
            <w:noWrap/>
            <w:hideMark/>
          </w:tcPr>
          <w:p w14:paraId="4BAA8C89" w14:textId="77777777" w:rsidR="006F0BB0" w:rsidRPr="006F0BB0" w:rsidRDefault="006F0BB0" w:rsidP="007D1DBA">
            <w:pPr>
              <w:jc w:val="right"/>
              <w:rPr>
                <w:sz w:val="18"/>
                <w:szCs w:val="18"/>
                <w:lang w:val="es-419" w:eastAsia="es-419"/>
              </w:rPr>
            </w:pPr>
            <w:r w:rsidRPr="006F0BB0">
              <w:rPr>
                <w:sz w:val="18"/>
                <w:szCs w:val="18"/>
                <w:lang w:val="es-419" w:eastAsia="es-419"/>
              </w:rPr>
              <w:t>82,9%</w:t>
            </w:r>
          </w:p>
        </w:tc>
      </w:tr>
      <w:tr w:rsidR="006F0BB0" w:rsidRPr="006F0BB0" w14:paraId="673F722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3B7553" w14:textId="77777777" w:rsidR="006F0BB0" w:rsidRPr="006F0BB0" w:rsidRDefault="006F0BB0" w:rsidP="007D1DBA">
            <w:pPr>
              <w:jc w:val="left"/>
              <w:rPr>
                <w:sz w:val="18"/>
                <w:szCs w:val="18"/>
                <w:lang w:val="es-419" w:eastAsia="es-419"/>
              </w:rPr>
            </w:pPr>
            <w:r w:rsidRPr="006F0BB0">
              <w:rPr>
                <w:sz w:val="18"/>
                <w:szCs w:val="18"/>
                <w:lang w:val="es-419" w:eastAsia="es-419"/>
              </w:rPr>
              <w:t>Omán</w:t>
            </w:r>
          </w:p>
        </w:tc>
        <w:tc>
          <w:tcPr>
            <w:tcW w:w="950" w:type="dxa"/>
            <w:tcBorders>
              <w:top w:val="nil"/>
              <w:left w:val="nil"/>
              <w:bottom w:val="single" w:sz="4" w:space="0" w:color="auto"/>
              <w:right w:val="single" w:sz="4" w:space="0" w:color="auto"/>
            </w:tcBorders>
            <w:shd w:val="clear" w:color="auto" w:fill="auto"/>
            <w:noWrap/>
            <w:hideMark/>
          </w:tcPr>
          <w:p w14:paraId="6810B436" w14:textId="77777777" w:rsidR="006F0BB0" w:rsidRPr="006F0BB0" w:rsidRDefault="006F0BB0" w:rsidP="007D1DBA">
            <w:pPr>
              <w:jc w:val="right"/>
              <w:rPr>
                <w:sz w:val="18"/>
                <w:szCs w:val="18"/>
                <w:lang w:val="es-419" w:eastAsia="es-419"/>
              </w:rPr>
            </w:pPr>
            <w:r w:rsidRPr="006F0BB0">
              <w:rPr>
                <w:sz w:val="18"/>
                <w:szCs w:val="18"/>
                <w:lang w:val="es-419" w:eastAsia="es-419"/>
              </w:rPr>
              <w:t>1 988 072</w:t>
            </w:r>
          </w:p>
        </w:tc>
        <w:tc>
          <w:tcPr>
            <w:tcW w:w="950" w:type="dxa"/>
            <w:tcBorders>
              <w:top w:val="nil"/>
              <w:left w:val="nil"/>
              <w:bottom w:val="single" w:sz="4" w:space="0" w:color="auto"/>
              <w:right w:val="single" w:sz="4" w:space="0" w:color="auto"/>
            </w:tcBorders>
            <w:shd w:val="clear" w:color="auto" w:fill="auto"/>
            <w:noWrap/>
            <w:hideMark/>
          </w:tcPr>
          <w:p w14:paraId="63DE6B42" w14:textId="77777777" w:rsidR="006F0BB0" w:rsidRPr="006F0BB0" w:rsidRDefault="006F0BB0" w:rsidP="007D1DBA">
            <w:pPr>
              <w:jc w:val="right"/>
              <w:rPr>
                <w:sz w:val="18"/>
                <w:szCs w:val="18"/>
                <w:lang w:val="es-419" w:eastAsia="es-419"/>
              </w:rPr>
            </w:pPr>
            <w:r w:rsidRPr="006F0BB0">
              <w:rPr>
                <w:sz w:val="18"/>
                <w:szCs w:val="18"/>
                <w:lang w:val="es-419" w:eastAsia="es-419"/>
              </w:rPr>
              <w:t>2 047 714</w:t>
            </w:r>
          </w:p>
        </w:tc>
        <w:tc>
          <w:tcPr>
            <w:tcW w:w="950" w:type="dxa"/>
            <w:tcBorders>
              <w:top w:val="nil"/>
              <w:left w:val="nil"/>
              <w:bottom w:val="single" w:sz="4" w:space="0" w:color="auto"/>
              <w:right w:val="single" w:sz="4" w:space="0" w:color="auto"/>
            </w:tcBorders>
            <w:shd w:val="clear" w:color="auto" w:fill="auto"/>
            <w:noWrap/>
            <w:hideMark/>
          </w:tcPr>
          <w:p w14:paraId="66C5B58A" w14:textId="77777777" w:rsidR="006F0BB0" w:rsidRPr="006F0BB0" w:rsidRDefault="006F0BB0" w:rsidP="007D1DBA">
            <w:pPr>
              <w:jc w:val="right"/>
              <w:rPr>
                <w:sz w:val="18"/>
                <w:szCs w:val="18"/>
                <w:lang w:val="es-419" w:eastAsia="es-419"/>
              </w:rPr>
            </w:pPr>
            <w:r w:rsidRPr="006F0BB0">
              <w:rPr>
                <w:sz w:val="18"/>
                <w:szCs w:val="18"/>
                <w:lang w:val="es-419" w:eastAsia="es-419"/>
              </w:rPr>
              <w:t>2 109 146</w:t>
            </w:r>
          </w:p>
        </w:tc>
        <w:tc>
          <w:tcPr>
            <w:tcW w:w="950" w:type="dxa"/>
            <w:tcBorders>
              <w:top w:val="nil"/>
              <w:left w:val="nil"/>
              <w:bottom w:val="single" w:sz="4" w:space="0" w:color="auto"/>
              <w:right w:val="single" w:sz="4" w:space="0" w:color="auto"/>
            </w:tcBorders>
            <w:shd w:val="clear" w:color="auto" w:fill="auto"/>
            <w:noWrap/>
            <w:hideMark/>
          </w:tcPr>
          <w:p w14:paraId="49D264EB" w14:textId="77777777" w:rsidR="006F0BB0" w:rsidRPr="006F0BB0" w:rsidRDefault="006F0BB0" w:rsidP="007D1DBA">
            <w:pPr>
              <w:jc w:val="right"/>
              <w:rPr>
                <w:sz w:val="18"/>
                <w:szCs w:val="18"/>
                <w:lang w:val="es-419" w:eastAsia="es-419"/>
              </w:rPr>
            </w:pPr>
            <w:r w:rsidRPr="006F0BB0">
              <w:rPr>
                <w:sz w:val="18"/>
                <w:szCs w:val="18"/>
                <w:lang w:val="es-419" w:eastAsia="es-419"/>
              </w:rPr>
              <w:t>2 172 420</w:t>
            </w:r>
          </w:p>
        </w:tc>
        <w:tc>
          <w:tcPr>
            <w:tcW w:w="950" w:type="dxa"/>
            <w:tcBorders>
              <w:top w:val="nil"/>
              <w:left w:val="nil"/>
              <w:bottom w:val="single" w:sz="4" w:space="0" w:color="auto"/>
              <w:right w:val="single" w:sz="4" w:space="0" w:color="auto"/>
            </w:tcBorders>
            <w:shd w:val="clear" w:color="auto" w:fill="auto"/>
            <w:noWrap/>
            <w:hideMark/>
          </w:tcPr>
          <w:p w14:paraId="277679E4" w14:textId="77777777" w:rsidR="006F0BB0" w:rsidRPr="006F0BB0" w:rsidRDefault="006F0BB0" w:rsidP="007D1DBA">
            <w:pPr>
              <w:jc w:val="right"/>
              <w:rPr>
                <w:sz w:val="18"/>
                <w:szCs w:val="18"/>
                <w:lang w:val="es-419" w:eastAsia="es-419"/>
              </w:rPr>
            </w:pPr>
            <w:r w:rsidRPr="006F0BB0">
              <w:rPr>
                <w:sz w:val="18"/>
                <w:szCs w:val="18"/>
                <w:lang w:val="es-419" w:eastAsia="es-419"/>
              </w:rPr>
              <w:t>2 237 593</w:t>
            </w:r>
          </w:p>
        </w:tc>
        <w:tc>
          <w:tcPr>
            <w:tcW w:w="950" w:type="dxa"/>
            <w:tcBorders>
              <w:top w:val="nil"/>
              <w:left w:val="nil"/>
              <w:bottom w:val="single" w:sz="4" w:space="0" w:color="auto"/>
              <w:right w:val="single" w:sz="4" w:space="0" w:color="auto"/>
            </w:tcBorders>
            <w:shd w:val="clear" w:color="auto" w:fill="auto"/>
            <w:noWrap/>
            <w:hideMark/>
          </w:tcPr>
          <w:p w14:paraId="072EF699" w14:textId="77777777" w:rsidR="006F0BB0" w:rsidRPr="006F0BB0" w:rsidRDefault="006F0BB0" w:rsidP="007D1DBA">
            <w:pPr>
              <w:jc w:val="right"/>
              <w:rPr>
                <w:sz w:val="18"/>
                <w:szCs w:val="18"/>
                <w:lang w:val="es-419" w:eastAsia="es-419"/>
              </w:rPr>
            </w:pPr>
            <w:r w:rsidRPr="006F0BB0">
              <w:rPr>
                <w:sz w:val="18"/>
                <w:szCs w:val="18"/>
                <w:lang w:val="es-419" w:eastAsia="es-419"/>
              </w:rPr>
              <w:t>2 304 720</w:t>
            </w:r>
          </w:p>
        </w:tc>
        <w:tc>
          <w:tcPr>
            <w:tcW w:w="950" w:type="dxa"/>
            <w:tcBorders>
              <w:top w:val="nil"/>
              <w:left w:val="nil"/>
              <w:bottom w:val="single" w:sz="4" w:space="0" w:color="auto"/>
              <w:right w:val="single" w:sz="4" w:space="0" w:color="auto"/>
            </w:tcBorders>
            <w:shd w:val="clear" w:color="auto" w:fill="auto"/>
            <w:noWrap/>
            <w:hideMark/>
          </w:tcPr>
          <w:p w14:paraId="2FB70C19" w14:textId="77777777" w:rsidR="006F0BB0" w:rsidRPr="006F0BB0" w:rsidRDefault="006F0BB0" w:rsidP="007D1DBA">
            <w:pPr>
              <w:jc w:val="right"/>
              <w:rPr>
                <w:sz w:val="18"/>
                <w:szCs w:val="18"/>
                <w:lang w:val="es-419" w:eastAsia="es-419"/>
              </w:rPr>
            </w:pPr>
            <w:r w:rsidRPr="006F0BB0">
              <w:rPr>
                <w:sz w:val="18"/>
                <w:szCs w:val="18"/>
                <w:lang w:val="es-419" w:eastAsia="es-419"/>
              </w:rPr>
              <w:t>2 109 760</w:t>
            </w:r>
          </w:p>
        </w:tc>
        <w:tc>
          <w:tcPr>
            <w:tcW w:w="1005" w:type="dxa"/>
            <w:tcBorders>
              <w:top w:val="nil"/>
              <w:left w:val="nil"/>
              <w:bottom w:val="single" w:sz="4" w:space="0" w:color="auto"/>
              <w:right w:val="single" w:sz="4" w:space="0" w:color="auto"/>
            </w:tcBorders>
            <w:shd w:val="clear" w:color="auto" w:fill="auto"/>
            <w:noWrap/>
            <w:hideMark/>
          </w:tcPr>
          <w:p w14:paraId="1C57DD9F" w14:textId="77777777" w:rsidR="006F0BB0" w:rsidRPr="006F0BB0" w:rsidRDefault="006F0BB0" w:rsidP="007D1DBA">
            <w:pPr>
              <w:jc w:val="right"/>
              <w:rPr>
                <w:sz w:val="18"/>
                <w:szCs w:val="18"/>
                <w:lang w:val="es-419" w:eastAsia="es-419"/>
              </w:rPr>
            </w:pPr>
            <w:r w:rsidRPr="006F0BB0">
              <w:rPr>
                <w:sz w:val="18"/>
                <w:szCs w:val="18"/>
                <w:lang w:val="es-419" w:eastAsia="es-419"/>
              </w:rPr>
              <w:t>2 765 083</w:t>
            </w:r>
          </w:p>
        </w:tc>
        <w:tc>
          <w:tcPr>
            <w:tcW w:w="1181" w:type="dxa"/>
            <w:tcBorders>
              <w:top w:val="nil"/>
              <w:left w:val="nil"/>
              <w:bottom w:val="single" w:sz="4" w:space="0" w:color="auto"/>
              <w:right w:val="single" w:sz="4" w:space="0" w:color="auto"/>
            </w:tcBorders>
            <w:shd w:val="clear" w:color="auto" w:fill="auto"/>
            <w:noWrap/>
            <w:hideMark/>
          </w:tcPr>
          <w:p w14:paraId="71DDDBA0" w14:textId="77777777" w:rsidR="006F0BB0" w:rsidRPr="006F0BB0" w:rsidRDefault="006F0BB0" w:rsidP="007D1DBA">
            <w:pPr>
              <w:jc w:val="right"/>
              <w:rPr>
                <w:sz w:val="18"/>
                <w:szCs w:val="18"/>
                <w:lang w:val="es-419" w:eastAsia="es-419"/>
              </w:rPr>
            </w:pPr>
            <w:r w:rsidRPr="006F0BB0">
              <w:rPr>
                <w:sz w:val="18"/>
                <w:szCs w:val="18"/>
                <w:lang w:val="es-419" w:eastAsia="es-419"/>
              </w:rPr>
              <w:t>83,4%</w:t>
            </w:r>
          </w:p>
        </w:tc>
      </w:tr>
      <w:tr w:rsidR="006F0BB0" w:rsidRPr="006F0BB0" w14:paraId="62E5A23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0BF54E"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Suriname</w:t>
            </w:r>
            <w:proofErr w:type="spellEnd"/>
          </w:p>
        </w:tc>
        <w:tc>
          <w:tcPr>
            <w:tcW w:w="950" w:type="dxa"/>
            <w:tcBorders>
              <w:top w:val="nil"/>
              <w:left w:val="nil"/>
              <w:bottom w:val="single" w:sz="4" w:space="0" w:color="auto"/>
              <w:right w:val="single" w:sz="4" w:space="0" w:color="auto"/>
            </w:tcBorders>
            <w:shd w:val="clear" w:color="auto" w:fill="auto"/>
            <w:noWrap/>
            <w:hideMark/>
          </w:tcPr>
          <w:p w14:paraId="4DCE535A" w14:textId="77777777" w:rsidR="006F0BB0" w:rsidRPr="006F0BB0" w:rsidRDefault="006F0BB0" w:rsidP="007D1DBA">
            <w:pPr>
              <w:jc w:val="right"/>
              <w:rPr>
                <w:sz w:val="18"/>
                <w:szCs w:val="18"/>
                <w:lang w:val="es-419" w:eastAsia="es-419"/>
              </w:rPr>
            </w:pPr>
            <w:r w:rsidRPr="006F0BB0">
              <w:rPr>
                <w:sz w:val="18"/>
                <w:szCs w:val="18"/>
                <w:lang w:val="es-419" w:eastAsia="es-419"/>
              </w:rPr>
              <w:t>132 696</w:t>
            </w:r>
          </w:p>
        </w:tc>
        <w:tc>
          <w:tcPr>
            <w:tcW w:w="950" w:type="dxa"/>
            <w:tcBorders>
              <w:top w:val="nil"/>
              <w:left w:val="nil"/>
              <w:bottom w:val="single" w:sz="4" w:space="0" w:color="auto"/>
              <w:right w:val="single" w:sz="4" w:space="0" w:color="auto"/>
            </w:tcBorders>
            <w:shd w:val="clear" w:color="auto" w:fill="auto"/>
            <w:noWrap/>
            <w:hideMark/>
          </w:tcPr>
          <w:p w14:paraId="7F608F5D" w14:textId="77777777" w:rsidR="006F0BB0" w:rsidRPr="006F0BB0" w:rsidRDefault="006F0BB0" w:rsidP="007D1DBA">
            <w:pPr>
              <w:jc w:val="right"/>
              <w:rPr>
                <w:sz w:val="18"/>
                <w:szCs w:val="18"/>
                <w:lang w:val="es-419" w:eastAsia="es-419"/>
              </w:rPr>
            </w:pPr>
            <w:r w:rsidRPr="006F0BB0">
              <w:rPr>
                <w:sz w:val="18"/>
                <w:szCs w:val="18"/>
                <w:lang w:val="es-419" w:eastAsia="es-419"/>
              </w:rPr>
              <w:t>136 677</w:t>
            </w:r>
          </w:p>
        </w:tc>
        <w:tc>
          <w:tcPr>
            <w:tcW w:w="950" w:type="dxa"/>
            <w:tcBorders>
              <w:top w:val="nil"/>
              <w:left w:val="nil"/>
              <w:bottom w:val="single" w:sz="4" w:space="0" w:color="auto"/>
              <w:right w:val="single" w:sz="4" w:space="0" w:color="auto"/>
            </w:tcBorders>
            <w:shd w:val="clear" w:color="auto" w:fill="auto"/>
            <w:noWrap/>
            <w:hideMark/>
          </w:tcPr>
          <w:p w14:paraId="3668E3AA" w14:textId="77777777" w:rsidR="006F0BB0" w:rsidRPr="006F0BB0" w:rsidRDefault="006F0BB0" w:rsidP="007D1DBA">
            <w:pPr>
              <w:jc w:val="right"/>
              <w:rPr>
                <w:sz w:val="18"/>
                <w:szCs w:val="18"/>
                <w:lang w:val="es-419" w:eastAsia="es-419"/>
              </w:rPr>
            </w:pPr>
            <w:r w:rsidRPr="006F0BB0">
              <w:rPr>
                <w:sz w:val="18"/>
                <w:szCs w:val="18"/>
                <w:lang w:val="es-419" w:eastAsia="es-419"/>
              </w:rPr>
              <w:t>140 777</w:t>
            </w:r>
          </w:p>
        </w:tc>
        <w:tc>
          <w:tcPr>
            <w:tcW w:w="950" w:type="dxa"/>
            <w:tcBorders>
              <w:top w:val="nil"/>
              <w:left w:val="nil"/>
              <w:bottom w:val="single" w:sz="4" w:space="0" w:color="auto"/>
              <w:right w:val="single" w:sz="4" w:space="0" w:color="auto"/>
            </w:tcBorders>
            <w:shd w:val="clear" w:color="auto" w:fill="auto"/>
            <w:noWrap/>
            <w:hideMark/>
          </w:tcPr>
          <w:p w14:paraId="70F2B46A" w14:textId="77777777" w:rsidR="006F0BB0" w:rsidRPr="006F0BB0" w:rsidRDefault="006F0BB0" w:rsidP="007D1DBA">
            <w:pPr>
              <w:jc w:val="right"/>
              <w:rPr>
                <w:sz w:val="18"/>
                <w:szCs w:val="18"/>
                <w:lang w:val="es-419" w:eastAsia="es-419"/>
              </w:rPr>
            </w:pPr>
            <w:r w:rsidRPr="006F0BB0">
              <w:rPr>
                <w:sz w:val="18"/>
                <w:szCs w:val="18"/>
                <w:lang w:val="es-419" w:eastAsia="es-419"/>
              </w:rPr>
              <w:t>145 001</w:t>
            </w:r>
          </w:p>
        </w:tc>
        <w:tc>
          <w:tcPr>
            <w:tcW w:w="950" w:type="dxa"/>
            <w:tcBorders>
              <w:top w:val="nil"/>
              <w:left w:val="nil"/>
              <w:bottom w:val="single" w:sz="4" w:space="0" w:color="auto"/>
              <w:right w:val="single" w:sz="4" w:space="0" w:color="auto"/>
            </w:tcBorders>
            <w:shd w:val="clear" w:color="auto" w:fill="auto"/>
            <w:noWrap/>
            <w:hideMark/>
          </w:tcPr>
          <w:p w14:paraId="2A004789" w14:textId="77777777" w:rsidR="006F0BB0" w:rsidRPr="006F0BB0" w:rsidRDefault="006F0BB0" w:rsidP="007D1DBA">
            <w:pPr>
              <w:jc w:val="right"/>
              <w:rPr>
                <w:sz w:val="18"/>
                <w:szCs w:val="18"/>
                <w:lang w:val="es-419" w:eastAsia="es-419"/>
              </w:rPr>
            </w:pPr>
            <w:r w:rsidRPr="006F0BB0">
              <w:rPr>
                <w:sz w:val="18"/>
                <w:szCs w:val="18"/>
                <w:lang w:val="es-419" w:eastAsia="es-419"/>
              </w:rPr>
              <w:t>149 351</w:t>
            </w:r>
          </w:p>
        </w:tc>
        <w:tc>
          <w:tcPr>
            <w:tcW w:w="950" w:type="dxa"/>
            <w:tcBorders>
              <w:top w:val="nil"/>
              <w:left w:val="nil"/>
              <w:bottom w:val="single" w:sz="4" w:space="0" w:color="auto"/>
              <w:right w:val="single" w:sz="4" w:space="0" w:color="auto"/>
            </w:tcBorders>
            <w:shd w:val="clear" w:color="auto" w:fill="auto"/>
            <w:noWrap/>
            <w:hideMark/>
          </w:tcPr>
          <w:p w14:paraId="67C52484" w14:textId="77777777" w:rsidR="006F0BB0" w:rsidRPr="006F0BB0" w:rsidRDefault="006F0BB0" w:rsidP="007D1DBA">
            <w:pPr>
              <w:jc w:val="right"/>
              <w:rPr>
                <w:sz w:val="18"/>
                <w:szCs w:val="18"/>
                <w:lang w:val="es-419" w:eastAsia="es-419"/>
              </w:rPr>
            </w:pPr>
            <w:r w:rsidRPr="006F0BB0">
              <w:rPr>
                <w:sz w:val="18"/>
                <w:szCs w:val="18"/>
                <w:lang w:val="es-419" w:eastAsia="es-419"/>
              </w:rPr>
              <w:t>153 831</w:t>
            </w:r>
          </w:p>
        </w:tc>
        <w:tc>
          <w:tcPr>
            <w:tcW w:w="950" w:type="dxa"/>
            <w:tcBorders>
              <w:top w:val="nil"/>
              <w:left w:val="nil"/>
              <w:bottom w:val="single" w:sz="4" w:space="0" w:color="auto"/>
              <w:right w:val="single" w:sz="4" w:space="0" w:color="auto"/>
            </w:tcBorders>
            <w:shd w:val="clear" w:color="auto" w:fill="auto"/>
            <w:noWrap/>
            <w:hideMark/>
          </w:tcPr>
          <w:p w14:paraId="1116BC50" w14:textId="77777777" w:rsidR="006F0BB0" w:rsidRPr="006F0BB0" w:rsidRDefault="006F0BB0" w:rsidP="007D1DBA">
            <w:pPr>
              <w:jc w:val="right"/>
              <w:rPr>
                <w:sz w:val="18"/>
                <w:szCs w:val="18"/>
                <w:lang w:val="es-419" w:eastAsia="es-419"/>
              </w:rPr>
            </w:pPr>
            <w:r w:rsidRPr="006F0BB0">
              <w:rPr>
                <w:sz w:val="18"/>
                <w:szCs w:val="18"/>
                <w:lang w:val="es-419" w:eastAsia="es-419"/>
              </w:rPr>
              <w:t>140 818</w:t>
            </w:r>
          </w:p>
        </w:tc>
        <w:tc>
          <w:tcPr>
            <w:tcW w:w="1005" w:type="dxa"/>
            <w:tcBorders>
              <w:top w:val="nil"/>
              <w:left w:val="nil"/>
              <w:bottom w:val="single" w:sz="4" w:space="0" w:color="auto"/>
              <w:right w:val="single" w:sz="4" w:space="0" w:color="auto"/>
            </w:tcBorders>
            <w:shd w:val="clear" w:color="auto" w:fill="auto"/>
            <w:noWrap/>
            <w:hideMark/>
          </w:tcPr>
          <w:p w14:paraId="3043132B" w14:textId="77777777" w:rsidR="006F0BB0" w:rsidRPr="006F0BB0" w:rsidRDefault="006F0BB0" w:rsidP="007D1DBA">
            <w:pPr>
              <w:jc w:val="right"/>
              <w:rPr>
                <w:sz w:val="18"/>
                <w:szCs w:val="18"/>
                <w:lang w:val="es-419" w:eastAsia="es-419"/>
              </w:rPr>
            </w:pPr>
            <w:r w:rsidRPr="006F0BB0">
              <w:rPr>
                <w:sz w:val="18"/>
                <w:szCs w:val="18"/>
                <w:lang w:val="es-419" w:eastAsia="es-419"/>
              </w:rPr>
              <w:t>183 211</w:t>
            </w:r>
          </w:p>
        </w:tc>
        <w:tc>
          <w:tcPr>
            <w:tcW w:w="1181" w:type="dxa"/>
            <w:tcBorders>
              <w:top w:val="nil"/>
              <w:left w:val="nil"/>
              <w:bottom w:val="single" w:sz="4" w:space="0" w:color="auto"/>
              <w:right w:val="single" w:sz="4" w:space="0" w:color="auto"/>
            </w:tcBorders>
            <w:shd w:val="clear" w:color="auto" w:fill="auto"/>
            <w:noWrap/>
            <w:hideMark/>
          </w:tcPr>
          <w:p w14:paraId="184324C0" w14:textId="77777777" w:rsidR="006F0BB0" w:rsidRPr="006F0BB0" w:rsidRDefault="006F0BB0" w:rsidP="007D1DBA">
            <w:pPr>
              <w:jc w:val="right"/>
              <w:rPr>
                <w:sz w:val="18"/>
                <w:szCs w:val="18"/>
                <w:lang w:val="es-419" w:eastAsia="es-419"/>
              </w:rPr>
            </w:pPr>
            <w:r w:rsidRPr="006F0BB0">
              <w:rPr>
                <w:sz w:val="18"/>
                <w:szCs w:val="18"/>
                <w:lang w:val="es-419" w:eastAsia="es-419"/>
              </w:rPr>
              <w:t>84,0%</w:t>
            </w:r>
          </w:p>
        </w:tc>
      </w:tr>
      <w:tr w:rsidR="006F0BB0" w:rsidRPr="006F0BB0" w14:paraId="5BFADB9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8C9789" w14:textId="77777777" w:rsidR="006F0BB0" w:rsidRPr="006F0BB0" w:rsidRDefault="006F0BB0" w:rsidP="007D1DBA">
            <w:pPr>
              <w:jc w:val="left"/>
              <w:rPr>
                <w:sz w:val="18"/>
                <w:szCs w:val="18"/>
                <w:lang w:val="es-419" w:eastAsia="es-419"/>
              </w:rPr>
            </w:pPr>
            <w:r w:rsidRPr="006F0BB0">
              <w:rPr>
                <w:sz w:val="18"/>
                <w:szCs w:val="18"/>
                <w:lang w:val="es-419" w:eastAsia="es-419"/>
              </w:rPr>
              <w:t>Etiopía</w:t>
            </w:r>
          </w:p>
        </w:tc>
        <w:tc>
          <w:tcPr>
            <w:tcW w:w="950" w:type="dxa"/>
            <w:tcBorders>
              <w:top w:val="nil"/>
              <w:left w:val="nil"/>
              <w:bottom w:val="single" w:sz="4" w:space="0" w:color="auto"/>
              <w:right w:val="single" w:sz="4" w:space="0" w:color="auto"/>
            </w:tcBorders>
            <w:shd w:val="clear" w:color="auto" w:fill="auto"/>
            <w:noWrap/>
            <w:hideMark/>
          </w:tcPr>
          <w:p w14:paraId="129E12CD" w14:textId="77777777" w:rsidR="006F0BB0" w:rsidRPr="006F0BB0" w:rsidRDefault="006F0BB0" w:rsidP="007D1DBA">
            <w:pPr>
              <w:jc w:val="right"/>
              <w:rPr>
                <w:sz w:val="18"/>
                <w:szCs w:val="18"/>
                <w:lang w:val="es-419" w:eastAsia="es-419"/>
              </w:rPr>
            </w:pPr>
            <w:r w:rsidRPr="006F0BB0">
              <w:rPr>
                <w:sz w:val="18"/>
                <w:szCs w:val="18"/>
                <w:lang w:val="es-419" w:eastAsia="es-419"/>
              </w:rPr>
              <w:t>369 744</w:t>
            </w:r>
          </w:p>
        </w:tc>
        <w:tc>
          <w:tcPr>
            <w:tcW w:w="950" w:type="dxa"/>
            <w:tcBorders>
              <w:top w:val="nil"/>
              <w:left w:val="nil"/>
              <w:bottom w:val="single" w:sz="4" w:space="0" w:color="auto"/>
              <w:right w:val="single" w:sz="4" w:space="0" w:color="auto"/>
            </w:tcBorders>
            <w:shd w:val="clear" w:color="auto" w:fill="auto"/>
            <w:noWrap/>
            <w:hideMark/>
          </w:tcPr>
          <w:p w14:paraId="55440682" w14:textId="77777777" w:rsidR="006F0BB0" w:rsidRPr="006F0BB0" w:rsidRDefault="006F0BB0" w:rsidP="007D1DBA">
            <w:pPr>
              <w:jc w:val="right"/>
              <w:rPr>
                <w:sz w:val="18"/>
                <w:szCs w:val="18"/>
                <w:lang w:val="es-419" w:eastAsia="es-419"/>
              </w:rPr>
            </w:pPr>
            <w:r w:rsidRPr="006F0BB0">
              <w:rPr>
                <w:sz w:val="18"/>
                <w:szCs w:val="18"/>
                <w:lang w:val="es-419" w:eastAsia="es-419"/>
              </w:rPr>
              <w:t>380 836</w:t>
            </w:r>
          </w:p>
        </w:tc>
        <w:tc>
          <w:tcPr>
            <w:tcW w:w="950" w:type="dxa"/>
            <w:tcBorders>
              <w:top w:val="nil"/>
              <w:left w:val="nil"/>
              <w:bottom w:val="single" w:sz="4" w:space="0" w:color="auto"/>
              <w:right w:val="single" w:sz="4" w:space="0" w:color="auto"/>
            </w:tcBorders>
            <w:shd w:val="clear" w:color="auto" w:fill="auto"/>
            <w:noWrap/>
            <w:hideMark/>
          </w:tcPr>
          <w:p w14:paraId="2DBA805F" w14:textId="77777777" w:rsidR="006F0BB0" w:rsidRPr="006F0BB0" w:rsidRDefault="006F0BB0" w:rsidP="007D1DBA">
            <w:pPr>
              <w:jc w:val="right"/>
              <w:rPr>
                <w:sz w:val="18"/>
                <w:szCs w:val="18"/>
                <w:lang w:val="es-419" w:eastAsia="es-419"/>
              </w:rPr>
            </w:pPr>
            <w:r w:rsidRPr="006F0BB0">
              <w:rPr>
                <w:sz w:val="18"/>
                <w:szCs w:val="18"/>
                <w:lang w:val="es-419" w:eastAsia="es-419"/>
              </w:rPr>
              <w:t>392 261</w:t>
            </w:r>
          </w:p>
        </w:tc>
        <w:tc>
          <w:tcPr>
            <w:tcW w:w="950" w:type="dxa"/>
            <w:tcBorders>
              <w:top w:val="nil"/>
              <w:left w:val="nil"/>
              <w:bottom w:val="single" w:sz="4" w:space="0" w:color="auto"/>
              <w:right w:val="single" w:sz="4" w:space="0" w:color="auto"/>
            </w:tcBorders>
            <w:shd w:val="clear" w:color="auto" w:fill="auto"/>
            <w:noWrap/>
            <w:hideMark/>
          </w:tcPr>
          <w:p w14:paraId="66DB7980" w14:textId="77777777" w:rsidR="006F0BB0" w:rsidRPr="006F0BB0" w:rsidRDefault="006F0BB0" w:rsidP="007D1DBA">
            <w:pPr>
              <w:jc w:val="right"/>
              <w:rPr>
                <w:sz w:val="18"/>
                <w:szCs w:val="18"/>
                <w:lang w:val="es-419" w:eastAsia="es-419"/>
              </w:rPr>
            </w:pPr>
            <w:r w:rsidRPr="006F0BB0">
              <w:rPr>
                <w:sz w:val="18"/>
                <w:szCs w:val="18"/>
                <w:lang w:val="es-419" w:eastAsia="es-419"/>
              </w:rPr>
              <w:t>404 029</w:t>
            </w:r>
          </w:p>
        </w:tc>
        <w:tc>
          <w:tcPr>
            <w:tcW w:w="950" w:type="dxa"/>
            <w:tcBorders>
              <w:top w:val="nil"/>
              <w:left w:val="nil"/>
              <w:bottom w:val="single" w:sz="4" w:space="0" w:color="auto"/>
              <w:right w:val="single" w:sz="4" w:space="0" w:color="auto"/>
            </w:tcBorders>
            <w:shd w:val="clear" w:color="auto" w:fill="auto"/>
            <w:noWrap/>
            <w:hideMark/>
          </w:tcPr>
          <w:p w14:paraId="0CD11E29" w14:textId="77777777" w:rsidR="006F0BB0" w:rsidRPr="006F0BB0" w:rsidRDefault="006F0BB0" w:rsidP="007D1DBA">
            <w:pPr>
              <w:jc w:val="right"/>
              <w:rPr>
                <w:sz w:val="18"/>
                <w:szCs w:val="18"/>
                <w:lang w:val="es-419" w:eastAsia="es-419"/>
              </w:rPr>
            </w:pPr>
            <w:r w:rsidRPr="006F0BB0">
              <w:rPr>
                <w:sz w:val="18"/>
                <w:szCs w:val="18"/>
                <w:lang w:val="es-419" w:eastAsia="es-419"/>
              </w:rPr>
              <w:t>416 150</w:t>
            </w:r>
          </w:p>
        </w:tc>
        <w:tc>
          <w:tcPr>
            <w:tcW w:w="950" w:type="dxa"/>
            <w:tcBorders>
              <w:top w:val="nil"/>
              <w:left w:val="nil"/>
              <w:bottom w:val="single" w:sz="4" w:space="0" w:color="auto"/>
              <w:right w:val="single" w:sz="4" w:space="0" w:color="auto"/>
            </w:tcBorders>
            <w:shd w:val="clear" w:color="auto" w:fill="auto"/>
            <w:noWrap/>
            <w:hideMark/>
          </w:tcPr>
          <w:p w14:paraId="4D7ECBA2" w14:textId="77777777" w:rsidR="006F0BB0" w:rsidRPr="006F0BB0" w:rsidRDefault="006F0BB0" w:rsidP="007D1DBA">
            <w:pPr>
              <w:jc w:val="right"/>
              <w:rPr>
                <w:sz w:val="18"/>
                <w:szCs w:val="18"/>
                <w:lang w:val="es-419" w:eastAsia="es-419"/>
              </w:rPr>
            </w:pPr>
            <w:r w:rsidRPr="006F0BB0">
              <w:rPr>
                <w:sz w:val="18"/>
                <w:szCs w:val="18"/>
                <w:lang w:val="es-419" w:eastAsia="es-419"/>
              </w:rPr>
              <w:t>428 635</w:t>
            </w:r>
          </w:p>
        </w:tc>
        <w:tc>
          <w:tcPr>
            <w:tcW w:w="950" w:type="dxa"/>
            <w:tcBorders>
              <w:top w:val="nil"/>
              <w:left w:val="nil"/>
              <w:bottom w:val="single" w:sz="4" w:space="0" w:color="auto"/>
              <w:right w:val="single" w:sz="4" w:space="0" w:color="auto"/>
            </w:tcBorders>
            <w:shd w:val="clear" w:color="auto" w:fill="auto"/>
            <w:noWrap/>
            <w:hideMark/>
          </w:tcPr>
          <w:p w14:paraId="1456DD4C" w14:textId="77777777" w:rsidR="006F0BB0" w:rsidRPr="006F0BB0" w:rsidRDefault="006F0BB0" w:rsidP="007D1DBA">
            <w:pPr>
              <w:jc w:val="right"/>
              <w:rPr>
                <w:sz w:val="18"/>
                <w:szCs w:val="18"/>
                <w:lang w:val="es-419" w:eastAsia="es-419"/>
              </w:rPr>
            </w:pPr>
            <w:r w:rsidRPr="006F0BB0">
              <w:rPr>
                <w:sz w:val="18"/>
                <w:szCs w:val="18"/>
                <w:lang w:val="es-419" w:eastAsia="es-419"/>
              </w:rPr>
              <w:t>392 376</w:t>
            </w:r>
          </w:p>
        </w:tc>
        <w:tc>
          <w:tcPr>
            <w:tcW w:w="1005" w:type="dxa"/>
            <w:tcBorders>
              <w:top w:val="nil"/>
              <w:left w:val="nil"/>
              <w:bottom w:val="single" w:sz="4" w:space="0" w:color="auto"/>
              <w:right w:val="single" w:sz="4" w:space="0" w:color="auto"/>
            </w:tcBorders>
            <w:shd w:val="clear" w:color="auto" w:fill="auto"/>
            <w:noWrap/>
            <w:hideMark/>
          </w:tcPr>
          <w:p w14:paraId="63745F1C" w14:textId="77777777" w:rsidR="006F0BB0" w:rsidRPr="006F0BB0" w:rsidRDefault="006F0BB0" w:rsidP="007D1DBA">
            <w:pPr>
              <w:jc w:val="right"/>
              <w:rPr>
                <w:sz w:val="18"/>
                <w:szCs w:val="18"/>
                <w:lang w:val="es-419" w:eastAsia="es-419"/>
              </w:rPr>
            </w:pPr>
            <w:r w:rsidRPr="006F0BB0">
              <w:rPr>
                <w:sz w:val="18"/>
                <w:szCs w:val="18"/>
                <w:lang w:val="es-419" w:eastAsia="es-419"/>
              </w:rPr>
              <w:t>510 026</w:t>
            </w:r>
          </w:p>
        </w:tc>
        <w:tc>
          <w:tcPr>
            <w:tcW w:w="1181" w:type="dxa"/>
            <w:tcBorders>
              <w:top w:val="nil"/>
              <w:left w:val="nil"/>
              <w:bottom w:val="single" w:sz="4" w:space="0" w:color="auto"/>
              <w:right w:val="single" w:sz="4" w:space="0" w:color="auto"/>
            </w:tcBorders>
            <w:shd w:val="clear" w:color="auto" w:fill="auto"/>
            <w:noWrap/>
            <w:hideMark/>
          </w:tcPr>
          <w:p w14:paraId="02719F59" w14:textId="77777777" w:rsidR="006F0BB0" w:rsidRPr="006F0BB0" w:rsidRDefault="006F0BB0" w:rsidP="007D1DBA">
            <w:pPr>
              <w:jc w:val="right"/>
              <w:rPr>
                <w:sz w:val="18"/>
                <w:szCs w:val="18"/>
                <w:lang w:val="es-419" w:eastAsia="es-419"/>
              </w:rPr>
            </w:pPr>
            <w:r w:rsidRPr="006F0BB0">
              <w:rPr>
                <w:sz w:val="18"/>
                <w:szCs w:val="18"/>
                <w:lang w:val="es-419" w:eastAsia="es-419"/>
              </w:rPr>
              <w:t>84,0%</w:t>
            </w:r>
          </w:p>
        </w:tc>
      </w:tr>
      <w:tr w:rsidR="006F0BB0" w:rsidRPr="006F0BB0" w14:paraId="026C649F"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C63965" w14:textId="77777777" w:rsidR="006F0BB0" w:rsidRPr="006F0BB0" w:rsidRDefault="006F0BB0" w:rsidP="007D1DBA">
            <w:pPr>
              <w:jc w:val="left"/>
              <w:rPr>
                <w:sz w:val="18"/>
                <w:szCs w:val="18"/>
                <w:lang w:val="es-419" w:eastAsia="es-419"/>
              </w:rPr>
            </w:pPr>
            <w:r w:rsidRPr="006F0BB0">
              <w:rPr>
                <w:sz w:val="18"/>
                <w:szCs w:val="18"/>
                <w:lang w:val="es-419" w:eastAsia="es-419"/>
              </w:rPr>
              <w:t>Panamá</w:t>
            </w:r>
          </w:p>
        </w:tc>
        <w:tc>
          <w:tcPr>
            <w:tcW w:w="950" w:type="dxa"/>
            <w:tcBorders>
              <w:top w:val="nil"/>
              <w:left w:val="nil"/>
              <w:bottom w:val="single" w:sz="4" w:space="0" w:color="auto"/>
              <w:right w:val="single" w:sz="4" w:space="0" w:color="auto"/>
            </w:tcBorders>
            <w:shd w:val="clear" w:color="auto" w:fill="auto"/>
            <w:noWrap/>
            <w:hideMark/>
          </w:tcPr>
          <w:p w14:paraId="6C94C1DD" w14:textId="77777777" w:rsidR="006F0BB0" w:rsidRPr="006F0BB0" w:rsidRDefault="006F0BB0" w:rsidP="007D1DBA">
            <w:pPr>
              <w:jc w:val="right"/>
              <w:rPr>
                <w:sz w:val="18"/>
                <w:szCs w:val="18"/>
                <w:lang w:val="es-419" w:eastAsia="es-419"/>
              </w:rPr>
            </w:pPr>
            <w:r w:rsidRPr="006F0BB0">
              <w:rPr>
                <w:sz w:val="18"/>
                <w:szCs w:val="18"/>
                <w:lang w:val="es-419" w:eastAsia="es-419"/>
              </w:rPr>
              <w:t>1 565 901</w:t>
            </w:r>
          </w:p>
        </w:tc>
        <w:tc>
          <w:tcPr>
            <w:tcW w:w="950" w:type="dxa"/>
            <w:tcBorders>
              <w:top w:val="nil"/>
              <w:left w:val="nil"/>
              <w:bottom w:val="single" w:sz="4" w:space="0" w:color="auto"/>
              <w:right w:val="single" w:sz="4" w:space="0" w:color="auto"/>
            </w:tcBorders>
            <w:shd w:val="clear" w:color="auto" w:fill="auto"/>
            <w:noWrap/>
            <w:hideMark/>
          </w:tcPr>
          <w:p w14:paraId="21DE23E3" w14:textId="77777777" w:rsidR="006F0BB0" w:rsidRPr="006F0BB0" w:rsidRDefault="006F0BB0" w:rsidP="007D1DBA">
            <w:pPr>
              <w:jc w:val="right"/>
              <w:rPr>
                <w:sz w:val="18"/>
                <w:szCs w:val="18"/>
                <w:lang w:val="es-419" w:eastAsia="es-419"/>
              </w:rPr>
            </w:pPr>
            <w:r w:rsidRPr="006F0BB0">
              <w:rPr>
                <w:sz w:val="18"/>
                <w:szCs w:val="18"/>
                <w:lang w:val="es-419" w:eastAsia="es-419"/>
              </w:rPr>
              <w:t>1 612 878</w:t>
            </w:r>
          </w:p>
        </w:tc>
        <w:tc>
          <w:tcPr>
            <w:tcW w:w="950" w:type="dxa"/>
            <w:tcBorders>
              <w:top w:val="nil"/>
              <w:left w:val="nil"/>
              <w:bottom w:val="single" w:sz="4" w:space="0" w:color="auto"/>
              <w:right w:val="single" w:sz="4" w:space="0" w:color="auto"/>
            </w:tcBorders>
            <w:shd w:val="clear" w:color="auto" w:fill="auto"/>
            <w:noWrap/>
            <w:hideMark/>
          </w:tcPr>
          <w:p w14:paraId="621384D1" w14:textId="77777777" w:rsidR="006F0BB0" w:rsidRPr="006F0BB0" w:rsidRDefault="006F0BB0" w:rsidP="007D1DBA">
            <w:pPr>
              <w:jc w:val="right"/>
              <w:rPr>
                <w:sz w:val="18"/>
                <w:szCs w:val="18"/>
                <w:lang w:val="es-419" w:eastAsia="es-419"/>
              </w:rPr>
            </w:pPr>
            <w:r w:rsidRPr="006F0BB0">
              <w:rPr>
                <w:sz w:val="18"/>
                <w:szCs w:val="18"/>
                <w:lang w:val="es-419" w:eastAsia="es-419"/>
              </w:rPr>
              <w:t>1 661 264</w:t>
            </w:r>
          </w:p>
        </w:tc>
        <w:tc>
          <w:tcPr>
            <w:tcW w:w="950" w:type="dxa"/>
            <w:tcBorders>
              <w:top w:val="nil"/>
              <w:left w:val="nil"/>
              <w:bottom w:val="single" w:sz="4" w:space="0" w:color="auto"/>
              <w:right w:val="single" w:sz="4" w:space="0" w:color="auto"/>
            </w:tcBorders>
            <w:shd w:val="clear" w:color="auto" w:fill="auto"/>
            <w:noWrap/>
            <w:hideMark/>
          </w:tcPr>
          <w:p w14:paraId="21DB3F76" w14:textId="77777777" w:rsidR="006F0BB0" w:rsidRPr="006F0BB0" w:rsidRDefault="006F0BB0" w:rsidP="007D1DBA">
            <w:pPr>
              <w:jc w:val="right"/>
              <w:rPr>
                <w:sz w:val="18"/>
                <w:szCs w:val="18"/>
                <w:lang w:val="es-419" w:eastAsia="es-419"/>
              </w:rPr>
            </w:pPr>
            <w:r w:rsidRPr="006F0BB0">
              <w:rPr>
                <w:sz w:val="18"/>
                <w:szCs w:val="18"/>
                <w:lang w:val="es-419" w:eastAsia="es-419"/>
              </w:rPr>
              <w:t>1 711 102</w:t>
            </w:r>
          </w:p>
        </w:tc>
        <w:tc>
          <w:tcPr>
            <w:tcW w:w="950" w:type="dxa"/>
            <w:tcBorders>
              <w:top w:val="nil"/>
              <w:left w:val="nil"/>
              <w:bottom w:val="single" w:sz="4" w:space="0" w:color="auto"/>
              <w:right w:val="single" w:sz="4" w:space="0" w:color="auto"/>
            </w:tcBorders>
            <w:shd w:val="clear" w:color="auto" w:fill="auto"/>
            <w:noWrap/>
            <w:hideMark/>
          </w:tcPr>
          <w:p w14:paraId="731E5D2B" w14:textId="77777777" w:rsidR="006F0BB0" w:rsidRPr="006F0BB0" w:rsidRDefault="006F0BB0" w:rsidP="007D1DBA">
            <w:pPr>
              <w:jc w:val="right"/>
              <w:rPr>
                <w:sz w:val="18"/>
                <w:szCs w:val="18"/>
                <w:lang w:val="es-419" w:eastAsia="es-419"/>
              </w:rPr>
            </w:pPr>
            <w:r w:rsidRPr="006F0BB0">
              <w:rPr>
                <w:sz w:val="18"/>
                <w:szCs w:val="18"/>
                <w:lang w:val="es-419" w:eastAsia="es-419"/>
              </w:rPr>
              <w:t>1 762 435</w:t>
            </w:r>
          </w:p>
        </w:tc>
        <w:tc>
          <w:tcPr>
            <w:tcW w:w="950" w:type="dxa"/>
            <w:tcBorders>
              <w:top w:val="nil"/>
              <w:left w:val="nil"/>
              <w:bottom w:val="single" w:sz="4" w:space="0" w:color="auto"/>
              <w:right w:val="single" w:sz="4" w:space="0" w:color="auto"/>
            </w:tcBorders>
            <w:shd w:val="clear" w:color="auto" w:fill="auto"/>
            <w:noWrap/>
            <w:hideMark/>
          </w:tcPr>
          <w:p w14:paraId="6EE92983" w14:textId="77777777" w:rsidR="006F0BB0" w:rsidRPr="006F0BB0" w:rsidRDefault="006F0BB0" w:rsidP="007D1DBA">
            <w:pPr>
              <w:jc w:val="right"/>
              <w:rPr>
                <w:sz w:val="18"/>
                <w:szCs w:val="18"/>
                <w:lang w:val="es-419" w:eastAsia="es-419"/>
              </w:rPr>
            </w:pPr>
            <w:r w:rsidRPr="006F0BB0">
              <w:rPr>
                <w:sz w:val="18"/>
                <w:szCs w:val="18"/>
                <w:lang w:val="es-419" w:eastAsia="es-419"/>
              </w:rPr>
              <w:t>1 815 308</w:t>
            </w:r>
          </w:p>
        </w:tc>
        <w:tc>
          <w:tcPr>
            <w:tcW w:w="950" w:type="dxa"/>
            <w:tcBorders>
              <w:top w:val="nil"/>
              <w:left w:val="nil"/>
              <w:bottom w:val="single" w:sz="4" w:space="0" w:color="auto"/>
              <w:right w:val="single" w:sz="4" w:space="0" w:color="auto"/>
            </w:tcBorders>
            <w:shd w:val="clear" w:color="auto" w:fill="auto"/>
            <w:noWrap/>
            <w:hideMark/>
          </w:tcPr>
          <w:p w14:paraId="01EA8034" w14:textId="77777777" w:rsidR="006F0BB0" w:rsidRPr="006F0BB0" w:rsidRDefault="006F0BB0" w:rsidP="007D1DBA">
            <w:pPr>
              <w:jc w:val="right"/>
              <w:rPr>
                <w:sz w:val="18"/>
                <w:szCs w:val="18"/>
                <w:lang w:val="es-419" w:eastAsia="es-419"/>
              </w:rPr>
            </w:pPr>
            <w:r w:rsidRPr="006F0BB0">
              <w:rPr>
                <w:sz w:val="18"/>
                <w:szCs w:val="18"/>
                <w:lang w:val="es-419" w:eastAsia="es-419"/>
              </w:rPr>
              <w:t>1 661 748</w:t>
            </w:r>
          </w:p>
        </w:tc>
        <w:tc>
          <w:tcPr>
            <w:tcW w:w="1005" w:type="dxa"/>
            <w:tcBorders>
              <w:top w:val="nil"/>
              <w:left w:val="nil"/>
              <w:bottom w:val="single" w:sz="4" w:space="0" w:color="auto"/>
              <w:right w:val="single" w:sz="4" w:space="0" w:color="auto"/>
            </w:tcBorders>
            <w:shd w:val="clear" w:color="auto" w:fill="auto"/>
            <w:noWrap/>
            <w:hideMark/>
          </w:tcPr>
          <w:p w14:paraId="1C44F6E0" w14:textId="77777777" w:rsidR="006F0BB0" w:rsidRPr="006F0BB0" w:rsidRDefault="006F0BB0" w:rsidP="007D1DBA">
            <w:pPr>
              <w:jc w:val="right"/>
              <w:rPr>
                <w:sz w:val="18"/>
                <w:szCs w:val="18"/>
                <w:lang w:val="es-419" w:eastAsia="es-419"/>
              </w:rPr>
            </w:pPr>
            <w:r w:rsidRPr="006F0BB0">
              <w:rPr>
                <w:sz w:val="18"/>
                <w:szCs w:val="18"/>
                <w:lang w:val="es-419" w:eastAsia="es-419"/>
              </w:rPr>
              <w:t>2 151 340</w:t>
            </w:r>
          </w:p>
        </w:tc>
        <w:tc>
          <w:tcPr>
            <w:tcW w:w="1181" w:type="dxa"/>
            <w:tcBorders>
              <w:top w:val="nil"/>
              <w:left w:val="nil"/>
              <w:bottom w:val="single" w:sz="4" w:space="0" w:color="auto"/>
              <w:right w:val="single" w:sz="4" w:space="0" w:color="auto"/>
            </w:tcBorders>
            <w:shd w:val="clear" w:color="auto" w:fill="auto"/>
            <w:noWrap/>
            <w:hideMark/>
          </w:tcPr>
          <w:p w14:paraId="1CBFBAC2" w14:textId="77777777" w:rsidR="006F0BB0" w:rsidRPr="006F0BB0" w:rsidRDefault="006F0BB0" w:rsidP="007D1DBA">
            <w:pPr>
              <w:jc w:val="right"/>
              <w:rPr>
                <w:sz w:val="18"/>
                <w:szCs w:val="18"/>
                <w:lang w:val="es-419" w:eastAsia="es-419"/>
              </w:rPr>
            </w:pPr>
            <w:r w:rsidRPr="006F0BB0">
              <w:rPr>
                <w:sz w:val="18"/>
                <w:szCs w:val="18"/>
                <w:lang w:val="es-419" w:eastAsia="es-419"/>
              </w:rPr>
              <w:t>84,4%</w:t>
            </w:r>
          </w:p>
        </w:tc>
      </w:tr>
      <w:tr w:rsidR="006F0BB0" w:rsidRPr="006F0BB0" w14:paraId="1AED455A"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35CC776" w14:textId="77777777" w:rsidR="006F0BB0" w:rsidRPr="006F0BB0" w:rsidRDefault="006F0BB0" w:rsidP="007D1DBA">
            <w:pPr>
              <w:jc w:val="left"/>
              <w:rPr>
                <w:sz w:val="18"/>
                <w:szCs w:val="18"/>
                <w:lang w:val="es-419" w:eastAsia="es-419"/>
              </w:rPr>
            </w:pPr>
            <w:r w:rsidRPr="006F0BB0">
              <w:rPr>
                <w:sz w:val="18"/>
                <w:szCs w:val="18"/>
                <w:lang w:val="es-419" w:eastAsia="es-419"/>
              </w:rPr>
              <w:t>Filipinas</w:t>
            </w:r>
          </w:p>
        </w:tc>
        <w:tc>
          <w:tcPr>
            <w:tcW w:w="950" w:type="dxa"/>
            <w:tcBorders>
              <w:top w:val="nil"/>
              <w:left w:val="nil"/>
              <w:bottom w:val="single" w:sz="4" w:space="0" w:color="auto"/>
              <w:right w:val="single" w:sz="4" w:space="0" w:color="auto"/>
            </w:tcBorders>
            <w:shd w:val="clear" w:color="auto" w:fill="auto"/>
            <w:noWrap/>
            <w:hideMark/>
          </w:tcPr>
          <w:p w14:paraId="695CA6F9" w14:textId="77777777" w:rsidR="006F0BB0" w:rsidRPr="006F0BB0" w:rsidRDefault="006F0BB0" w:rsidP="007D1DBA">
            <w:pPr>
              <w:jc w:val="right"/>
              <w:rPr>
                <w:sz w:val="18"/>
                <w:szCs w:val="18"/>
                <w:lang w:val="es-419" w:eastAsia="es-419"/>
              </w:rPr>
            </w:pPr>
            <w:r w:rsidRPr="006F0BB0">
              <w:rPr>
                <w:sz w:val="18"/>
                <w:szCs w:val="18"/>
                <w:lang w:val="es-419" w:eastAsia="es-419"/>
              </w:rPr>
              <w:t>8 143 976</w:t>
            </w:r>
          </w:p>
        </w:tc>
        <w:tc>
          <w:tcPr>
            <w:tcW w:w="950" w:type="dxa"/>
            <w:tcBorders>
              <w:top w:val="nil"/>
              <w:left w:val="nil"/>
              <w:bottom w:val="single" w:sz="4" w:space="0" w:color="auto"/>
              <w:right w:val="single" w:sz="4" w:space="0" w:color="auto"/>
            </w:tcBorders>
            <w:shd w:val="clear" w:color="auto" w:fill="auto"/>
            <w:noWrap/>
            <w:hideMark/>
          </w:tcPr>
          <w:p w14:paraId="227E9CA3" w14:textId="77777777" w:rsidR="006F0BB0" w:rsidRPr="006F0BB0" w:rsidRDefault="006F0BB0" w:rsidP="007D1DBA">
            <w:pPr>
              <w:jc w:val="right"/>
              <w:rPr>
                <w:sz w:val="18"/>
                <w:szCs w:val="18"/>
                <w:lang w:val="es-419" w:eastAsia="es-419"/>
              </w:rPr>
            </w:pPr>
            <w:r w:rsidRPr="006F0BB0">
              <w:rPr>
                <w:sz w:val="18"/>
                <w:szCs w:val="18"/>
                <w:lang w:val="es-419" w:eastAsia="es-419"/>
              </w:rPr>
              <w:t>8 388 295</w:t>
            </w:r>
          </w:p>
        </w:tc>
        <w:tc>
          <w:tcPr>
            <w:tcW w:w="950" w:type="dxa"/>
            <w:tcBorders>
              <w:top w:val="nil"/>
              <w:left w:val="nil"/>
              <w:bottom w:val="single" w:sz="4" w:space="0" w:color="auto"/>
              <w:right w:val="single" w:sz="4" w:space="0" w:color="auto"/>
            </w:tcBorders>
            <w:shd w:val="clear" w:color="auto" w:fill="auto"/>
            <w:noWrap/>
            <w:hideMark/>
          </w:tcPr>
          <w:p w14:paraId="6E4BEE8E" w14:textId="77777777" w:rsidR="006F0BB0" w:rsidRPr="006F0BB0" w:rsidRDefault="006F0BB0" w:rsidP="007D1DBA">
            <w:pPr>
              <w:jc w:val="right"/>
              <w:rPr>
                <w:sz w:val="18"/>
                <w:szCs w:val="18"/>
                <w:lang w:val="es-419" w:eastAsia="es-419"/>
              </w:rPr>
            </w:pPr>
            <w:r w:rsidRPr="006F0BB0">
              <w:rPr>
                <w:sz w:val="18"/>
                <w:szCs w:val="18"/>
                <w:lang w:val="es-419" w:eastAsia="es-419"/>
              </w:rPr>
              <w:t>8 639 944</w:t>
            </w:r>
          </w:p>
        </w:tc>
        <w:tc>
          <w:tcPr>
            <w:tcW w:w="950" w:type="dxa"/>
            <w:tcBorders>
              <w:top w:val="nil"/>
              <w:left w:val="nil"/>
              <w:bottom w:val="single" w:sz="4" w:space="0" w:color="auto"/>
              <w:right w:val="single" w:sz="4" w:space="0" w:color="auto"/>
            </w:tcBorders>
            <w:shd w:val="clear" w:color="auto" w:fill="auto"/>
            <w:noWrap/>
            <w:hideMark/>
          </w:tcPr>
          <w:p w14:paraId="720BB984" w14:textId="77777777" w:rsidR="006F0BB0" w:rsidRPr="006F0BB0" w:rsidRDefault="006F0BB0" w:rsidP="007D1DBA">
            <w:pPr>
              <w:jc w:val="right"/>
              <w:rPr>
                <w:sz w:val="18"/>
                <w:szCs w:val="18"/>
                <w:lang w:val="es-419" w:eastAsia="es-419"/>
              </w:rPr>
            </w:pPr>
            <w:r w:rsidRPr="006F0BB0">
              <w:rPr>
                <w:sz w:val="18"/>
                <w:szCs w:val="18"/>
                <w:lang w:val="es-419" w:eastAsia="es-419"/>
              </w:rPr>
              <w:t>8 899 142</w:t>
            </w:r>
          </w:p>
        </w:tc>
        <w:tc>
          <w:tcPr>
            <w:tcW w:w="950" w:type="dxa"/>
            <w:tcBorders>
              <w:top w:val="nil"/>
              <w:left w:val="nil"/>
              <w:bottom w:val="single" w:sz="4" w:space="0" w:color="auto"/>
              <w:right w:val="single" w:sz="4" w:space="0" w:color="auto"/>
            </w:tcBorders>
            <w:shd w:val="clear" w:color="auto" w:fill="auto"/>
            <w:noWrap/>
            <w:hideMark/>
          </w:tcPr>
          <w:p w14:paraId="46D8E793" w14:textId="77777777" w:rsidR="006F0BB0" w:rsidRPr="006F0BB0" w:rsidRDefault="006F0BB0" w:rsidP="007D1DBA">
            <w:pPr>
              <w:jc w:val="right"/>
              <w:rPr>
                <w:sz w:val="18"/>
                <w:szCs w:val="18"/>
                <w:lang w:val="es-419" w:eastAsia="es-419"/>
              </w:rPr>
            </w:pPr>
            <w:r w:rsidRPr="006F0BB0">
              <w:rPr>
                <w:sz w:val="18"/>
                <w:szCs w:val="18"/>
                <w:lang w:val="es-419" w:eastAsia="es-419"/>
              </w:rPr>
              <w:t>9 166 117</w:t>
            </w:r>
          </w:p>
        </w:tc>
        <w:tc>
          <w:tcPr>
            <w:tcW w:w="950" w:type="dxa"/>
            <w:tcBorders>
              <w:top w:val="nil"/>
              <w:left w:val="nil"/>
              <w:bottom w:val="single" w:sz="4" w:space="0" w:color="auto"/>
              <w:right w:val="single" w:sz="4" w:space="0" w:color="auto"/>
            </w:tcBorders>
            <w:shd w:val="clear" w:color="auto" w:fill="auto"/>
            <w:noWrap/>
            <w:hideMark/>
          </w:tcPr>
          <w:p w14:paraId="0A38DE87" w14:textId="77777777" w:rsidR="006F0BB0" w:rsidRPr="006F0BB0" w:rsidRDefault="006F0BB0" w:rsidP="007D1DBA">
            <w:pPr>
              <w:jc w:val="right"/>
              <w:rPr>
                <w:sz w:val="18"/>
                <w:szCs w:val="18"/>
                <w:lang w:val="es-419" w:eastAsia="es-419"/>
              </w:rPr>
            </w:pPr>
            <w:r w:rsidRPr="006F0BB0">
              <w:rPr>
                <w:sz w:val="18"/>
                <w:szCs w:val="18"/>
                <w:lang w:val="es-419" w:eastAsia="es-419"/>
              </w:rPr>
              <w:t>9 441 100</w:t>
            </w:r>
          </w:p>
        </w:tc>
        <w:tc>
          <w:tcPr>
            <w:tcW w:w="950" w:type="dxa"/>
            <w:tcBorders>
              <w:top w:val="nil"/>
              <w:left w:val="nil"/>
              <w:bottom w:val="single" w:sz="4" w:space="0" w:color="auto"/>
              <w:right w:val="single" w:sz="4" w:space="0" w:color="auto"/>
            </w:tcBorders>
            <w:shd w:val="clear" w:color="auto" w:fill="auto"/>
            <w:noWrap/>
            <w:hideMark/>
          </w:tcPr>
          <w:p w14:paraId="42BD98A4" w14:textId="77777777" w:rsidR="006F0BB0" w:rsidRPr="006F0BB0" w:rsidRDefault="006F0BB0" w:rsidP="007D1DBA">
            <w:pPr>
              <w:jc w:val="right"/>
              <w:rPr>
                <w:sz w:val="18"/>
                <w:szCs w:val="18"/>
                <w:lang w:val="es-419" w:eastAsia="es-419"/>
              </w:rPr>
            </w:pPr>
            <w:r w:rsidRPr="006F0BB0">
              <w:rPr>
                <w:sz w:val="18"/>
                <w:szCs w:val="18"/>
                <w:lang w:val="es-419" w:eastAsia="es-419"/>
              </w:rPr>
              <w:t>8 642 461</w:t>
            </w:r>
          </w:p>
        </w:tc>
        <w:tc>
          <w:tcPr>
            <w:tcW w:w="1005" w:type="dxa"/>
            <w:tcBorders>
              <w:top w:val="nil"/>
              <w:left w:val="nil"/>
              <w:bottom w:val="single" w:sz="4" w:space="0" w:color="auto"/>
              <w:right w:val="single" w:sz="4" w:space="0" w:color="auto"/>
            </w:tcBorders>
            <w:shd w:val="clear" w:color="auto" w:fill="auto"/>
            <w:noWrap/>
            <w:hideMark/>
          </w:tcPr>
          <w:p w14:paraId="7E959CDF" w14:textId="77777777" w:rsidR="006F0BB0" w:rsidRPr="006F0BB0" w:rsidRDefault="006F0BB0" w:rsidP="007D1DBA">
            <w:pPr>
              <w:jc w:val="right"/>
              <w:rPr>
                <w:sz w:val="18"/>
                <w:szCs w:val="18"/>
                <w:lang w:val="es-419" w:eastAsia="es-419"/>
              </w:rPr>
            </w:pPr>
            <w:r w:rsidRPr="006F0BB0">
              <w:rPr>
                <w:sz w:val="18"/>
                <w:szCs w:val="18"/>
                <w:lang w:val="es-419" w:eastAsia="es-419"/>
              </w:rPr>
              <w:t>11 171 701</w:t>
            </w:r>
          </w:p>
        </w:tc>
        <w:tc>
          <w:tcPr>
            <w:tcW w:w="1181" w:type="dxa"/>
            <w:tcBorders>
              <w:top w:val="nil"/>
              <w:left w:val="nil"/>
              <w:bottom w:val="single" w:sz="4" w:space="0" w:color="auto"/>
              <w:right w:val="single" w:sz="4" w:space="0" w:color="auto"/>
            </w:tcBorders>
            <w:shd w:val="clear" w:color="auto" w:fill="auto"/>
            <w:noWrap/>
            <w:hideMark/>
          </w:tcPr>
          <w:p w14:paraId="4CB01A49" w14:textId="77777777" w:rsidR="006F0BB0" w:rsidRPr="006F0BB0" w:rsidRDefault="006F0BB0" w:rsidP="007D1DBA">
            <w:pPr>
              <w:jc w:val="right"/>
              <w:rPr>
                <w:sz w:val="18"/>
                <w:szCs w:val="18"/>
                <w:lang w:val="es-419" w:eastAsia="es-419"/>
              </w:rPr>
            </w:pPr>
            <w:r w:rsidRPr="006F0BB0">
              <w:rPr>
                <w:sz w:val="18"/>
                <w:szCs w:val="18"/>
                <w:lang w:val="es-419" w:eastAsia="es-419"/>
              </w:rPr>
              <w:t>84,5%</w:t>
            </w:r>
          </w:p>
        </w:tc>
      </w:tr>
      <w:tr w:rsidR="006F0BB0" w:rsidRPr="006F0BB0" w14:paraId="534DBEB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8A5794" w14:textId="77777777" w:rsidR="006F0BB0" w:rsidRPr="006F0BB0" w:rsidRDefault="006F0BB0" w:rsidP="007D1DBA">
            <w:pPr>
              <w:jc w:val="left"/>
              <w:rPr>
                <w:sz w:val="18"/>
                <w:szCs w:val="18"/>
                <w:lang w:val="es-419" w:eastAsia="es-419"/>
              </w:rPr>
            </w:pPr>
            <w:r w:rsidRPr="006F0BB0">
              <w:rPr>
                <w:sz w:val="18"/>
                <w:szCs w:val="18"/>
                <w:lang w:val="es-419" w:eastAsia="es-419"/>
              </w:rPr>
              <w:t>República Democrática Popular Lao</w:t>
            </w:r>
          </w:p>
        </w:tc>
        <w:tc>
          <w:tcPr>
            <w:tcW w:w="950" w:type="dxa"/>
            <w:tcBorders>
              <w:top w:val="nil"/>
              <w:left w:val="nil"/>
              <w:bottom w:val="single" w:sz="4" w:space="0" w:color="auto"/>
              <w:right w:val="single" w:sz="4" w:space="0" w:color="auto"/>
            </w:tcBorders>
            <w:shd w:val="clear" w:color="auto" w:fill="auto"/>
            <w:noWrap/>
            <w:hideMark/>
          </w:tcPr>
          <w:p w14:paraId="254E7FFD" w14:textId="77777777" w:rsidR="006F0BB0" w:rsidRPr="006F0BB0" w:rsidRDefault="006F0BB0" w:rsidP="007D1DBA">
            <w:pPr>
              <w:jc w:val="right"/>
              <w:rPr>
                <w:sz w:val="18"/>
                <w:szCs w:val="18"/>
                <w:lang w:val="es-419" w:eastAsia="es-419"/>
              </w:rPr>
            </w:pPr>
            <w:r w:rsidRPr="006F0BB0">
              <w:rPr>
                <w:sz w:val="18"/>
                <w:szCs w:val="18"/>
                <w:lang w:val="es-419" w:eastAsia="es-419"/>
              </w:rPr>
              <w:t>159 041</w:t>
            </w:r>
          </w:p>
        </w:tc>
        <w:tc>
          <w:tcPr>
            <w:tcW w:w="950" w:type="dxa"/>
            <w:tcBorders>
              <w:top w:val="nil"/>
              <w:left w:val="nil"/>
              <w:bottom w:val="single" w:sz="4" w:space="0" w:color="auto"/>
              <w:right w:val="single" w:sz="4" w:space="0" w:color="auto"/>
            </w:tcBorders>
            <w:shd w:val="clear" w:color="auto" w:fill="auto"/>
            <w:noWrap/>
            <w:hideMark/>
          </w:tcPr>
          <w:p w14:paraId="4F90E1BA" w14:textId="77777777" w:rsidR="006F0BB0" w:rsidRPr="006F0BB0" w:rsidRDefault="006F0BB0" w:rsidP="007D1DBA">
            <w:pPr>
              <w:jc w:val="right"/>
              <w:rPr>
                <w:sz w:val="18"/>
                <w:szCs w:val="18"/>
                <w:lang w:val="es-419" w:eastAsia="es-419"/>
              </w:rPr>
            </w:pPr>
            <w:r w:rsidRPr="006F0BB0">
              <w:rPr>
                <w:sz w:val="18"/>
                <w:szCs w:val="18"/>
                <w:lang w:val="es-419" w:eastAsia="es-419"/>
              </w:rPr>
              <w:t>163 812</w:t>
            </w:r>
          </w:p>
        </w:tc>
        <w:tc>
          <w:tcPr>
            <w:tcW w:w="950" w:type="dxa"/>
            <w:tcBorders>
              <w:top w:val="nil"/>
              <w:left w:val="nil"/>
              <w:bottom w:val="single" w:sz="4" w:space="0" w:color="auto"/>
              <w:right w:val="single" w:sz="4" w:space="0" w:color="auto"/>
            </w:tcBorders>
            <w:shd w:val="clear" w:color="auto" w:fill="auto"/>
            <w:noWrap/>
            <w:hideMark/>
          </w:tcPr>
          <w:p w14:paraId="04308E17" w14:textId="77777777" w:rsidR="006F0BB0" w:rsidRPr="006F0BB0" w:rsidRDefault="006F0BB0" w:rsidP="007D1DBA">
            <w:pPr>
              <w:jc w:val="right"/>
              <w:rPr>
                <w:sz w:val="18"/>
                <w:szCs w:val="18"/>
                <w:lang w:val="es-419" w:eastAsia="es-419"/>
              </w:rPr>
            </w:pPr>
            <w:r w:rsidRPr="006F0BB0">
              <w:rPr>
                <w:sz w:val="18"/>
                <w:szCs w:val="18"/>
                <w:lang w:val="es-419" w:eastAsia="es-419"/>
              </w:rPr>
              <w:t>168 727</w:t>
            </w:r>
          </w:p>
        </w:tc>
        <w:tc>
          <w:tcPr>
            <w:tcW w:w="950" w:type="dxa"/>
            <w:tcBorders>
              <w:top w:val="nil"/>
              <w:left w:val="nil"/>
              <w:bottom w:val="single" w:sz="4" w:space="0" w:color="auto"/>
              <w:right w:val="single" w:sz="4" w:space="0" w:color="auto"/>
            </w:tcBorders>
            <w:shd w:val="clear" w:color="auto" w:fill="auto"/>
            <w:noWrap/>
            <w:hideMark/>
          </w:tcPr>
          <w:p w14:paraId="55C7C2F3" w14:textId="77777777" w:rsidR="006F0BB0" w:rsidRPr="006F0BB0" w:rsidRDefault="006F0BB0" w:rsidP="007D1DBA">
            <w:pPr>
              <w:jc w:val="right"/>
              <w:rPr>
                <w:sz w:val="18"/>
                <w:szCs w:val="18"/>
                <w:lang w:val="es-419" w:eastAsia="es-419"/>
              </w:rPr>
            </w:pPr>
            <w:r w:rsidRPr="006F0BB0">
              <w:rPr>
                <w:sz w:val="18"/>
                <w:szCs w:val="18"/>
                <w:lang w:val="es-419" w:eastAsia="es-419"/>
              </w:rPr>
              <w:t>173 788</w:t>
            </w:r>
          </w:p>
        </w:tc>
        <w:tc>
          <w:tcPr>
            <w:tcW w:w="950" w:type="dxa"/>
            <w:tcBorders>
              <w:top w:val="nil"/>
              <w:left w:val="nil"/>
              <w:bottom w:val="single" w:sz="4" w:space="0" w:color="auto"/>
              <w:right w:val="single" w:sz="4" w:space="0" w:color="auto"/>
            </w:tcBorders>
            <w:shd w:val="clear" w:color="auto" w:fill="auto"/>
            <w:noWrap/>
            <w:hideMark/>
          </w:tcPr>
          <w:p w14:paraId="6B8EBFC3" w14:textId="77777777" w:rsidR="006F0BB0" w:rsidRPr="006F0BB0" w:rsidRDefault="006F0BB0" w:rsidP="007D1DBA">
            <w:pPr>
              <w:jc w:val="right"/>
              <w:rPr>
                <w:sz w:val="18"/>
                <w:szCs w:val="18"/>
                <w:lang w:val="es-419" w:eastAsia="es-419"/>
              </w:rPr>
            </w:pPr>
            <w:r w:rsidRPr="006F0BB0">
              <w:rPr>
                <w:sz w:val="18"/>
                <w:szCs w:val="18"/>
                <w:lang w:val="es-419" w:eastAsia="es-419"/>
              </w:rPr>
              <w:t>179 002</w:t>
            </w:r>
          </w:p>
        </w:tc>
        <w:tc>
          <w:tcPr>
            <w:tcW w:w="950" w:type="dxa"/>
            <w:tcBorders>
              <w:top w:val="nil"/>
              <w:left w:val="nil"/>
              <w:bottom w:val="single" w:sz="4" w:space="0" w:color="auto"/>
              <w:right w:val="single" w:sz="4" w:space="0" w:color="auto"/>
            </w:tcBorders>
            <w:shd w:val="clear" w:color="auto" w:fill="auto"/>
            <w:noWrap/>
            <w:hideMark/>
          </w:tcPr>
          <w:p w14:paraId="5E5F93B9" w14:textId="77777777" w:rsidR="006F0BB0" w:rsidRPr="006F0BB0" w:rsidRDefault="006F0BB0" w:rsidP="007D1DBA">
            <w:pPr>
              <w:jc w:val="right"/>
              <w:rPr>
                <w:sz w:val="18"/>
                <w:szCs w:val="18"/>
                <w:lang w:val="es-419" w:eastAsia="es-419"/>
              </w:rPr>
            </w:pPr>
            <w:r w:rsidRPr="006F0BB0">
              <w:rPr>
                <w:sz w:val="18"/>
                <w:szCs w:val="18"/>
                <w:lang w:val="es-419" w:eastAsia="es-419"/>
              </w:rPr>
              <w:t>184 372</w:t>
            </w:r>
          </w:p>
        </w:tc>
        <w:tc>
          <w:tcPr>
            <w:tcW w:w="950" w:type="dxa"/>
            <w:tcBorders>
              <w:top w:val="nil"/>
              <w:left w:val="nil"/>
              <w:bottom w:val="single" w:sz="4" w:space="0" w:color="auto"/>
              <w:right w:val="single" w:sz="4" w:space="0" w:color="auto"/>
            </w:tcBorders>
            <w:shd w:val="clear" w:color="auto" w:fill="auto"/>
            <w:noWrap/>
            <w:hideMark/>
          </w:tcPr>
          <w:p w14:paraId="13B31207" w14:textId="77777777" w:rsidR="006F0BB0" w:rsidRPr="006F0BB0" w:rsidRDefault="006F0BB0" w:rsidP="007D1DBA">
            <w:pPr>
              <w:jc w:val="right"/>
              <w:rPr>
                <w:sz w:val="18"/>
                <w:szCs w:val="18"/>
                <w:lang w:val="es-419" w:eastAsia="es-419"/>
              </w:rPr>
            </w:pPr>
            <w:r w:rsidRPr="006F0BB0">
              <w:rPr>
                <w:sz w:val="18"/>
                <w:szCs w:val="18"/>
                <w:lang w:val="es-419" w:eastAsia="es-419"/>
              </w:rPr>
              <w:t>168 776</w:t>
            </w:r>
          </w:p>
        </w:tc>
        <w:tc>
          <w:tcPr>
            <w:tcW w:w="1005" w:type="dxa"/>
            <w:tcBorders>
              <w:top w:val="nil"/>
              <w:left w:val="nil"/>
              <w:bottom w:val="single" w:sz="4" w:space="0" w:color="auto"/>
              <w:right w:val="single" w:sz="4" w:space="0" w:color="auto"/>
            </w:tcBorders>
            <w:shd w:val="clear" w:color="auto" w:fill="auto"/>
            <w:noWrap/>
            <w:hideMark/>
          </w:tcPr>
          <w:p w14:paraId="57C746A5" w14:textId="77777777" w:rsidR="006F0BB0" w:rsidRPr="006F0BB0" w:rsidRDefault="006F0BB0" w:rsidP="007D1DBA">
            <w:pPr>
              <w:jc w:val="right"/>
              <w:rPr>
                <w:sz w:val="18"/>
                <w:szCs w:val="18"/>
                <w:lang w:val="es-419" w:eastAsia="es-419"/>
              </w:rPr>
            </w:pPr>
            <w:r w:rsidRPr="006F0BB0">
              <w:rPr>
                <w:sz w:val="18"/>
                <w:szCs w:val="18"/>
                <w:lang w:val="es-419" w:eastAsia="es-419"/>
              </w:rPr>
              <w:t>218 101</w:t>
            </w:r>
          </w:p>
        </w:tc>
        <w:tc>
          <w:tcPr>
            <w:tcW w:w="1181" w:type="dxa"/>
            <w:tcBorders>
              <w:top w:val="nil"/>
              <w:left w:val="nil"/>
              <w:bottom w:val="single" w:sz="4" w:space="0" w:color="auto"/>
              <w:right w:val="single" w:sz="4" w:space="0" w:color="auto"/>
            </w:tcBorders>
            <w:shd w:val="clear" w:color="auto" w:fill="auto"/>
            <w:noWrap/>
            <w:hideMark/>
          </w:tcPr>
          <w:p w14:paraId="12EE1950" w14:textId="77777777" w:rsidR="006F0BB0" w:rsidRPr="006F0BB0" w:rsidRDefault="006F0BB0" w:rsidP="007D1DBA">
            <w:pPr>
              <w:jc w:val="right"/>
              <w:rPr>
                <w:sz w:val="18"/>
                <w:szCs w:val="18"/>
                <w:lang w:val="es-419" w:eastAsia="es-419"/>
              </w:rPr>
            </w:pPr>
            <w:r w:rsidRPr="006F0BB0">
              <w:rPr>
                <w:sz w:val="18"/>
                <w:szCs w:val="18"/>
                <w:lang w:val="es-419" w:eastAsia="es-419"/>
              </w:rPr>
              <w:t>84,5%</w:t>
            </w:r>
          </w:p>
        </w:tc>
      </w:tr>
      <w:tr w:rsidR="006F0BB0" w:rsidRPr="006F0BB0" w14:paraId="0EA09956"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9A7C92" w14:textId="77777777" w:rsidR="006F0BB0" w:rsidRPr="006F0BB0" w:rsidRDefault="006F0BB0" w:rsidP="007D1DBA">
            <w:pPr>
              <w:jc w:val="left"/>
              <w:rPr>
                <w:sz w:val="18"/>
                <w:szCs w:val="18"/>
                <w:lang w:val="es-419" w:eastAsia="es-419"/>
              </w:rPr>
            </w:pPr>
            <w:r w:rsidRPr="006F0BB0">
              <w:rPr>
                <w:sz w:val="18"/>
                <w:szCs w:val="18"/>
                <w:lang w:val="es-419" w:eastAsia="es-419"/>
              </w:rPr>
              <w:t>Turquía</w:t>
            </w:r>
          </w:p>
        </w:tc>
        <w:tc>
          <w:tcPr>
            <w:tcW w:w="950" w:type="dxa"/>
            <w:tcBorders>
              <w:top w:val="nil"/>
              <w:left w:val="nil"/>
              <w:bottom w:val="single" w:sz="4" w:space="0" w:color="auto"/>
              <w:right w:val="single" w:sz="4" w:space="0" w:color="auto"/>
            </w:tcBorders>
            <w:shd w:val="clear" w:color="auto" w:fill="auto"/>
            <w:noWrap/>
            <w:hideMark/>
          </w:tcPr>
          <w:p w14:paraId="09A9E42E" w14:textId="77777777" w:rsidR="006F0BB0" w:rsidRPr="006F0BB0" w:rsidRDefault="006F0BB0" w:rsidP="007D1DBA">
            <w:pPr>
              <w:jc w:val="right"/>
              <w:rPr>
                <w:sz w:val="18"/>
                <w:szCs w:val="18"/>
                <w:lang w:val="es-419" w:eastAsia="es-419"/>
              </w:rPr>
            </w:pPr>
            <w:r w:rsidRPr="006F0BB0">
              <w:rPr>
                <w:sz w:val="18"/>
                <w:szCs w:val="18"/>
                <w:lang w:val="es-419" w:eastAsia="es-419"/>
              </w:rPr>
              <w:t>28 156 692</w:t>
            </w:r>
          </w:p>
        </w:tc>
        <w:tc>
          <w:tcPr>
            <w:tcW w:w="950" w:type="dxa"/>
            <w:tcBorders>
              <w:top w:val="nil"/>
              <w:left w:val="nil"/>
              <w:bottom w:val="single" w:sz="4" w:space="0" w:color="auto"/>
              <w:right w:val="single" w:sz="4" w:space="0" w:color="auto"/>
            </w:tcBorders>
            <w:shd w:val="clear" w:color="auto" w:fill="auto"/>
            <w:noWrap/>
            <w:hideMark/>
          </w:tcPr>
          <w:p w14:paraId="55A364D8" w14:textId="77777777" w:rsidR="006F0BB0" w:rsidRPr="006F0BB0" w:rsidRDefault="006F0BB0" w:rsidP="007D1DBA">
            <w:pPr>
              <w:jc w:val="right"/>
              <w:rPr>
                <w:sz w:val="18"/>
                <w:szCs w:val="18"/>
                <w:lang w:val="es-419" w:eastAsia="es-419"/>
              </w:rPr>
            </w:pPr>
            <w:r w:rsidRPr="006F0BB0">
              <w:rPr>
                <w:sz w:val="18"/>
                <w:szCs w:val="18"/>
                <w:lang w:val="es-419" w:eastAsia="es-419"/>
              </w:rPr>
              <w:t>29 001 393</w:t>
            </w:r>
          </w:p>
        </w:tc>
        <w:tc>
          <w:tcPr>
            <w:tcW w:w="950" w:type="dxa"/>
            <w:tcBorders>
              <w:top w:val="nil"/>
              <w:left w:val="nil"/>
              <w:bottom w:val="single" w:sz="4" w:space="0" w:color="auto"/>
              <w:right w:val="single" w:sz="4" w:space="0" w:color="auto"/>
            </w:tcBorders>
            <w:shd w:val="clear" w:color="auto" w:fill="auto"/>
            <w:noWrap/>
            <w:hideMark/>
          </w:tcPr>
          <w:p w14:paraId="78608BC8" w14:textId="77777777" w:rsidR="006F0BB0" w:rsidRPr="006F0BB0" w:rsidRDefault="006F0BB0" w:rsidP="007D1DBA">
            <w:pPr>
              <w:jc w:val="right"/>
              <w:rPr>
                <w:sz w:val="18"/>
                <w:szCs w:val="18"/>
                <w:lang w:val="es-419" w:eastAsia="es-419"/>
              </w:rPr>
            </w:pPr>
            <w:r w:rsidRPr="006F0BB0">
              <w:rPr>
                <w:sz w:val="18"/>
                <w:szCs w:val="18"/>
                <w:lang w:val="es-419" w:eastAsia="es-419"/>
              </w:rPr>
              <w:t>29 871 435</w:t>
            </w:r>
          </w:p>
        </w:tc>
        <w:tc>
          <w:tcPr>
            <w:tcW w:w="950" w:type="dxa"/>
            <w:tcBorders>
              <w:top w:val="nil"/>
              <w:left w:val="nil"/>
              <w:bottom w:val="single" w:sz="4" w:space="0" w:color="auto"/>
              <w:right w:val="single" w:sz="4" w:space="0" w:color="auto"/>
            </w:tcBorders>
            <w:shd w:val="clear" w:color="auto" w:fill="auto"/>
            <w:noWrap/>
            <w:hideMark/>
          </w:tcPr>
          <w:p w14:paraId="2ADF6547" w14:textId="77777777" w:rsidR="006F0BB0" w:rsidRPr="006F0BB0" w:rsidRDefault="006F0BB0" w:rsidP="007D1DBA">
            <w:pPr>
              <w:jc w:val="right"/>
              <w:rPr>
                <w:sz w:val="18"/>
                <w:szCs w:val="18"/>
                <w:lang w:val="es-419" w:eastAsia="es-419"/>
              </w:rPr>
            </w:pPr>
            <w:r w:rsidRPr="006F0BB0">
              <w:rPr>
                <w:sz w:val="18"/>
                <w:szCs w:val="18"/>
                <w:lang w:val="es-419" w:eastAsia="es-419"/>
              </w:rPr>
              <w:t>30 767 578</w:t>
            </w:r>
          </w:p>
        </w:tc>
        <w:tc>
          <w:tcPr>
            <w:tcW w:w="950" w:type="dxa"/>
            <w:tcBorders>
              <w:top w:val="nil"/>
              <w:left w:val="nil"/>
              <w:bottom w:val="single" w:sz="4" w:space="0" w:color="auto"/>
              <w:right w:val="single" w:sz="4" w:space="0" w:color="auto"/>
            </w:tcBorders>
            <w:shd w:val="clear" w:color="auto" w:fill="auto"/>
            <w:noWrap/>
            <w:hideMark/>
          </w:tcPr>
          <w:p w14:paraId="573D24BE" w14:textId="77777777" w:rsidR="006F0BB0" w:rsidRPr="006F0BB0" w:rsidRDefault="006F0BB0" w:rsidP="007D1DBA">
            <w:pPr>
              <w:jc w:val="right"/>
              <w:rPr>
                <w:sz w:val="18"/>
                <w:szCs w:val="18"/>
                <w:lang w:val="es-419" w:eastAsia="es-419"/>
              </w:rPr>
            </w:pPr>
            <w:r w:rsidRPr="006F0BB0">
              <w:rPr>
                <w:sz w:val="18"/>
                <w:szCs w:val="18"/>
                <w:lang w:val="es-419" w:eastAsia="es-419"/>
              </w:rPr>
              <w:t>31 690 605</w:t>
            </w:r>
          </w:p>
        </w:tc>
        <w:tc>
          <w:tcPr>
            <w:tcW w:w="950" w:type="dxa"/>
            <w:tcBorders>
              <w:top w:val="nil"/>
              <w:left w:val="nil"/>
              <w:bottom w:val="single" w:sz="4" w:space="0" w:color="auto"/>
              <w:right w:val="single" w:sz="4" w:space="0" w:color="auto"/>
            </w:tcBorders>
            <w:shd w:val="clear" w:color="auto" w:fill="auto"/>
            <w:noWrap/>
            <w:hideMark/>
          </w:tcPr>
          <w:p w14:paraId="5FB75F98" w14:textId="77777777" w:rsidR="006F0BB0" w:rsidRPr="006F0BB0" w:rsidRDefault="006F0BB0" w:rsidP="007D1DBA">
            <w:pPr>
              <w:jc w:val="right"/>
              <w:rPr>
                <w:sz w:val="18"/>
                <w:szCs w:val="18"/>
                <w:lang w:val="es-419" w:eastAsia="es-419"/>
              </w:rPr>
            </w:pPr>
            <w:r w:rsidRPr="006F0BB0">
              <w:rPr>
                <w:sz w:val="18"/>
                <w:szCs w:val="18"/>
                <w:lang w:val="es-419" w:eastAsia="es-419"/>
              </w:rPr>
              <w:t>32 641 323</w:t>
            </w:r>
          </w:p>
        </w:tc>
        <w:tc>
          <w:tcPr>
            <w:tcW w:w="950" w:type="dxa"/>
            <w:tcBorders>
              <w:top w:val="nil"/>
              <w:left w:val="nil"/>
              <w:bottom w:val="single" w:sz="4" w:space="0" w:color="auto"/>
              <w:right w:val="single" w:sz="4" w:space="0" w:color="auto"/>
            </w:tcBorders>
            <w:shd w:val="clear" w:color="auto" w:fill="auto"/>
            <w:noWrap/>
            <w:hideMark/>
          </w:tcPr>
          <w:p w14:paraId="18DB2A81" w14:textId="77777777" w:rsidR="006F0BB0" w:rsidRPr="006F0BB0" w:rsidRDefault="006F0BB0" w:rsidP="007D1DBA">
            <w:pPr>
              <w:jc w:val="right"/>
              <w:rPr>
                <w:sz w:val="18"/>
                <w:szCs w:val="18"/>
                <w:lang w:val="es-419" w:eastAsia="es-419"/>
              </w:rPr>
            </w:pPr>
            <w:r w:rsidRPr="006F0BB0">
              <w:rPr>
                <w:sz w:val="18"/>
                <w:szCs w:val="18"/>
                <w:lang w:val="es-419" w:eastAsia="es-419"/>
              </w:rPr>
              <w:t>29 880 135</w:t>
            </w:r>
          </w:p>
        </w:tc>
        <w:tc>
          <w:tcPr>
            <w:tcW w:w="1005" w:type="dxa"/>
            <w:tcBorders>
              <w:top w:val="nil"/>
              <w:left w:val="nil"/>
              <w:bottom w:val="single" w:sz="4" w:space="0" w:color="auto"/>
              <w:right w:val="single" w:sz="4" w:space="0" w:color="auto"/>
            </w:tcBorders>
            <w:shd w:val="clear" w:color="auto" w:fill="auto"/>
            <w:noWrap/>
            <w:hideMark/>
          </w:tcPr>
          <w:p w14:paraId="2AFA5A00" w14:textId="77777777" w:rsidR="006F0BB0" w:rsidRPr="006F0BB0" w:rsidRDefault="006F0BB0" w:rsidP="007D1DBA">
            <w:pPr>
              <w:jc w:val="right"/>
              <w:rPr>
                <w:sz w:val="18"/>
                <w:szCs w:val="18"/>
                <w:lang w:val="es-419" w:eastAsia="es-419"/>
              </w:rPr>
            </w:pPr>
            <w:r w:rsidRPr="006F0BB0">
              <w:rPr>
                <w:sz w:val="18"/>
                <w:szCs w:val="18"/>
                <w:lang w:val="es-419" w:eastAsia="es-419"/>
              </w:rPr>
              <w:t>38 534 306</w:t>
            </w:r>
          </w:p>
        </w:tc>
        <w:tc>
          <w:tcPr>
            <w:tcW w:w="1181" w:type="dxa"/>
            <w:tcBorders>
              <w:top w:val="nil"/>
              <w:left w:val="nil"/>
              <w:bottom w:val="single" w:sz="4" w:space="0" w:color="auto"/>
              <w:right w:val="single" w:sz="4" w:space="0" w:color="auto"/>
            </w:tcBorders>
            <w:shd w:val="clear" w:color="auto" w:fill="auto"/>
            <w:noWrap/>
            <w:hideMark/>
          </w:tcPr>
          <w:p w14:paraId="615B823F" w14:textId="77777777" w:rsidR="006F0BB0" w:rsidRPr="006F0BB0" w:rsidRDefault="006F0BB0" w:rsidP="007D1DBA">
            <w:pPr>
              <w:jc w:val="right"/>
              <w:rPr>
                <w:sz w:val="18"/>
                <w:szCs w:val="18"/>
                <w:lang w:val="es-419" w:eastAsia="es-419"/>
              </w:rPr>
            </w:pPr>
            <w:r w:rsidRPr="006F0BB0">
              <w:rPr>
                <w:sz w:val="18"/>
                <w:szCs w:val="18"/>
                <w:lang w:val="es-419" w:eastAsia="es-419"/>
              </w:rPr>
              <w:t>84,7%</w:t>
            </w:r>
          </w:p>
        </w:tc>
      </w:tr>
      <w:tr w:rsidR="006F0BB0" w:rsidRPr="006F0BB0" w14:paraId="7746AEA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22721AD"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Braail</w:t>
            </w:r>
            <w:proofErr w:type="spellEnd"/>
          </w:p>
        </w:tc>
        <w:tc>
          <w:tcPr>
            <w:tcW w:w="950" w:type="dxa"/>
            <w:tcBorders>
              <w:top w:val="nil"/>
              <w:left w:val="nil"/>
              <w:bottom w:val="single" w:sz="4" w:space="0" w:color="auto"/>
              <w:right w:val="single" w:sz="4" w:space="0" w:color="auto"/>
            </w:tcBorders>
            <w:shd w:val="clear" w:color="auto" w:fill="auto"/>
            <w:noWrap/>
            <w:hideMark/>
          </w:tcPr>
          <w:p w14:paraId="7243D4D8" w14:textId="77777777" w:rsidR="006F0BB0" w:rsidRPr="006F0BB0" w:rsidRDefault="006F0BB0" w:rsidP="007D1DBA">
            <w:pPr>
              <w:jc w:val="right"/>
              <w:rPr>
                <w:sz w:val="18"/>
                <w:szCs w:val="18"/>
                <w:lang w:val="es-419" w:eastAsia="es-419"/>
              </w:rPr>
            </w:pPr>
            <w:r w:rsidRPr="006F0BB0">
              <w:rPr>
                <w:sz w:val="18"/>
                <w:szCs w:val="18"/>
                <w:lang w:val="es-419" w:eastAsia="es-419"/>
              </w:rPr>
              <w:t>65 627 001</w:t>
            </w:r>
          </w:p>
        </w:tc>
        <w:tc>
          <w:tcPr>
            <w:tcW w:w="950" w:type="dxa"/>
            <w:tcBorders>
              <w:top w:val="nil"/>
              <w:left w:val="nil"/>
              <w:bottom w:val="single" w:sz="4" w:space="0" w:color="auto"/>
              <w:right w:val="single" w:sz="4" w:space="0" w:color="auto"/>
            </w:tcBorders>
            <w:shd w:val="clear" w:color="auto" w:fill="auto"/>
            <w:noWrap/>
            <w:hideMark/>
          </w:tcPr>
          <w:p w14:paraId="2F494AFF" w14:textId="77777777" w:rsidR="006F0BB0" w:rsidRPr="006F0BB0" w:rsidRDefault="006F0BB0" w:rsidP="007D1DBA">
            <w:pPr>
              <w:jc w:val="right"/>
              <w:rPr>
                <w:sz w:val="18"/>
                <w:szCs w:val="18"/>
                <w:lang w:val="es-419" w:eastAsia="es-419"/>
              </w:rPr>
            </w:pPr>
            <w:r w:rsidRPr="006F0BB0">
              <w:rPr>
                <w:sz w:val="18"/>
                <w:szCs w:val="18"/>
                <w:lang w:val="es-419" w:eastAsia="es-419"/>
              </w:rPr>
              <w:t>67 595 811</w:t>
            </w:r>
          </w:p>
        </w:tc>
        <w:tc>
          <w:tcPr>
            <w:tcW w:w="950" w:type="dxa"/>
            <w:tcBorders>
              <w:top w:val="nil"/>
              <w:left w:val="nil"/>
              <w:bottom w:val="single" w:sz="4" w:space="0" w:color="auto"/>
              <w:right w:val="single" w:sz="4" w:space="0" w:color="auto"/>
            </w:tcBorders>
            <w:shd w:val="clear" w:color="auto" w:fill="auto"/>
            <w:noWrap/>
            <w:hideMark/>
          </w:tcPr>
          <w:p w14:paraId="29CEDB1A" w14:textId="77777777" w:rsidR="006F0BB0" w:rsidRPr="006F0BB0" w:rsidRDefault="006F0BB0" w:rsidP="007D1DBA">
            <w:pPr>
              <w:jc w:val="right"/>
              <w:rPr>
                <w:sz w:val="18"/>
                <w:szCs w:val="18"/>
                <w:lang w:val="es-419" w:eastAsia="es-419"/>
              </w:rPr>
            </w:pPr>
            <w:r w:rsidRPr="006F0BB0">
              <w:rPr>
                <w:sz w:val="18"/>
                <w:szCs w:val="18"/>
                <w:lang w:val="es-419" w:eastAsia="es-419"/>
              </w:rPr>
              <w:t>69 623 685</w:t>
            </w:r>
          </w:p>
        </w:tc>
        <w:tc>
          <w:tcPr>
            <w:tcW w:w="950" w:type="dxa"/>
            <w:tcBorders>
              <w:top w:val="nil"/>
              <w:left w:val="nil"/>
              <w:bottom w:val="single" w:sz="4" w:space="0" w:color="auto"/>
              <w:right w:val="single" w:sz="4" w:space="0" w:color="auto"/>
            </w:tcBorders>
            <w:shd w:val="clear" w:color="auto" w:fill="auto"/>
            <w:noWrap/>
            <w:hideMark/>
          </w:tcPr>
          <w:p w14:paraId="7FB82C57" w14:textId="77777777" w:rsidR="006F0BB0" w:rsidRPr="006F0BB0" w:rsidRDefault="006F0BB0" w:rsidP="007D1DBA">
            <w:pPr>
              <w:jc w:val="right"/>
              <w:rPr>
                <w:sz w:val="18"/>
                <w:szCs w:val="18"/>
                <w:lang w:val="es-419" w:eastAsia="es-419"/>
              </w:rPr>
            </w:pPr>
            <w:r w:rsidRPr="006F0BB0">
              <w:rPr>
                <w:sz w:val="18"/>
                <w:szCs w:val="18"/>
                <w:lang w:val="es-419" w:eastAsia="es-419"/>
              </w:rPr>
              <w:t>71 712 396</w:t>
            </w:r>
          </w:p>
        </w:tc>
        <w:tc>
          <w:tcPr>
            <w:tcW w:w="950" w:type="dxa"/>
            <w:tcBorders>
              <w:top w:val="nil"/>
              <w:left w:val="nil"/>
              <w:bottom w:val="single" w:sz="4" w:space="0" w:color="auto"/>
              <w:right w:val="single" w:sz="4" w:space="0" w:color="auto"/>
            </w:tcBorders>
            <w:shd w:val="clear" w:color="auto" w:fill="auto"/>
            <w:noWrap/>
            <w:hideMark/>
          </w:tcPr>
          <w:p w14:paraId="5789F2C6" w14:textId="77777777" w:rsidR="006F0BB0" w:rsidRPr="006F0BB0" w:rsidRDefault="006F0BB0" w:rsidP="007D1DBA">
            <w:pPr>
              <w:jc w:val="right"/>
              <w:rPr>
                <w:sz w:val="18"/>
                <w:szCs w:val="18"/>
                <w:lang w:val="es-419" w:eastAsia="es-419"/>
              </w:rPr>
            </w:pPr>
            <w:r w:rsidRPr="006F0BB0">
              <w:rPr>
                <w:sz w:val="18"/>
                <w:szCs w:val="18"/>
                <w:lang w:val="es-419" w:eastAsia="es-419"/>
              </w:rPr>
              <w:t>73 863 768</w:t>
            </w:r>
          </w:p>
        </w:tc>
        <w:tc>
          <w:tcPr>
            <w:tcW w:w="950" w:type="dxa"/>
            <w:tcBorders>
              <w:top w:val="nil"/>
              <w:left w:val="nil"/>
              <w:bottom w:val="single" w:sz="4" w:space="0" w:color="auto"/>
              <w:right w:val="single" w:sz="4" w:space="0" w:color="auto"/>
            </w:tcBorders>
            <w:shd w:val="clear" w:color="auto" w:fill="auto"/>
            <w:noWrap/>
            <w:hideMark/>
          </w:tcPr>
          <w:p w14:paraId="623388CB" w14:textId="77777777" w:rsidR="006F0BB0" w:rsidRPr="006F0BB0" w:rsidRDefault="006F0BB0" w:rsidP="007D1DBA">
            <w:pPr>
              <w:jc w:val="right"/>
              <w:rPr>
                <w:sz w:val="18"/>
                <w:szCs w:val="18"/>
                <w:lang w:val="es-419" w:eastAsia="es-419"/>
              </w:rPr>
            </w:pPr>
            <w:r w:rsidRPr="006F0BB0">
              <w:rPr>
                <w:sz w:val="18"/>
                <w:szCs w:val="18"/>
                <w:lang w:val="es-419" w:eastAsia="es-419"/>
              </w:rPr>
              <w:t>76 079 681</w:t>
            </w:r>
          </w:p>
        </w:tc>
        <w:tc>
          <w:tcPr>
            <w:tcW w:w="950" w:type="dxa"/>
            <w:tcBorders>
              <w:top w:val="nil"/>
              <w:left w:val="nil"/>
              <w:bottom w:val="single" w:sz="4" w:space="0" w:color="auto"/>
              <w:right w:val="single" w:sz="4" w:space="0" w:color="auto"/>
            </w:tcBorders>
            <w:shd w:val="clear" w:color="auto" w:fill="auto"/>
            <w:noWrap/>
            <w:hideMark/>
          </w:tcPr>
          <w:p w14:paraId="6E13BF0A" w14:textId="77777777" w:rsidR="006F0BB0" w:rsidRPr="006F0BB0" w:rsidRDefault="006F0BB0" w:rsidP="007D1DBA">
            <w:pPr>
              <w:jc w:val="right"/>
              <w:rPr>
                <w:sz w:val="18"/>
                <w:szCs w:val="18"/>
                <w:lang w:val="es-419" w:eastAsia="es-419"/>
              </w:rPr>
            </w:pPr>
            <w:r w:rsidRPr="006F0BB0">
              <w:rPr>
                <w:sz w:val="18"/>
                <w:szCs w:val="18"/>
                <w:lang w:val="es-419" w:eastAsia="es-419"/>
              </w:rPr>
              <w:t>69 643 964</w:t>
            </w:r>
          </w:p>
        </w:tc>
        <w:tc>
          <w:tcPr>
            <w:tcW w:w="1005" w:type="dxa"/>
            <w:tcBorders>
              <w:top w:val="nil"/>
              <w:left w:val="nil"/>
              <w:bottom w:val="single" w:sz="4" w:space="0" w:color="auto"/>
              <w:right w:val="single" w:sz="4" w:space="0" w:color="auto"/>
            </w:tcBorders>
            <w:shd w:val="clear" w:color="auto" w:fill="auto"/>
            <w:noWrap/>
            <w:hideMark/>
          </w:tcPr>
          <w:p w14:paraId="0694E709" w14:textId="77777777" w:rsidR="006F0BB0" w:rsidRPr="006F0BB0" w:rsidRDefault="006F0BB0" w:rsidP="007D1DBA">
            <w:pPr>
              <w:jc w:val="right"/>
              <w:rPr>
                <w:sz w:val="18"/>
                <w:szCs w:val="18"/>
                <w:lang w:val="es-419" w:eastAsia="es-419"/>
              </w:rPr>
            </w:pPr>
            <w:r w:rsidRPr="006F0BB0">
              <w:rPr>
                <w:sz w:val="18"/>
                <w:szCs w:val="18"/>
                <w:lang w:val="es-419" w:eastAsia="es-419"/>
              </w:rPr>
              <w:t>88 950 527</w:t>
            </w:r>
          </w:p>
        </w:tc>
        <w:tc>
          <w:tcPr>
            <w:tcW w:w="1181" w:type="dxa"/>
            <w:tcBorders>
              <w:top w:val="nil"/>
              <w:left w:val="nil"/>
              <w:bottom w:val="single" w:sz="4" w:space="0" w:color="auto"/>
              <w:right w:val="single" w:sz="4" w:space="0" w:color="auto"/>
            </w:tcBorders>
            <w:shd w:val="clear" w:color="auto" w:fill="auto"/>
            <w:noWrap/>
            <w:hideMark/>
          </w:tcPr>
          <w:p w14:paraId="196FF640" w14:textId="77777777" w:rsidR="006F0BB0" w:rsidRPr="006F0BB0" w:rsidRDefault="006F0BB0" w:rsidP="007D1DBA">
            <w:pPr>
              <w:jc w:val="right"/>
              <w:rPr>
                <w:sz w:val="18"/>
                <w:szCs w:val="18"/>
                <w:lang w:val="es-419" w:eastAsia="es-419"/>
              </w:rPr>
            </w:pPr>
            <w:r w:rsidRPr="006F0BB0">
              <w:rPr>
                <w:sz w:val="18"/>
                <w:szCs w:val="18"/>
                <w:lang w:val="es-419" w:eastAsia="es-419"/>
              </w:rPr>
              <w:t>85,5%</w:t>
            </w:r>
          </w:p>
        </w:tc>
      </w:tr>
      <w:tr w:rsidR="006F0BB0" w:rsidRPr="006F0BB0" w14:paraId="6297EEB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A6CF06" w14:textId="77777777" w:rsidR="006F0BB0" w:rsidRPr="006F0BB0" w:rsidRDefault="006F0BB0" w:rsidP="007D1DBA">
            <w:pPr>
              <w:jc w:val="left"/>
              <w:rPr>
                <w:sz w:val="18"/>
                <w:szCs w:val="18"/>
                <w:lang w:val="es-419" w:eastAsia="es-419"/>
              </w:rPr>
            </w:pPr>
            <w:r w:rsidRPr="006F0BB0">
              <w:rPr>
                <w:sz w:val="18"/>
                <w:szCs w:val="18"/>
                <w:lang w:val="es-419" w:eastAsia="es-419"/>
              </w:rPr>
              <w:t>Mauricio</w:t>
            </w:r>
          </w:p>
        </w:tc>
        <w:tc>
          <w:tcPr>
            <w:tcW w:w="950" w:type="dxa"/>
            <w:tcBorders>
              <w:top w:val="nil"/>
              <w:left w:val="nil"/>
              <w:bottom w:val="single" w:sz="4" w:space="0" w:color="auto"/>
              <w:right w:val="single" w:sz="4" w:space="0" w:color="auto"/>
            </w:tcBorders>
            <w:shd w:val="clear" w:color="auto" w:fill="auto"/>
            <w:noWrap/>
            <w:hideMark/>
          </w:tcPr>
          <w:p w14:paraId="3361065A" w14:textId="77777777" w:rsidR="006F0BB0" w:rsidRPr="006F0BB0" w:rsidRDefault="006F0BB0" w:rsidP="007D1DBA">
            <w:pPr>
              <w:jc w:val="right"/>
              <w:rPr>
                <w:sz w:val="18"/>
                <w:szCs w:val="18"/>
                <w:lang w:val="es-419" w:eastAsia="es-419"/>
              </w:rPr>
            </w:pPr>
            <w:r w:rsidRPr="006F0BB0">
              <w:rPr>
                <w:sz w:val="18"/>
                <w:szCs w:val="18"/>
                <w:lang w:val="es-419" w:eastAsia="es-419"/>
              </w:rPr>
              <w:t>587 594</w:t>
            </w:r>
          </w:p>
        </w:tc>
        <w:tc>
          <w:tcPr>
            <w:tcW w:w="950" w:type="dxa"/>
            <w:tcBorders>
              <w:top w:val="nil"/>
              <w:left w:val="nil"/>
              <w:bottom w:val="single" w:sz="4" w:space="0" w:color="auto"/>
              <w:right w:val="single" w:sz="4" w:space="0" w:color="auto"/>
            </w:tcBorders>
            <w:shd w:val="clear" w:color="auto" w:fill="auto"/>
            <w:noWrap/>
            <w:hideMark/>
          </w:tcPr>
          <w:p w14:paraId="2C3D7733" w14:textId="77777777" w:rsidR="006F0BB0" w:rsidRPr="006F0BB0" w:rsidRDefault="006F0BB0" w:rsidP="007D1DBA">
            <w:pPr>
              <w:jc w:val="right"/>
              <w:rPr>
                <w:sz w:val="18"/>
                <w:szCs w:val="18"/>
                <w:lang w:val="es-419" w:eastAsia="es-419"/>
              </w:rPr>
            </w:pPr>
            <w:r w:rsidRPr="006F0BB0">
              <w:rPr>
                <w:sz w:val="18"/>
                <w:szCs w:val="18"/>
                <w:lang w:val="es-419" w:eastAsia="es-419"/>
              </w:rPr>
              <w:t>605 222</w:t>
            </w:r>
          </w:p>
        </w:tc>
        <w:tc>
          <w:tcPr>
            <w:tcW w:w="950" w:type="dxa"/>
            <w:tcBorders>
              <w:top w:val="nil"/>
              <w:left w:val="nil"/>
              <w:bottom w:val="single" w:sz="4" w:space="0" w:color="auto"/>
              <w:right w:val="single" w:sz="4" w:space="0" w:color="auto"/>
            </w:tcBorders>
            <w:shd w:val="clear" w:color="auto" w:fill="auto"/>
            <w:noWrap/>
            <w:hideMark/>
          </w:tcPr>
          <w:p w14:paraId="4D12A476" w14:textId="77777777" w:rsidR="006F0BB0" w:rsidRPr="006F0BB0" w:rsidRDefault="006F0BB0" w:rsidP="007D1DBA">
            <w:pPr>
              <w:jc w:val="right"/>
              <w:rPr>
                <w:sz w:val="18"/>
                <w:szCs w:val="18"/>
                <w:lang w:val="es-419" w:eastAsia="es-419"/>
              </w:rPr>
            </w:pPr>
            <w:r w:rsidRPr="006F0BB0">
              <w:rPr>
                <w:sz w:val="18"/>
                <w:szCs w:val="18"/>
                <w:lang w:val="es-419" w:eastAsia="es-419"/>
              </w:rPr>
              <w:t>623 378</w:t>
            </w:r>
          </w:p>
        </w:tc>
        <w:tc>
          <w:tcPr>
            <w:tcW w:w="950" w:type="dxa"/>
            <w:tcBorders>
              <w:top w:val="nil"/>
              <w:left w:val="nil"/>
              <w:bottom w:val="single" w:sz="4" w:space="0" w:color="auto"/>
              <w:right w:val="single" w:sz="4" w:space="0" w:color="auto"/>
            </w:tcBorders>
            <w:shd w:val="clear" w:color="auto" w:fill="auto"/>
            <w:noWrap/>
            <w:hideMark/>
          </w:tcPr>
          <w:p w14:paraId="5F3C20E7" w14:textId="77777777" w:rsidR="006F0BB0" w:rsidRPr="006F0BB0" w:rsidRDefault="006F0BB0" w:rsidP="007D1DBA">
            <w:pPr>
              <w:jc w:val="right"/>
              <w:rPr>
                <w:sz w:val="18"/>
                <w:szCs w:val="18"/>
                <w:lang w:val="es-419" w:eastAsia="es-419"/>
              </w:rPr>
            </w:pPr>
            <w:r w:rsidRPr="006F0BB0">
              <w:rPr>
                <w:sz w:val="18"/>
                <w:szCs w:val="18"/>
                <w:lang w:val="es-419" w:eastAsia="es-419"/>
              </w:rPr>
              <w:t>642 080</w:t>
            </w:r>
          </w:p>
        </w:tc>
        <w:tc>
          <w:tcPr>
            <w:tcW w:w="950" w:type="dxa"/>
            <w:tcBorders>
              <w:top w:val="nil"/>
              <w:left w:val="nil"/>
              <w:bottom w:val="single" w:sz="4" w:space="0" w:color="auto"/>
              <w:right w:val="single" w:sz="4" w:space="0" w:color="auto"/>
            </w:tcBorders>
            <w:shd w:val="clear" w:color="auto" w:fill="auto"/>
            <w:noWrap/>
            <w:hideMark/>
          </w:tcPr>
          <w:p w14:paraId="20C71630" w14:textId="77777777" w:rsidR="006F0BB0" w:rsidRPr="006F0BB0" w:rsidRDefault="006F0BB0" w:rsidP="007D1DBA">
            <w:pPr>
              <w:jc w:val="right"/>
              <w:rPr>
                <w:sz w:val="18"/>
                <w:szCs w:val="18"/>
                <w:lang w:val="es-419" w:eastAsia="es-419"/>
              </w:rPr>
            </w:pPr>
            <w:r w:rsidRPr="006F0BB0">
              <w:rPr>
                <w:sz w:val="18"/>
                <w:szCs w:val="18"/>
                <w:lang w:val="es-419" w:eastAsia="es-419"/>
              </w:rPr>
              <w:t>661 342</w:t>
            </w:r>
          </w:p>
        </w:tc>
        <w:tc>
          <w:tcPr>
            <w:tcW w:w="950" w:type="dxa"/>
            <w:tcBorders>
              <w:top w:val="nil"/>
              <w:left w:val="nil"/>
              <w:bottom w:val="single" w:sz="4" w:space="0" w:color="auto"/>
              <w:right w:val="single" w:sz="4" w:space="0" w:color="auto"/>
            </w:tcBorders>
            <w:shd w:val="clear" w:color="auto" w:fill="auto"/>
            <w:noWrap/>
            <w:hideMark/>
          </w:tcPr>
          <w:p w14:paraId="10AAE1DE" w14:textId="77777777" w:rsidR="006F0BB0" w:rsidRPr="006F0BB0" w:rsidRDefault="006F0BB0" w:rsidP="007D1DBA">
            <w:pPr>
              <w:jc w:val="right"/>
              <w:rPr>
                <w:sz w:val="18"/>
                <w:szCs w:val="18"/>
                <w:lang w:val="es-419" w:eastAsia="es-419"/>
              </w:rPr>
            </w:pPr>
            <w:r w:rsidRPr="006F0BB0">
              <w:rPr>
                <w:sz w:val="18"/>
                <w:szCs w:val="18"/>
                <w:lang w:val="es-419" w:eastAsia="es-419"/>
              </w:rPr>
              <w:t>681 182</w:t>
            </w:r>
          </w:p>
        </w:tc>
        <w:tc>
          <w:tcPr>
            <w:tcW w:w="950" w:type="dxa"/>
            <w:tcBorders>
              <w:top w:val="nil"/>
              <w:left w:val="nil"/>
              <w:bottom w:val="single" w:sz="4" w:space="0" w:color="auto"/>
              <w:right w:val="single" w:sz="4" w:space="0" w:color="auto"/>
            </w:tcBorders>
            <w:shd w:val="clear" w:color="auto" w:fill="auto"/>
            <w:noWrap/>
            <w:hideMark/>
          </w:tcPr>
          <w:p w14:paraId="06A7BE7E" w14:textId="77777777" w:rsidR="006F0BB0" w:rsidRPr="006F0BB0" w:rsidRDefault="006F0BB0" w:rsidP="007D1DBA">
            <w:pPr>
              <w:jc w:val="right"/>
              <w:rPr>
                <w:sz w:val="18"/>
                <w:szCs w:val="18"/>
                <w:lang w:val="es-419" w:eastAsia="es-419"/>
              </w:rPr>
            </w:pPr>
            <w:r w:rsidRPr="006F0BB0">
              <w:rPr>
                <w:sz w:val="18"/>
                <w:szCs w:val="18"/>
                <w:lang w:val="es-419" w:eastAsia="es-419"/>
              </w:rPr>
              <w:t>623 560</w:t>
            </w:r>
          </w:p>
        </w:tc>
        <w:tc>
          <w:tcPr>
            <w:tcW w:w="1005" w:type="dxa"/>
            <w:tcBorders>
              <w:top w:val="nil"/>
              <w:left w:val="nil"/>
              <w:bottom w:val="single" w:sz="4" w:space="0" w:color="auto"/>
              <w:right w:val="single" w:sz="4" w:space="0" w:color="auto"/>
            </w:tcBorders>
            <w:shd w:val="clear" w:color="auto" w:fill="auto"/>
            <w:noWrap/>
            <w:hideMark/>
          </w:tcPr>
          <w:p w14:paraId="6C43AE21" w14:textId="77777777" w:rsidR="006F0BB0" w:rsidRPr="006F0BB0" w:rsidRDefault="006F0BB0" w:rsidP="007D1DBA">
            <w:pPr>
              <w:jc w:val="right"/>
              <w:rPr>
                <w:sz w:val="18"/>
                <w:szCs w:val="18"/>
                <w:lang w:val="es-419" w:eastAsia="es-419"/>
              </w:rPr>
            </w:pPr>
            <w:r w:rsidRPr="006F0BB0">
              <w:rPr>
                <w:sz w:val="18"/>
                <w:szCs w:val="18"/>
                <w:lang w:val="es-419" w:eastAsia="es-419"/>
              </w:rPr>
              <w:t>792 721</w:t>
            </w:r>
          </w:p>
        </w:tc>
        <w:tc>
          <w:tcPr>
            <w:tcW w:w="1181" w:type="dxa"/>
            <w:tcBorders>
              <w:top w:val="nil"/>
              <w:left w:val="nil"/>
              <w:bottom w:val="single" w:sz="4" w:space="0" w:color="auto"/>
              <w:right w:val="single" w:sz="4" w:space="0" w:color="auto"/>
            </w:tcBorders>
            <w:shd w:val="clear" w:color="auto" w:fill="auto"/>
            <w:noWrap/>
            <w:hideMark/>
          </w:tcPr>
          <w:p w14:paraId="7B7C1754" w14:textId="77777777" w:rsidR="006F0BB0" w:rsidRPr="006F0BB0" w:rsidRDefault="006F0BB0" w:rsidP="007D1DBA">
            <w:pPr>
              <w:jc w:val="right"/>
              <w:rPr>
                <w:sz w:val="18"/>
                <w:szCs w:val="18"/>
                <w:lang w:val="es-419" w:eastAsia="es-419"/>
              </w:rPr>
            </w:pPr>
            <w:r w:rsidRPr="006F0BB0">
              <w:rPr>
                <w:sz w:val="18"/>
                <w:szCs w:val="18"/>
                <w:lang w:val="es-419" w:eastAsia="es-419"/>
              </w:rPr>
              <w:t>85,9%</w:t>
            </w:r>
          </w:p>
        </w:tc>
      </w:tr>
      <w:tr w:rsidR="006F0BB0" w:rsidRPr="006F0BB0" w14:paraId="1B1145A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9ADF6C3" w14:textId="77777777" w:rsidR="006F0BB0" w:rsidRPr="006F0BB0" w:rsidRDefault="006F0BB0" w:rsidP="007D1DBA">
            <w:pPr>
              <w:jc w:val="left"/>
              <w:rPr>
                <w:sz w:val="18"/>
                <w:szCs w:val="18"/>
                <w:lang w:val="es-419" w:eastAsia="es-419"/>
              </w:rPr>
            </w:pPr>
            <w:r w:rsidRPr="006F0BB0">
              <w:rPr>
                <w:sz w:val="18"/>
                <w:szCs w:val="18"/>
                <w:lang w:val="es-419" w:eastAsia="es-419"/>
              </w:rPr>
              <w:t>Perú</w:t>
            </w:r>
          </w:p>
        </w:tc>
        <w:tc>
          <w:tcPr>
            <w:tcW w:w="950" w:type="dxa"/>
            <w:tcBorders>
              <w:top w:val="nil"/>
              <w:left w:val="nil"/>
              <w:bottom w:val="single" w:sz="4" w:space="0" w:color="auto"/>
              <w:right w:val="single" w:sz="4" w:space="0" w:color="auto"/>
            </w:tcBorders>
            <w:shd w:val="clear" w:color="auto" w:fill="auto"/>
            <w:noWrap/>
            <w:hideMark/>
          </w:tcPr>
          <w:p w14:paraId="21E08297" w14:textId="77777777" w:rsidR="006F0BB0" w:rsidRPr="006F0BB0" w:rsidRDefault="006F0BB0" w:rsidP="007D1DBA">
            <w:pPr>
              <w:jc w:val="right"/>
              <w:rPr>
                <w:sz w:val="18"/>
                <w:szCs w:val="18"/>
                <w:lang w:val="es-419" w:eastAsia="es-419"/>
              </w:rPr>
            </w:pPr>
            <w:r w:rsidRPr="006F0BB0">
              <w:rPr>
                <w:sz w:val="18"/>
                <w:szCs w:val="18"/>
                <w:lang w:val="es-419" w:eastAsia="es-419"/>
              </w:rPr>
              <w:t>1 910 807</w:t>
            </w:r>
          </w:p>
        </w:tc>
        <w:tc>
          <w:tcPr>
            <w:tcW w:w="950" w:type="dxa"/>
            <w:tcBorders>
              <w:top w:val="nil"/>
              <w:left w:val="nil"/>
              <w:bottom w:val="single" w:sz="4" w:space="0" w:color="auto"/>
              <w:right w:val="single" w:sz="4" w:space="0" w:color="auto"/>
            </w:tcBorders>
            <w:shd w:val="clear" w:color="auto" w:fill="auto"/>
            <w:noWrap/>
            <w:hideMark/>
          </w:tcPr>
          <w:p w14:paraId="3CFE9620" w14:textId="77777777" w:rsidR="006F0BB0" w:rsidRPr="006F0BB0" w:rsidRDefault="006F0BB0" w:rsidP="007D1DBA">
            <w:pPr>
              <w:jc w:val="right"/>
              <w:rPr>
                <w:sz w:val="18"/>
                <w:szCs w:val="18"/>
                <w:lang w:val="es-419" w:eastAsia="es-419"/>
              </w:rPr>
            </w:pPr>
            <w:r w:rsidRPr="006F0BB0">
              <w:rPr>
                <w:sz w:val="18"/>
                <w:szCs w:val="18"/>
                <w:lang w:val="es-419" w:eastAsia="es-419"/>
              </w:rPr>
              <w:t>1 968 131</w:t>
            </w:r>
          </w:p>
        </w:tc>
        <w:tc>
          <w:tcPr>
            <w:tcW w:w="950" w:type="dxa"/>
            <w:tcBorders>
              <w:top w:val="nil"/>
              <w:left w:val="nil"/>
              <w:bottom w:val="single" w:sz="4" w:space="0" w:color="auto"/>
              <w:right w:val="single" w:sz="4" w:space="0" w:color="auto"/>
            </w:tcBorders>
            <w:shd w:val="clear" w:color="auto" w:fill="auto"/>
            <w:noWrap/>
            <w:hideMark/>
          </w:tcPr>
          <w:p w14:paraId="0DD2171B" w14:textId="77777777" w:rsidR="006F0BB0" w:rsidRPr="006F0BB0" w:rsidRDefault="006F0BB0" w:rsidP="007D1DBA">
            <w:pPr>
              <w:jc w:val="right"/>
              <w:rPr>
                <w:sz w:val="18"/>
                <w:szCs w:val="18"/>
                <w:lang w:val="es-419" w:eastAsia="es-419"/>
              </w:rPr>
            </w:pPr>
            <w:r w:rsidRPr="006F0BB0">
              <w:rPr>
                <w:sz w:val="18"/>
                <w:szCs w:val="18"/>
                <w:lang w:val="es-419" w:eastAsia="es-419"/>
              </w:rPr>
              <w:t>2 027 175</w:t>
            </w:r>
          </w:p>
        </w:tc>
        <w:tc>
          <w:tcPr>
            <w:tcW w:w="950" w:type="dxa"/>
            <w:tcBorders>
              <w:top w:val="nil"/>
              <w:left w:val="nil"/>
              <w:bottom w:val="single" w:sz="4" w:space="0" w:color="auto"/>
              <w:right w:val="single" w:sz="4" w:space="0" w:color="auto"/>
            </w:tcBorders>
            <w:shd w:val="clear" w:color="auto" w:fill="auto"/>
            <w:noWrap/>
            <w:hideMark/>
          </w:tcPr>
          <w:p w14:paraId="4FCD133E" w14:textId="77777777" w:rsidR="006F0BB0" w:rsidRPr="006F0BB0" w:rsidRDefault="006F0BB0" w:rsidP="007D1DBA">
            <w:pPr>
              <w:jc w:val="right"/>
              <w:rPr>
                <w:sz w:val="18"/>
                <w:szCs w:val="18"/>
                <w:lang w:val="es-419" w:eastAsia="es-419"/>
              </w:rPr>
            </w:pPr>
            <w:r w:rsidRPr="006F0BB0">
              <w:rPr>
                <w:sz w:val="18"/>
                <w:szCs w:val="18"/>
                <w:lang w:val="es-419" w:eastAsia="es-419"/>
              </w:rPr>
              <w:t>2 087 990</w:t>
            </w:r>
          </w:p>
        </w:tc>
        <w:tc>
          <w:tcPr>
            <w:tcW w:w="950" w:type="dxa"/>
            <w:tcBorders>
              <w:top w:val="nil"/>
              <w:left w:val="nil"/>
              <w:bottom w:val="single" w:sz="4" w:space="0" w:color="auto"/>
              <w:right w:val="single" w:sz="4" w:space="0" w:color="auto"/>
            </w:tcBorders>
            <w:shd w:val="clear" w:color="auto" w:fill="auto"/>
            <w:noWrap/>
            <w:hideMark/>
          </w:tcPr>
          <w:p w14:paraId="0968005A" w14:textId="77777777" w:rsidR="006F0BB0" w:rsidRPr="006F0BB0" w:rsidRDefault="006F0BB0" w:rsidP="007D1DBA">
            <w:pPr>
              <w:jc w:val="right"/>
              <w:rPr>
                <w:sz w:val="18"/>
                <w:szCs w:val="18"/>
                <w:lang w:val="es-419" w:eastAsia="es-419"/>
              </w:rPr>
            </w:pPr>
            <w:r w:rsidRPr="006F0BB0">
              <w:rPr>
                <w:sz w:val="18"/>
                <w:szCs w:val="18"/>
                <w:lang w:val="es-419" w:eastAsia="es-419"/>
              </w:rPr>
              <w:t>2 150 630</w:t>
            </w:r>
          </w:p>
        </w:tc>
        <w:tc>
          <w:tcPr>
            <w:tcW w:w="950" w:type="dxa"/>
            <w:tcBorders>
              <w:top w:val="nil"/>
              <w:left w:val="nil"/>
              <w:bottom w:val="single" w:sz="4" w:space="0" w:color="auto"/>
              <w:right w:val="single" w:sz="4" w:space="0" w:color="auto"/>
            </w:tcBorders>
            <w:shd w:val="clear" w:color="auto" w:fill="auto"/>
            <w:noWrap/>
            <w:hideMark/>
          </w:tcPr>
          <w:p w14:paraId="75E23377" w14:textId="77777777" w:rsidR="006F0BB0" w:rsidRPr="006F0BB0" w:rsidRDefault="006F0BB0" w:rsidP="007D1DBA">
            <w:pPr>
              <w:jc w:val="right"/>
              <w:rPr>
                <w:sz w:val="18"/>
                <w:szCs w:val="18"/>
                <w:lang w:val="es-419" w:eastAsia="es-419"/>
              </w:rPr>
            </w:pPr>
            <w:r w:rsidRPr="006F0BB0">
              <w:rPr>
                <w:sz w:val="18"/>
                <w:szCs w:val="18"/>
                <w:lang w:val="es-419" w:eastAsia="es-419"/>
              </w:rPr>
              <w:t>2 215 149</w:t>
            </w:r>
          </w:p>
        </w:tc>
        <w:tc>
          <w:tcPr>
            <w:tcW w:w="950" w:type="dxa"/>
            <w:tcBorders>
              <w:top w:val="nil"/>
              <w:left w:val="nil"/>
              <w:bottom w:val="single" w:sz="4" w:space="0" w:color="auto"/>
              <w:right w:val="single" w:sz="4" w:space="0" w:color="auto"/>
            </w:tcBorders>
            <w:shd w:val="clear" w:color="auto" w:fill="auto"/>
            <w:noWrap/>
            <w:hideMark/>
          </w:tcPr>
          <w:p w14:paraId="01DD53F8" w14:textId="77777777" w:rsidR="006F0BB0" w:rsidRPr="006F0BB0" w:rsidRDefault="006F0BB0" w:rsidP="007D1DBA">
            <w:pPr>
              <w:jc w:val="right"/>
              <w:rPr>
                <w:sz w:val="18"/>
                <w:szCs w:val="18"/>
                <w:lang w:val="es-419" w:eastAsia="es-419"/>
              </w:rPr>
            </w:pPr>
            <w:r w:rsidRPr="006F0BB0">
              <w:rPr>
                <w:sz w:val="18"/>
                <w:szCs w:val="18"/>
                <w:lang w:val="es-419" w:eastAsia="es-419"/>
              </w:rPr>
              <w:t>2 027 766</w:t>
            </w:r>
          </w:p>
        </w:tc>
        <w:tc>
          <w:tcPr>
            <w:tcW w:w="1005" w:type="dxa"/>
            <w:tcBorders>
              <w:top w:val="nil"/>
              <w:left w:val="nil"/>
              <w:bottom w:val="single" w:sz="4" w:space="0" w:color="auto"/>
              <w:right w:val="single" w:sz="4" w:space="0" w:color="auto"/>
            </w:tcBorders>
            <w:shd w:val="clear" w:color="auto" w:fill="auto"/>
            <w:noWrap/>
            <w:hideMark/>
          </w:tcPr>
          <w:p w14:paraId="22EB0EC3" w14:textId="77777777" w:rsidR="006F0BB0" w:rsidRPr="006F0BB0" w:rsidRDefault="006F0BB0" w:rsidP="007D1DBA">
            <w:pPr>
              <w:jc w:val="right"/>
              <w:rPr>
                <w:sz w:val="18"/>
                <w:szCs w:val="18"/>
                <w:lang w:val="es-419" w:eastAsia="es-419"/>
              </w:rPr>
            </w:pPr>
            <w:r w:rsidRPr="006F0BB0">
              <w:rPr>
                <w:sz w:val="18"/>
                <w:szCs w:val="18"/>
                <w:lang w:val="es-419" w:eastAsia="es-419"/>
              </w:rPr>
              <w:t>2 572 399</w:t>
            </w:r>
          </w:p>
        </w:tc>
        <w:tc>
          <w:tcPr>
            <w:tcW w:w="1181" w:type="dxa"/>
            <w:tcBorders>
              <w:top w:val="nil"/>
              <w:left w:val="nil"/>
              <w:bottom w:val="single" w:sz="4" w:space="0" w:color="auto"/>
              <w:right w:val="single" w:sz="4" w:space="0" w:color="auto"/>
            </w:tcBorders>
            <w:shd w:val="clear" w:color="auto" w:fill="auto"/>
            <w:noWrap/>
            <w:hideMark/>
          </w:tcPr>
          <w:p w14:paraId="2EA21520" w14:textId="77777777" w:rsidR="006F0BB0" w:rsidRPr="006F0BB0" w:rsidRDefault="006F0BB0" w:rsidP="007D1DBA">
            <w:pPr>
              <w:jc w:val="right"/>
              <w:rPr>
                <w:sz w:val="18"/>
                <w:szCs w:val="18"/>
                <w:lang w:val="es-419" w:eastAsia="es-419"/>
              </w:rPr>
            </w:pPr>
            <w:r w:rsidRPr="006F0BB0">
              <w:rPr>
                <w:sz w:val="18"/>
                <w:szCs w:val="18"/>
                <w:lang w:val="es-419" w:eastAsia="es-419"/>
              </w:rPr>
              <w:t>86,1%</w:t>
            </w:r>
          </w:p>
        </w:tc>
      </w:tr>
      <w:tr w:rsidR="006F0BB0" w:rsidRPr="006F0BB0" w14:paraId="32A8CF5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0A97654"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Islas Cook </w:t>
            </w:r>
          </w:p>
        </w:tc>
        <w:tc>
          <w:tcPr>
            <w:tcW w:w="950" w:type="dxa"/>
            <w:tcBorders>
              <w:top w:val="nil"/>
              <w:left w:val="nil"/>
              <w:bottom w:val="single" w:sz="4" w:space="0" w:color="auto"/>
              <w:right w:val="single" w:sz="4" w:space="0" w:color="auto"/>
            </w:tcBorders>
            <w:shd w:val="clear" w:color="auto" w:fill="auto"/>
            <w:noWrap/>
            <w:hideMark/>
          </w:tcPr>
          <w:p w14:paraId="002D2E84" w14:textId="77777777" w:rsidR="006F0BB0" w:rsidRPr="006F0BB0" w:rsidRDefault="006F0BB0" w:rsidP="007D1DBA">
            <w:pPr>
              <w:jc w:val="right"/>
              <w:rPr>
                <w:sz w:val="18"/>
                <w:szCs w:val="18"/>
                <w:lang w:val="es-419" w:eastAsia="es-419"/>
              </w:rPr>
            </w:pPr>
            <w:r w:rsidRPr="006F0BB0">
              <w:rPr>
                <w:sz w:val="18"/>
                <w:szCs w:val="18"/>
                <w:lang w:val="es-419" w:eastAsia="es-419"/>
              </w:rPr>
              <w:t>3 757</w:t>
            </w:r>
          </w:p>
        </w:tc>
        <w:tc>
          <w:tcPr>
            <w:tcW w:w="950" w:type="dxa"/>
            <w:tcBorders>
              <w:top w:val="nil"/>
              <w:left w:val="nil"/>
              <w:bottom w:val="single" w:sz="4" w:space="0" w:color="auto"/>
              <w:right w:val="single" w:sz="4" w:space="0" w:color="auto"/>
            </w:tcBorders>
            <w:shd w:val="clear" w:color="auto" w:fill="auto"/>
            <w:noWrap/>
            <w:hideMark/>
          </w:tcPr>
          <w:p w14:paraId="605E21B2" w14:textId="77777777" w:rsidR="006F0BB0" w:rsidRPr="006F0BB0" w:rsidRDefault="006F0BB0" w:rsidP="007D1DBA">
            <w:pPr>
              <w:jc w:val="right"/>
              <w:rPr>
                <w:sz w:val="18"/>
                <w:szCs w:val="18"/>
                <w:lang w:val="es-419" w:eastAsia="es-419"/>
              </w:rPr>
            </w:pPr>
            <w:r w:rsidRPr="006F0BB0">
              <w:rPr>
                <w:sz w:val="18"/>
                <w:szCs w:val="18"/>
                <w:lang w:val="es-419" w:eastAsia="es-419"/>
              </w:rPr>
              <w:t>3 870</w:t>
            </w:r>
          </w:p>
        </w:tc>
        <w:tc>
          <w:tcPr>
            <w:tcW w:w="950" w:type="dxa"/>
            <w:tcBorders>
              <w:top w:val="nil"/>
              <w:left w:val="nil"/>
              <w:bottom w:val="single" w:sz="4" w:space="0" w:color="auto"/>
              <w:right w:val="single" w:sz="4" w:space="0" w:color="auto"/>
            </w:tcBorders>
            <w:shd w:val="clear" w:color="auto" w:fill="auto"/>
            <w:noWrap/>
            <w:hideMark/>
          </w:tcPr>
          <w:p w14:paraId="163F814B" w14:textId="77777777" w:rsidR="006F0BB0" w:rsidRPr="006F0BB0" w:rsidRDefault="006F0BB0" w:rsidP="007D1DBA">
            <w:pPr>
              <w:jc w:val="right"/>
              <w:rPr>
                <w:sz w:val="18"/>
                <w:szCs w:val="18"/>
                <w:lang w:val="es-419" w:eastAsia="es-419"/>
              </w:rPr>
            </w:pPr>
            <w:r w:rsidRPr="006F0BB0">
              <w:rPr>
                <w:sz w:val="18"/>
                <w:szCs w:val="18"/>
                <w:lang w:val="es-419" w:eastAsia="es-419"/>
              </w:rPr>
              <w:t>3 986</w:t>
            </w:r>
          </w:p>
        </w:tc>
        <w:tc>
          <w:tcPr>
            <w:tcW w:w="950" w:type="dxa"/>
            <w:tcBorders>
              <w:top w:val="nil"/>
              <w:left w:val="nil"/>
              <w:bottom w:val="single" w:sz="4" w:space="0" w:color="auto"/>
              <w:right w:val="single" w:sz="4" w:space="0" w:color="auto"/>
            </w:tcBorders>
            <w:shd w:val="clear" w:color="auto" w:fill="auto"/>
            <w:noWrap/>
            <w:hideMark/>
          </w:tcPr>
          <w:p w14:paraId="1D4FDD3C" w14:textId="77777777" w:rsidR="006F0BB0" w:rsidRPr="006F0BB0" w:rsidRDefault="006F0BB0" w:rsidP="007D1DBA">
            <w:pPr>
              <w:jc w:val="right"/>
              <w:rPr>
                <w:sz w:val="18"/>
                <w:szCs w:val="18"/>
                <w:lang w:val="es-419" w:eastAsia="es-419"/>
              </w:rPr>
            </w:pPr>
            <w:r w:rsidRPr="006F0BB0">
              <w:rPr>
                <w:sz w:val="18"/>
                <w:szCs w:val="18"/>
                <w:lang w:val="es-419" w:eastAsia="es-419"/>
              </w:rPr>
              <w:t>4 105</w:t>
            </w:r>
          </w:p>
        </w:tc>
        <w:tc>
          <w:tcPr>
            <w:tcW w:w="950" w:type="dxa"/>
            <w:tcBorders>
              <w:top w:val="nil"/>
              <w:left w:val="nil"/>
              <w:bottom w:val="single" w:sz="4" w:space="0" w:color="auto"/>
              <w:right w:val="single" w:sz="4" w:space="0" w:color="auto"/>
            </w:tcBorders>
            <w:shd w:val="clear" w:color="auto" w:fill="auto"/>
            <w:noWrap/>
            <w:hideMark/>
          </w:tcPr>
          <w:p w14:paraId="1BE7091C" w14:textId="77777777" w:rsidR="006F0BB0" w:rsidRPr="006F0BB0" w:rsidRDefault="006F0BB0" w:rsidP="007D1DBA">
            <w:pPr>
              <w:jc w:val="right"/>
              <w:rPr>
                <w:sz w:val="18"/>
                <w:szCs w:val="18"/>
                <w:lang w:val="es-419" w:eastAsia="es-419"/>
              </w:rPr>
            </w:pPr>
            <w:r w:rsidRPr="006F0BB0">
              <w:rPr>
                <w:sz w:val="18"/>
                <w:szCs w:val="18"/>
                <w:lang w:val="es-419" w:eastAsia="es-419"/>
              </w:rPr>
              <w:t>4 229</w:t>
            </w:r>
          </w:p>
        </w:tc>
        <w:tc>
          <w:tcPr>
            <w:tcW w:w="950" w:type="dxa"/>
            <w:tcBorders>
              <w:top w:val="nil"/>
              <w:left w:val="nil"/>
              <w:bottom w:val="single" w:sz="4" w:space="0" w:color="auto"/>
              <w:right w:val="single" w:sz="4" w:space="0" w:color="auto"/>
            </w:tcBorders>
            <w:shd w:val="clear" w:color="auto" w:fill="auto"/>
            <w:noWrap/>
            <w:hideMark/>
          </w:tcPr>
          <w:p w14:paraId="09554780" w14:textId="77777777" w:rsidR="006F0BB0" w:rsidRPr="006F0BB0" w:rsidRDefault="006F0BB0" w:rsidP="007D1DBA">
            <w:pPr>
              <w:jc w:val="right"/>
              <w:rPr>
                <w:sz w:val="18"/>
                <w:szCs w:val="18"/>
                <w:lang w:val="es-419" w:eastAsia="es-419"/>
              </w:rPr>
            </w:pPr>
            <w:r w:rsidRPr="006F0BB0">
              <w:rPr>
                <w:sz w:val="18"/>
                <w:szCs w:val="18"/>
                <w:lang w:val="es-419" w:eastAsia="es-419"/>
              </w:rPr>
              <w:t>4 355</w:t>
            </w:r>
          </w:p>
        </w:tc>
        <w:tc>
          <w:tcPr>
            <w:tcW w:w="950" w:type="dxa"/>
            <w:tcBorders>
              <w:top w:val="nil"/>
              <w:left w:val="nil"/>
              <w:bottom w:val="single" w:sz="4" w:space="0" w:color="auto"/>
              <w:right w:val="single" w:sz="4" w:space="0" w:color="auto"/>
            </w:tcBorders>
            <w:shd w:val="clear" w:color="auto" w:fill="auto"/>
            <w:noWrap/>
            <w:hideMark/>
          </w:tcPr>
          <w:p w14:paraId="27A4A230" w14:textId="77777777" w:rsidR="006F0BB0" w:rsidRPr="006F0BB0" w:rsidRDefault="006F0BB0" w:rsidP="007D1DBA">
            <w:pPr>
              <w:jc w:val="right"/>
              <w:rPr>
                <w:sz w:val="18"/>
                <w:szCs w:val="18"/>
                <w:lang w:val="es-419" w:eastAsia="es-419"/>
              </w:rPr>
            </w:pPr>
            <w:r w:rsidRPr="006F0BB0">
              <w:rPr>
                <w:sz w:val="18"/>
                <w:szCs w:val="18"/>
                <w:lang w:val="es-419" w:eastAsia="es-419"/>
              </w:rPr>
              <w:t>3 987</w:t>
            </w:r>
          </w:p>
        </w:tc>
        <w:tc>
          <w:tcPr>
            <w:tcW w:w="1005" w:type="dxa"/>
            <w:tcBorders>
              <w:top w:val="nil"/>
              <w:left w:val="nil"/>
              <w:bottom w:val="single" w:sz="4" w:space="0" w:color="auto"/>
              <w:right w:val="single" w:sz="4" w:space="0" w:color="auto"/>
            </w:tcBorders>
            <w:shd w:val="clear" w:color="auto" w:fill="auto"/>
            <w:noWrap/>
            <w:hideMark/>
          </w:tcPr>
          <w:p w14:paraId="71EED71D" w14:textId="77777777" w:rsidR="006F0BB0" w:rsidRPr="006F0BB0" w:rsidRDefault="006F0BB0" w:rsidP="007D1DBA">
            <w:pPr>
              <w:jc w:val="right"/>
              <w:rPr>
                <w:sz w:val="18"/>
                <w:szCs w:val="18"/>
                <w:lang w:val="es-419" w:eastAsia="es-419"/>
              </w:rPr>
            </w:pPr>
            <w:r w:rsidRPr="006F0BB0">
              <w:rPr>
                <w:sz w:val="18"/>
                <w:szCs w:val="18"/>
                <w:lang w:val="es-419" w:eastAsia="es-419"/>
              </w:rPr>
              <w:t>5 036</w:t>
            </w:r>
          </w:p>
        </w:tc>
        <w:tc>
          <w:tcPr>
            <w:tcW w:w="1181" w:type="dxa"/>
            <w:tcBorders>
              <w:top w:val="nil"/>
              <w:left w:val="nil"/>
              <w:bottom w:val="single" w:sz="4" w:space="0" w:color="auto"/>
              <w:right w:val="single" w:sz="4" w:space="0" w:color="auto"/>
            </w:tcBorders>
            <w:shd w:val="clear" w:color="auto" w:fill="auto"/>
            <w:noWrap/>
            <w:hideMark/>
          </w:tcPr>
          <w:p w14:paraId="72BF5EE8" w14:textId="77777777" w:rsidR="006F0BB0" w:rsidRPr="006F0BB0" w:rsidRDefault="006F0BB0" w:rsidP="007D1DBA">
            <w:pPr>
              <w:jc w:val="right"/>
              <w:rPr>
                <w:sz w:val="18"/>
                <w:szCs w:val="18"/>
                <w:lang w:val="es-419" w:eastAsia="es-419"/>
              </w:rPr>
            </w:pPr>
            <w:r w:rsidRPr="006F0BB0">
              <w:rPr>
                <w:sz w:val="18"/>
                <w:szCs w:val="18"/>
                <w:lang w:val="es-419" w:eastAsia="es-419"/>
              </w:rPr>
              <w:t>86,5%</w:t>
            </w:r>
          </w:p>
        </w:tc>
      </w:tr>
      <w:tr w:rsidR="006F0BB0" w:rsidRPr="006F0BB0" w14:paraId="14C0076E"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27D79D" w14:textId="77777777" w:rsidR="006F0BB0" w:rsidRPr="006F0BB0" w:rsidRDefault="006F0BB0" w:rsidP="007D1DBA">
            <w:pPr>
              <w:jc w:val="left"/>
              <w:rPr>
                <w:sz w:val="18"/>
                <w:szCs w:val="18"/>
                <w:lang w:val="es-419" w:eastAsia="es-419"/>
              </w:rPr>
            </w:pPr>
            <w:r w:rsidRPr="006F0BB0">
              <w:rPr>
                <w:sz w:val="18"/>
                <w:szCs w:val="18"/>
                <w:lang w:val="es-419" w:eastAsia="es-419"/>
              </w:rPr>
              <w:t>Honduras</w:t>
            </w:r>
          </w:p>
        </w:tc>
        <w:tc>
          <w:tcPr>
            <w:tcW w:w="950" w:type="dxa"/>
            <w:tcBorders>
              <w:top w:val="nil"/>
              <w:left w:val="nil"/>
              <w:bottom w:val="single" w:sz="4" w:space="0" w:color="auto"/>
              <w:right w:val="single" w:sz="4" w:space="0" w:color="auto"/>
            </w:tcBorders>
            <w:shd w:val="clear" w:color="auto" w:fill="auto"/>
            <w:noWrap/>
            <w:hideMark/>
          </w:tcPr>
          <w:p w14:paraId="408757AF" w14:textId="77777777" w:rsidR="006F0BB0" w:rsidRPr="006F0BB0" w:rsidRDefault="006F0BB0" w:rsidP="007D1DBA">
            <w:pPr>
              <w:jc w:val="right"/>
              <w:rPr>
                <w:sz w:val="18"/>
                <w:szCs w:val="18"/>
                <w:lang w:val="es-419" w:eastAsia="es-419"/>
              </w:rPr>
            </w:pPr>
            <w:r w:rsidRPr="006F0BB0">
              <w:rPr>
                <w:sz w:val="18"/>
                <w:szCs w:val="18"/>
                <w:lang w:val="es-419" w:eastAsia="es-419"/>
              </w:rPr>
              <w:t>1 431 079</w:t>
            </w:r>
          </w:p>
        </w:tc>
        <w:tc>
          <w:tcPr>
            <w:tcW w:w="950" w:type="dxa"/>
            <w:tcBorders>
              <w:top w:val="nil"/>
              <w:left w:val="nil"/>
              <w:bottom w:val="single" w:sz="4" w:space="0" w:color="auto"/>
              <w:right w:val="single" w:sz="4" w:space="0" w:color="auto"/>
            </w:tcBorders>
            <w:shd w:val="clear" w:color="auto" w:fill="auto"/>
            <w:noWrap/>
            <w:hideMark/>
          </w:tcPr>
          <w:p w14:paraId="233BB083" w14:textId="77777777" w:rsidR="006F0BB0" w:rsidRPr="006F0BB0" w:rsidRDefault="006F0BB0" w:rsidP="007D1DBA">
            <w:pPr>
              <w:jc w:val="right"/>
              <w:rPr>
                <w:sz w:val="18"/>
                <w:szCs w:val="18"/>
                <w:lang w:val="es-419" w:eastAsia="es-419"/>
              </w:rPr>
            </w:pPr>
            <w:r w:rsidRPr="006F0BB0">
              <w:rPr>
                <w:sz w:val="18"/>
                <w:szCs w:val="18"/>
                <w:lang w:val="es-419" w:eastAsia="es-419"/>
              </w:rPr>
              <w:t>1 474 011</w:t>
            </w:r>
          </w:p>
        </w:tc>
        <w:tc>
          <w:tcPr>
            <w:tcW w:w="950" w:type="dxa"/>
            <w:tcBorders>
              <w:top w:val="nil"/>
              <w:left w:val="nil"/>
              <w:bottom w:val="single" w:sz="4" w:space="0" w:color="auto"/>
              <w:right w:val="single" w:sz="4" w:space="0" w:color="auto"/>
            </w:tcBorders>
            <w:shd w:val="clear" w:color="auto" w:fill="auto"/>
            <w:noWrap/>
            <w:hideMark/>
          </w:tcPr>
          <w:p w14:paraId="43EF668F" w14:textId="77777777" w:rsidR="006F0BB0" w:rsidRPr="006F0BB0" w:rsidRDefault="006F0BB0" w:rsidP="007D1DBA">
            <w:pPr>
              <w:jc w:val="right"/>
              <w:rPr>
                <w:sz w:val="18"/>
                <w:szCs w:val="18"/>
                <w:lang w:val="es-419" w:eastAsia="es-419"/>
              </w:rPr>
            </w:pPr>
            <w:r w:rsidRPr="006F0BB0">
              <w:rPr>
                <w:sz w:val="18"/>
                <w:szCs w:val="18"/>
                <w:lang w:val="es-419" w:eastAsia="es-419"/>
              </w:rPr>
              <w:t>1 518 232</w:t>
            </w:r>
          </w:p>
        </w:tc>
        <w:tc>
          <w:tcPr>
            <w:tcW w:w="950" w:type="dxa"/>
            <w:tcBorders>
              <w:top w:val="nil"/>
              <w:left w:val="nil"/>
              <w:bottom w:val="single" w:sz="4" w:space="0" w:color="auto"/>
              <w:right w:val="single" w:sz="4" w:space="0" w:color="auto"/>
            </w:tcBorders>
            <w:shd w:val="clear" w:color="auto" w:fill="auto"/>
            <w:noWrap/>
            <w:hideMark/>
          </w:tcPr>
          <w:p w14:paraId="523E550A" w14:textId="77777777" w:rsidR="006F0BB0" w:rsidRPr="006F0BB0" w:rsidRDefault="006F0BB0" w:rsidP="007D1DBA">
            <w:pPr>
              <w:jc w:val="right"/>
              <w:rPr>
                <w:sz w:val="18"/>
                <w:szCs w:val="18"/>
                <w:lang w:val="es-419" w:eastAsia="es-419"/>
              </w:rPr>
            </w:pPr>
            <w:r w:rsidRPr="006F0BB0">
              <w:rPr>
                <w:sz w:val="18"/>
                <w:szCs w:val="18"/>
                <w:lang w:val="es-419" w:eastAsia="es-419"/>
              </w:rPr>
              <w:t>1 563 779</w:t>
            </w:r>
          </w:p>
        </w:tc>
        <w:tc>
          <w:tcPr>
            <w:tcW w:w="950" w:type="dxa"/>
            <w:tcBorders>
              <w:top w:val="nil"/>
              <w:left w:val="nil"/>
              <w:bottom w:val="single" w:sz="4" w:space="0" w:color="auto"/>
              <w:right w:val="single" w:sz="4" w:space="0" w:color="auto"/>
            </w:tcBorders>
            <w:shd w:val="clear" w:color="auto" w:fill="auto"/>
            <w:noWrap/>
            <w:hideMark/>
          </w:tcPr>
          <w:p w14:paraId="3C513959" w14:textId="77777777" w:rsidR="006F0BB0" w:rsidRPr="006F0BB0" w:rsidRDefault="006F0BB0" w:rsidP="007D1DBA">
            <w:pPr>
              <w:jc w:val="right"/>
              <w:rPr>
                <w:sz w:val="18"/>
                <w:szCs w:val="18"/>
                <w:lang w:val="es-419" w:eastAsia="es-419"/>
              </w:rPr>
            </w:pPr>
            <w:r w:rsidRPr="006F0BB0">
              <w:rPr>
                <w:sz w:val="18"/>
                <w:szCs w:val="18"/>
                <w:lang w:val="es-419" w:eastAsia="es-419"/>
              </w:rPr>
              <w:t>1 610 692</w:t>
            </w:r>
          </w:p>
        </w:tc>
        <w:tc>
          <w:tcPr>
            <w:tcW w:w="950" w:type="dxa"/>
            <w:tcBorders>
              <w:top w:val="nil"/>
              <w:left w:val="nil"/>
              <w:bottom w:val="single" w:sz="4" w:space="0" w:color="auto"/>
              <w:right w:val="single" w:sz="4" w:space="0" w:color="auto"/>
            </w:tcBorders>
            <w:shd w:val="clear" w:color="auto" w:fill="auto"/>
            <w:noWrap/>
            <w:hideMark/>
          </w:tcPr>
          <w:p w14:paraId="1311E792" w14:textId="77777777" w:rsidR="006F0BB0" w:rsidRPr="006F0BB0" w:rsidRDefault="006F0BB0" w:rsidP="007D1DBA">
            <w:pPr>
              <w:jc w:val="right"/>
              <w:rPr>
                <w:sz w:val="18"/>
                <w:szCs w:val="18"/>
                <w:lang w:val="es-419" w:eastAsia="es-419"/>
              </w:rPr>
            </w:pPr>
            <w:r w:rsidRPr="006F0BB0">
              <w:rPr>
                <w:sz w:val="18"/>
                <w:szCs w:val="18"/>
                <w:lang w:val="es-419" w:eastAsia="es-419"/>
              </w:rPr>
              <w:t>1 659 013</w:t>
            </w:r>
          </w:p>
        </w:tc>
        <w:tc>
          <w:tcPr>
            <w:tcW w:w="950" w:type="dxa"/>
            <w:tcBorders>
              <w:top w:val="nil"/>
              <w:left w:val="nil"/>
              <w:bottom w:val="single" w:sz="4" w:space="0" w:color="auto"/>
              <w:right w:val="single" w:sz="4" w:space="0" w:color="auto"/>
            </w:tcBorders>
            <w:shd w:val="clear" w:color="auto" w:fill="auto"/>
            <w:noWrap/>
            <w:hideMark/>
          </w:tcPr>
          <w:p w14:paraId="30ED9685" w14:textId="77777777" w:rsidR="006F0BB0" w:rsidRPr="006F0BB0" w:rsidRDefault="006F0BB0" w:rsidP="007D1DBA">
            <w:pPr>
              <w:jc w:val="right"/>
              <w:rPr>
                <w:sz w:val="18"/>
                <w:szCs w:val="18"/>
                <w:lang w:val="es-419" w:eastAsia="es-419"/>
              </w:rPr>
            </w:pPr>
            <w:r w:rsidRPr="006F0BB0">
              <w:rPr>
                <w:sz w:val="18"/>
                <w:szCs w:val="18"/>
                <w:lang w:val="es-419" w:eastAsia="es-419"/>
              </w:rPr>
              <w:t>1 518 674</w:t>
            </w:r>
          </w:p>
        </w:tc>
        <w:tc>
          <w:tcPr>
            <w:tcW w:w="1005" w:type="dxa"/>
            <w:tcBorders>
              <w:top w:val="nil"/>
              <w:left w:val="nil"/>
              <w:bottom w:val="single" w:sz="4" w:space="0" w:color="auto"/>
              <w:right w:val="single" w:sz="4" w:space="0" w:color="auto"/>
            </w:tcBorders>
            <w:shd w:val="clear" w:color="auto" w:fill="auto"/>
            <w:noWrap/>
            <w:hideMark/>
          </w:tcPr>
          <w:p w14:paraId="25B434ED" w14:textId="77777777" w:rsidR="006F0BB0" w:rsidRPr="006F0BB0" w:rsidRDefault="006F0BB0" w:rsidP="007D1DBA">
            <w:pPr>
              <w:jc w:val="right"/>
              <w:rPr>
                <w:sz w:val="18"/>
                <w:szCs w:val="18"/>
                <w:lang w:val="es-419" w:eastAsia="es-419"/>
              </w:rPr>
            </w:pPr>
            <w:r w:rsidRPr="006F0BB0">
              <w:rPr>
                <w:sz w:val="18"/>
                <w:szCs w:val="18"/>
                <w:lang w:val="es-419" w:eastAsia="es-419"/>
              </w:rPr>
              <w:t>1 911 983</w:t>
            </w:r>
          </w:p>
        </w:tc>
        <w:tc>
          <w:tcPr>
            <w:tcW w:w="1181" w:type="dxa"/>
            <w:tcBorders>
              <w:top w:val="nil"/>
              <w:left w:val="nil"/>
              <w:bottom w:val="single" w:sz="4" w:space="0" w:color="auto"/>
              <w:right w:val="single" w:sz="4" w:space="0" w:color="auto"/>
            </w:tcBorders>
            <w:shd w:val="clear" w:color="auto" w:fill="auto"/>
            <w:noWrap/>
            <w:hideMark/>
          </w:tcPr>
          <w:p w14:paraId="0D5F1BF4" w14:textId="77777777" w:rsidR="006F0BB0" w:rsidRPr="006F0BB0" w:rsidRDefault="006F0BB0" w:rsidP="007D1DBA">
            <w:pPr>
              <w:jc w:val="right"/>
              <w:rPr>
                <w:sz w:val="18"/>
                <w:szCs w:val="18"/>
                <w:lang w:val="es-419" w:eastAsia="es-419"/>
              </w:rPr>
            </w:pPr>
            <w:r w:rsidRPr="006F0BB0">
              <w:rPr>
                <w:sz w:val="18"/>
                <w:szCs w:val="18"/>
                <w:lang w:val="es-419" w:eastAsia="es-419"/>
              </w:rPr>
              <w:t>86,8%</w:t>
            </w:r>
          </w:p>
        </w:tc>
      </w:tr>
      <w:tr w:rsidR="006F0BB0" w:rsidRPr="006F0BB0" w14:paraId="6266033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E9CBBF" w14:textId="77777777" w:rsidR="006F0BB0" w:rsidRPr="006F0BB0" w:rsidRDefault="006F0BB0" w:rsidP="007D1DBA">
            <w:pPr>
              <w:jc w:val="left"/>
              <w:rPr>
                <w:sz w:val="18"/>
                <w:szCs w:val="18"/>
                <w:lang w:val="es-419" w:eastAsia="es-419"/>
              </w:rPr>
            </w:pPr>
            <w:r w:rsidRPr="006F0BB0">
              <w:rPr>
                <w:sz w:val="18"/>
                <w:szCs w:val="18"/>
                <w:lang w:val="es-419" w:eastAsia="es-419"/>
              </w:rPr>
              <w:t>Gabón</w:t>
            </w:r>
          </w:p>
        </w:tc>
        <w:tc>
          <w:tcPr>
            <w:tcW w:w="950" w:type="dxa"/>
            <w:tcBorders>
              <w:top w:val="nil"/>
              <w:left w:val="nil"/>
              <w:bottom w:val="single" w:sz="4" w:space="0" w:color="auto"/>
              <w:right w:val="single" w:sz="4" w:space="0" w:color="auto"/>
            </w:tcBorders>
            <w:shd w:val="clear" w:color="auto" w:fill="auto"/>
            <w:noWrap/>
            <w:hideMark/>
          </w:tcPr>
          <w:p w14:paraId="153A2E7D" w14:textId="77777777" w:rsidR="006F0BB0" w:rsidRPr="006F0BB0" w:rsidRDefault="006F0BB0" w:rsidP="007D1DBA">
            <w:pPr>
              <w:jc w:val="right"/>
              <w:rPr>
                <w:sz w:val="18"/>
                <w:szCs w:val="18"/>
                <w:lang w:val="es-419" w:eastAsia="es-419"/>
              </w:rPr>
            </w:pPr>
            <w:r w:rsidRPr="006F0BB0">
              <w:rPr>
                <w:sz w:val="18"/>
                <w:szCs w:val="18"/>
                <w:lang w:val="es-419" w:eastAsia="es-419"/>
              </w:rPr>
              <w:t>2 353 671</w:t>
            </w:r>
          </w:p>
        </w:tc>
        <w:tc>
          <w:tcPr>
            <w:tcW w:w="950" w:type="dxa"/>
            <w:tcBorders>
              <w:top w:val="nil"/>
              <w:left w:val="nil"/>
              <w:bottom w:val="single" w:sz="4" w:space="0" w:color="auto"/>
              <w:right w:val="single" w:sz="4" w:space="0" w:color="auto"/>
            </w:tcBorders>
            <w:shd w:val="clear" w:color="auto" w:fill="auto"/>
            <w:noWrap/>
            <w:hideMark/>
          </w:tcPr>
          <w:p w14:paraId="74162B8D" w14:textId="77777777" w:rsidR="006F0BB0" w:rsidRPr="006F0BB0" w:rsidRDefault="006F0BB0" w:rsidP="007D1DBA">
            <w:pPr>
              <w:jc w:val="right"/>
              <w:rPr>
                <w:sz w:val="18"/>
                <w:szCs w:val="18"/>
                <w:lang w:val="es-419" w:eastAsia="es-419"/>
              </w:rPr>
            </w:pPr>
            <w:r w:rsidRPr="006F0BB0">
              <w:rPr>
                <w:sz w:val="18"/>
                <w:szCs w:val="18"/>
                <w:lang w:val="es-419" w:eastAsia="es-419"/>
              </w:rPr>
              <w:t>2 424 281</w:t>
            </w:r>
          </w:p>
        </w:tc>
        <w:tc>
          <w:tcPr>
            <w:tcW w:w="950" w:type="dxa"/>
            <w:tcBorders>
              <w:top w:val="nil"/>
              <w:left w:val="nil"/>
              <w:bottom w:val="single" w:sz="4" w:space="0" w:color="auto"/>
              <w:right w:val="single" w:sz="4" w:space="0" w:color="auto"/>
            </w:tcBorders>
            <w:shd w:val="clear" w:color="auto" w:fill="auto"/>
            <w:noWrap/>
            <w:hideMark/>
          </w:tcPr>
          <w:p w14:paraId="1191BEA1" w14:textId="77777777" w:rsidR="006F0BB0" w:rsidRPr="006F0BB0" w:rsidRDefault="006F0BB0" w:rsidP="007D1DBA">
            <w:pPr>
              <w:jc w:val="right"/>
              <w:rPr>
                <w:sz w:val="18"/>
                <w:szCs w:val="18"/>
                <w:lang w:val="es-419" w:eastAsia="es-419"/>
              </w:rPr>
            </w:pPr>
            <w:r w:rsidRPr="006F0BB0">
              <w:rPr>
                <w:sz w:val="18"/>
                <w:szCs w:val="18"/>
                <w:lang w:val="es-419" w:eastAsia="es-419"/>
              </w:rPr>
              <w:t>2 497 010</w:t>
            </w:r>
          </w:p>
        </w:tc>
        <w:tc>
          <w:tcPr>
            <w:tcW w:w="950" w:type="dxa"/>
            <w:tcBorders>
              <w:top w:val="nil"/>
              <w:left w:val="nil"/>
              <w:bottom w:val="single" w:sz="4" w:space="0" w:color="auto"/>
              <w:right w:val="single" w:sz="4" w:space="0" w:color="auto"/>
            </w:tcBorders>
            <w:shd w:val="clear" w:color="auto" w:fill="auto"/>
            <w:noWrap/>
            <w:hideMark/>
          </w:tcPr>
          <w:p w14:paraId="1F4AEA73" w14:textId="77777777" w:rsidR="006F0BB0" w:rsidRPr="006F0BB0" w:rsidRDefault="006F0BB0" w:rsidP="007D1DBA">
            <w:pPr>
              <w:jc w:val="right"/>
              <w:rPr>
                <w:sz w:val="18"/>
                <w:szCs w:val="18"/>
                <w:lang w:val="es-419" w:eastAsia="es-419"/>
              </w:rPr>
            </w:pPr>
            <w:r w:rsidRPr="006F0BB0">
              <w:rPr>
                <w:sz w:val="18"/>
                <w:szCs w:val="18"/>
                <w:lang w:val="es-419" w:eastAsia="es-419"/>
              </w:rPr>
              <w:t>2 571 920</w:t>
            </w:r>
          </w:p>
        </w:tc>
        <w:tc>
          <w:tcPr>
            <w:tcW w:w="950" w:type="dxa"/>
            <w:tcBorders>
              <w:top w:val="nil"/>
              <w:left w:val="nil"/>
              <w:bottom w:val="single" w:sz="4" w:space="0" w:color="auto"/>
              <w:right w:val="single" w:sz="4" w:space="0" w:color="auto"/>
            </w:tcBorders>
            <w:shd w:val="clear" w:color="auto" w:fill="auto"/>
            <w:noWrap/>
            <w:hideMark/>
          </w:tcPr>
          <w:p w14:paraId="18110DF4" w14:textId="77777777" w:rsidR="006F0BB0" w:rsidRPr="006F0BB0" w:rsidRDefault="006F0BB0" w:rsidP="007D1DBA">
            <w:pPr>
              <w:jc w:val="right"/>
              <w:rPr>
                <w:sz w:val="18"/>
                <w:szCs w:val="18"/>
                <w:lang w:val="es-419" w:eastAsia="es-419"/>
              </w:rPr>
            </w:pPr>
            <w:r w:rsidRPr="006F0BB0">
              <w:rPr>
                <w:sz w:val="18"/>
                <w:szCs w:val="18"/>
                <w:lang w:val="es-419" w:eastAsia="es-419"/>
              </w:rPr>
              <w:t>2 649 077</w:t>
            </w:r>
          </w:p>
        </w:tc>
        <w:tc>
          <w:tcPr>
            <w:tcW w:w="950" w:type="dxa"/>
            <w:tcBorders>
              <w:top w:val="nil"/>
              <w:left w:val="nil"/>
              <w:bottom w:val="single" w:sz="4" w:space="0" w:color="auto"/>
              <w:right w:val="single" w:sz="4" w:space="0" w:color="auto"/>
            </w:tcBorders>
            <w:shd w:val="clear" w:color="auto" w:fill="auto"/>
            <w:noWrap/>
            <w:hideMark/>
          </w:tcPr>
          <w:p w14:paraId="61510AC0" w14:textId="77777777" w:rsidR="006F0BB0" w:rsidRPr="006F0BB0" w:rsidRDefault="006F0BB0" w:rsidP="007D1DBA">
            <w:pPr>
              <w:jc w:val="right"/>
              <w:rPr>
                <w:sz w:val="18"/>
                <w:szCs w:val="18"/>
                <w:lang w:val="es-419" w:eastAsia="es-419"/>
              </w:rPr>
            </w:pPr>
            <w:r w:rsidRPr="006F0BB0">
              <w:rPr>
                <w:sz w:val="18"/>
                <w:szCs w:val="18"/>
                <w:lang w:val="es-419" w:eastAsia="es-419"/>
              </w:rPr>
              <w:t>2 728 550</w:t>
            </w:r>
          </w:p>
        </w:tc>
        <w:tc>
          <w:tcPr>
            <w:tcW w:w="950" w:type="dxa"/>
            <w:tcBorders>
              <w:top w:val="nil"/>
              <w:left w:val="nil"/>
              <w:bottom w:val="single" w:sz="4" w:space="0" w:color="auto"/>
              <w:right w:val="single" w:sz="4" w:space="0" w:color="auto"/>
            </w:tcBorders>
            <w:shd w:val="clear" w:color="auto" w:fill="auto"/>
            <w:noWrap/>
            <w:hideMark/>
          </w:tcPr>
          <w:p w14:paraId="7D166208" w14:textId="77777777" w:rsidR="006F0BB0" w:rsidRPr="006F0BB0" w:rsidRDefault="006F0BB0" w:rsidP="007D1DBA">
            <w:pPr>
              <w:jc w:val="right"/>
              <w:rPr>
                <w:sz w:val="18"/>
                <w:szCs w:val="18"/>
                <w:lang w:val="es-419" w:eastAsia="es-419"/>
              </w:rPr>
            </w:pPr>
            <w:r w:rsidRPr="006F0BB0">
              <w:rPr>
                <w:sz w:val="18"/>
                <w:szCs w:val="18"/>
                <w:lang w:val="es-419" w:eastAsia="es-419"/>
              </w:rPr>
              <w:t>2 497 737</w:t>
            </w:r>
          </w:p>
        </w:tc>
        <w:tc>
          <w:tcPr>
            <w:tcW w:w="1005" w:type="dxa"/>
            <w:tcBorders>
              <w:top w:val="nil"/>
              <w:left w:val="nil"/>
              <w:bottom w:val="single" w:sz="4" w:space="0" w:color="auto"/>
              <w:right w:val="single" w:sz="4" w:space="0" w:color="auto"/>
            </w:tcBorders>
            <w:shd w:val="clear" w:color="auto" w:fill="auto"/>
            <w:noWrap/>
            <w:hideMark/>
          </w:tcPr>
          <w:p w14:paraId="5EBBB787" w14:textId="77777777" w:rsidR="006F0BB0" w:rsidRPr="006F0BB0" w:rsidRDefault="006F0BB0" w:rsidP="007D1DBA">
            <w:pPr>
              <w:jc w:val="right"/>
              <w:rPr>
                <w:sz w:val="18"/>
                <w:szCs w:val="18"/>
                <w:lang w:val="es-419" w:eastAsia="es-419"/>
              </w:rPr>
            </w:pPr>
            <w:r w:rsidRPr="006F0BB0">
              <w:rPr>
                <w:sz w:val="18"/>
                <w:szCs w:val="18"/>
                <w:lang w:val="es-419" w:eastAsia="es-419"/>
              </w:rPr>
              <w:t>3 143 577</w:t>
            </w:r>
          </w:p>
        </w:tc>
        <w:tc>
          <w:tcPr>
            <w:tcW w:w="1181" w:type="dxa"/>
            <w:tcBorders>
              <w:top w:val="nil"/>
              <w:left w:val="nil"/>
              <w:bottom w:val="single" w:sz="4" w:space="0" w:color="auto"/>
              <w:right w:val="single" w:sz="4" w:space="0" w:color="auto"/>
            </w:tcBorders>
            <w:shd w:val="clear" w:color="auto" w:fill="auto"/>
            <w:noWrap/>
            <w:hideMark/>
          </w:tcPr>
          <w:p w14:paraId="627CA22A" w14:textId="77777777" w:rsidR="006F0BB0" w:rsidRPr="006F0BB0" w:rsidRDefault="006F0BB0" w:rsidP="007D1DBA">
            <w:pPr>
              <w:jc w:val="right"/>
              <w:rPr>
                <w:sz w:val="18"/>
                <w:szCs w:val="18"/>
                <w:lang w:val="es-419" w:eastAsia="es-419"/>
              </w:rPr>
            </w:pPr>
            <w:r w:rsidRPr="006F0BB0">
              <w:rPr>
                <w:sz w:val="18"/>
                <w:szCs w:val="18"/>
                <w:lang w:val="es-419" w:eastAsia="es-419"/>
              </w:rPr>
              <w:t>86,8%</w:t>
            </w:r>
          </w:p>
        </w:tc>
      </w:tr>
      <w:tr w:rsidR="006F0BB0" w:rsidRPr="006F0BB0" w14:paraId="3332356A"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964CA3" w14:textId="77777777" w:rsidR="006F0BB0" w:rsidRPr="006F0BB0" w:rsidRDefault="006F0BB0" w:rsidP="007D1DBA">
            <w:pPr>
              <w:jc w:val="left"/>
              <w:rPr>
                <w:sz w:val="18"/>
                <w:szCs w:val="18"/>
                <w:lang w:val="es-419" w:eastAsia="es-419"/>
              </w:rPr>
            </w:pPr>
            <w:r w:rsidRPr="006F0BB0">
              <w:rPr>
                <w:sz w:val="18"/>
                <w:szCs w:val="18"/>
                <w:lang w:val="es-419" w:eastAsia="es-419"/>
              </w:rPr>
              <w:t>México</w:t>
            </w:r>
          </w:p>
        </w:tc>
        <w:tc>
          <w:tcPr>
            <w:tcW w:w="950" w:type="dxa"/>
            <w:tcBorders>
              <w:top w:val="nil"/>
              <w:left w:val="nil"/>
              <w:bottom w:val="single" w:sz="4" w:space="0" w:color="auto"/>
              <w:right w:val="single" w:sz="4" w:space="0" w:color="auto"/>
            </w:tcBorders>
            <w:shd w:val="clear" w:color="auto" w:fill="auto"/>
            <w:noWrap/>
            <w:hideMark/>
          </w:tcPr>
          <w:p w14:paraId="67070C7D" w14:textId="77777777" w:rsidR="006F0BB0" w:rsidRPr="006F0BB0" w:rsidRDefault="006F0BB0" w:rsidP="007D1DBA">
            <w:pPr>
              <w:jc w:val="right"/>
              <w:rPr>
                <w:sz w:val="18"/>
                <w:szCs w:val="18"/>
                <w:lang w:val="es-419" w:eastAsia="es-419"/>
              </w:rPr>
            </w:pPr>
            <w:r w:rsidRPr="006F0BB0">
              <w:rPr>
                <w:sz w:val="18"/>
                <w:szCs w:val="18"/>
                <w:lang w:val="es-419" w:eastAsia="es-419"/>
              </w:rPr>
              <w:t>50 263 972</w:t>
            </w:r>
          </w:p>
        </w:tc>
        <w:tc>
          <w:tcPr>
            <w:tcW w:w="950" w:type="dxa"/>
            <w:tcBorders>
              <w:top w:val="nil"/>
              <w:left w:val="nil"/>
              <w:bottom w:val="single" w:sz="4" w:space="0" w:color="auto"/>
              <w:right w:val="single" w:sz="4" w:space="0" w:color="auto"/>
            </w:tcBorders>
            <w:shd w:val="clear" w:color="auto" w:fill="auto"/>
            <w:noWrap/>
            <w:hideMark/>
          </w:tcPr>
          <w:p w14:paraId="1476FA3E" w14:textId="77777777" w:rsidR="006F0BB0" w:rsidRPr="006F0BB0" w:rsidRDefault="006F0BB0" w:rsidP="007D1DBA">
            <w:pPr>
              <w:jc w:val="right"/>
              <w:rPr>
                <w:sz w:val="18"/>
                <w:szCs w:val="18"/>
                <w:lang w:val="es-419" w:eastAsia="es-419"/>
              </w:rPr>
            </w:pPr>
            <w:r w:rsidRPr="006F0BB0">
              <w:rPr>
                <w:sz w:val="18"/>
                <w:szCs w:val="18"/>
                <w:lang w:val="es-419" w:eastAsia="es-419"/>
              </w:rPr>
              <w:t>51 771 891</w:t>
            </w:r>
          </w:p>
        </w:tc>
        <w:tc>
          <w:tcPr>
            <w:tcW w:w="950" w:type="dxa"/>
            <w:tcBorders>
              <w:top w:val="nil"/>
              <w:left w:val="nil"/>
              <w:bottom w:val="single" w:sz="4" w:space="0" w:color="auto"/>
              <w:right w:val="single" w:sz="4" w:space="0" w:color="auto"/>
            </w:tcBorders>
            <w:shd w:val="clear" w:color="auto" w:fill="auto"/>
            <w:noWrap/>
            <w:hideMark/>
          </w:tcPr>
          <w:p w14:paraId="336AE667" w14:textId="77777777" w:rsidR="006F0BB0" w:rsidRPr="006F0BB0" w:rsidRDefault="006F0BB0" w:rsidP="007D1DBA">
            <w:pPr>
              <w:jc w:val="right"/>
              <w:rPr>
                <w:sz w:val="18"/>
                <w:szCs w:val="18"/>
                <w:lang w:val="es-419" w:eastAsia="es-419"/>
              </w:rPr>
            </w:pPr>
            <w:r w:rsidRPr="006F0BB0">
              <w:rPr>
                <w:sz w:val="18"/>
                <w:szCs w:val="18"/>
                <w:lang w:val="es-419" w:eastAsia="es-419"/>
              </w:rPr>
              <w:t>53 325 048</w:t>
            </w:r>
          </w:p>
        </w:tc>
        <w:tc>
          <w:tcPr>
            <w:tcW w:w="950" w:type="dxa"/>
            <w:tcBorders>
              <w:top w:val="nil"/>
              <w:left w:val="nil"/>
              <w:bottom w:val="single" w:sz="4" w:space="0" w:color="auto"/>
              <w:right w:val="single" w:sz="4" w:space="0" w:color="auto"/>
            </w:tcBorders>
            <w:shd w:val="clear" w:color="auto" w:fill="auto"/>
            <w:noWrap/>
            <w:hideMark/>
          </w:tcPr>
          <w:p w14:paraId="2715DB01" w14:textId="77777777" w:rsidR="006F0BB0" w:rsidRPr="006F0BB0" w:rsidRDefault="006F0BB0" w:rsidP="007D1DBA">
            <w:pPr>
              <w:jc w:val="right"/>
              <w:rPr>
                <w:sz w:val="18"/>
                <w:szCs w:val="18"/>
                <w:lang w:val="es-419" w:eastAsia="es-419"/>
              </w:rPr>
            </w:pPr>
            <w:r w:rsidRPr="006F0BB0">
              <w:rPr>
                <w:sz w:val="18"/>
                <w:szCs w:val="18"/>
                <w:lang w:val="es-419" w:eastAsia="es-419"/>
              </w:rPr>
              <w:t>54 924 799</w:t>
            </w:r>
          </w:p>
        </w:tc>
        <w:tc>
          <w:tcPr>
            <w:tcW w:w="950" w:type="dxa"/>
            <w:tcBorders>
              <w:top w:val="nil"/>
              <w:left w:val="nil"/>
              <w:bottom w:val="single" w:sz="4" w:space="0" w:color="auto"/>
              <w:right w:val="single" w:sz="4" w:space="0" w:color="auto"/>
            </w:tcBorders>
            <w:shd w:val="clear" w:color="auto" w:fill="auto"/>
            <w:noWrap/>
            <w:hideMark/>
          </w:tcPr>
          <w:p w14:paraId="0C7F8A30" w14:textId="77777777" w:rsidR="006F0BB0" w:rsidRPr="006F0BB0" w:rsidRDefault="006F0BB0" w:rsidP="007D1DBA">
            <w:pPr>
              <w:jc w:val="right"/>
              <w:rPr>
                <w:sz w:val="18"/>
                <w:szCs w:val="18"/>
                <w:lang w:val="es-419" w:eastAsia="es-419"/>
              </w:rPr>
            </w:pPr>
            <w:r w:rsidRPr="006F0BB0">
              <w:rPr>
                <w:sz w:val="18"/>
                <w:szCs w:val="18"/>
                <w:lang w:val="es-419" w:eastAsia="es-419"/>
              </w:rPr>
              <w:t>56 572 543</w:t>
            </w:r>
          </w:p>
        </w:tc>
        <w:tc>
          <w:tcPr>
            <w:tcW w:w="950" w:type="dxa"/>
            <w:tcBorders>
              <w:top w:val="nil"/>
              <w:left w:val="nil"/>
              <w:bottom w:val="single" w:sz="4" w:space="0" w:color="auto"/>
              <w:right w:val="single" w:sz="4" w:space="0" w:color="auto"/>
            </w:tcBorders>
            <w:shd w:val="clear" w:color="auto" w:fill="auto"/>
            <w:noWrap/>
            <w:hideMark/>
          </w:tcPr>
          <w:p w14:paraId="13E4F83B" w14:textId="77777777" w:rsidR="006F0BB0" w:rsidRPr="006F0BB0" w:rsidRDefault="006F0BB0" w:rsidP="007D1DBA">
            <w:pPr>
              <w:jc w:val="right"/>
              <w:rPr>
                <w:sz w:val="18"/>
                <w:szCs w:val="18"/>
                <w:lang w:val="es-419" w:eastAsia="es-419"/>
              </w:rPr>
            </w:pPr>
            <w:r w:rsidRPr="006F0BB0">
              <w:rPr>
                <w:sz w:val="18"/>
                <w:szCs w:val="18"/>
                <w:lang w:val="es-419" w:eastAsia="es-419"/>
              </w:rPr>
              <w:t>58 269 720</w:t>
            </w:r>
          </w:p>
        </w:tc>
        <w:tc>
          <w:tcPr>
            <w:tcW w:w="950" w:type="dxa"/>
            <w:tcBorders>
              <w:top w:val="nil"/>
              <w:left w:val="nil"/>
              <w:bottom w:val="single" w:sz="4" w:space="0" w:color="auto"/>
              <w:right w:val="single" w:sz="4" w:space="0" w:color="auto"/>
            </w:tcBorders>
            <w:shd w:val="clear" w:color="auto" w:fill="auto"/>
            <w:noWrap/>
            <w:hideMark/>
          </w:tcPr>
          <w:p w14:paraId="5213AA07" w14:textId="77777777" w:rsidR="006F0BB0" w:rsidRPr="006F0BB0" w:rsidRDefault="006F0BB0" w:rsidP="007D1DBA">
            <w:pPr>
              <w:jc w:val="right"/>
              <w:rPr>
                <w:sz w:val="18"/>
                <w:szCs w:val="18"/>
                <w:lang w:val="es-419" w:eastAsia="es-419"/>
              </w:rPr>
            </w:pPr>
            <w:r w:rsidRPr="006F0BB0">
              <w:rPr>
                <w:sz w:val="18"/>
                <w:szCs w:val="18"/>
                <w:lang w:val="es-419" w:eastAsia="es-419"/>
              </w:rPr>
              <w:t>53 340 579</w:t>
            </w:r>
          </w:p>
        </w:tc>
        <w:tc>
          <w:tcPr>
            <w:tcW w:w="1005" w:type="dxa"/>
            <w:tcBorders>
              <w:top w:val="nil"/>
              <w:left w:val="nil"/>
              <w:bottom w:val="single" w:sz="4" w:space="0" w:color="auto"/>
              <w:right w:val="single" w:sz="4" w:space="0" w:color="auto"/>
            </w:tcBorders>
            <w:shd w:val="clear" w:color="auto" w:fill="auto"/>
            <w:noWrap/>
            <w:hideMark/>
          </w:tcPr>
          <w:p w14:paraId="576EAA08" w14:textId="77777777" w:rsidR="006F0BB0" w:rsidRPr="006F0BB0" w:rsidRDefault="006F0BB0" w:rsidP="007D1DBA">
            <w:pPr>
              <w:jc w:val="right"/>
              <w:rPr>
                <w:sz w:val="18"/>
                <w:szCs w:val="18"/>
                <w:lang w:val="es-419" w:eastAsia="es-419"/>
              </w:rPr>
            </w:pPr>
            <w:r w:rsidRPr="006F0BB0">
              <w:rPr>
                <w:sz w:val="18"/>
                <w:szCs w:val="18"/>
                <w:lang w:val="es-419" w:eastAsia="es-419"/>
              </w:rPr>
              <w:t>66 366 563</w:t>
            </w:r>
          </w:p>
        </w:tc>
        <w:tc>
          <w:tcPr>
            <w:tcW w:w="1181" w:type="dxa"/>
            <w:tcBorders>
              <w:top w:val="nil"/>
              <w:left w:val="nil"/>
              <w:bottom w:val="single" w:sz="4" w:space="0" w:color="auto"/>
              <w:right w:val="single" w:sz="4" w:space="0" w:color="auto"/>
            </w:tcBorders>
            <w:shd w:val="clear" w:color="auto" w:fill="auto"/>
            <w:noWrap/>
            <w:hideMark/>
          </w:tcPr>
          <w:p w14:paraId="4B7DC66E" w14:textId="77777777" w:rsidR="006F0BB0" w:rsidRPr="006F0BB0" w:rsidRDefault="006F0BB0" w:rsidP="007D1DBA">
            <w:pPr>
              <w:jc w:val="right"/>
              <w:rPr>
                <w:sz w:val="18"/>
                <w:szCs w:val="18"/>
                <w:lang w:val="es-419" w:eastAsia="es-419"/>
              </w:rPr>
            </w:pPr>
            <w:r w:rsidRPr="006F0BB0">
              <w:rPr>
                <w:sz w:val="18"/>
                <w:szCs w:val="18"/>
                <w:lang w:val="es-419" w:eastAsia="es-419"/>
              </w:rPr>
              <w:t>87,8%</w:t>
            </w:r>
          </w:p>
        </w:tc>
      </w:tr>
      <w:tr w:rsidR="006F0BB0" w:rsidRPr="006F0BB0" w14:paraId="79F80C1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37F9FA" w14:textId="77777777" w:rsidR="006F0BB0" w:rsidRPr="006F0BB0" w:rsidRDefault="006F0BB0" w:rsidP="007D1DBA">
            <w:pPr>
              <w:jc w:val="left"/>
              <w:rPr>
                <w:sz w:val="18"/>
                <w:szCs w:val="18"/>
                <w:lang w:val="es-419" w:eastAsia="es-419"/>
              </w:rPr>
            </w:pPr>
            <w:r w:rsidRPr="006F0BB0">
              <w:rPr>
                <w:sz w:val="18"/>
                <w:szCs w:val="18"/>
                <w:lang w:val="es-419" w:eastAsia="es-419"/>
              </w:rPr>
              <w:t>Cuba</w:t>
            </w:r>
          </w:p>
        </w:tc>
        <w:tc>
          <w:tcPr>
            <w:tcW w:w="950" w:type="dxa"/>
            <w:tcBorders>
              <w:top w:val="nil"/>
              <w:left w:val="nil"/>
              <w:bottom w:val="single" w:sz="4" w:space="0" w:color="auto"/>
              <w:right w:val="single" w:sz="4" w:space="0" w:color="auto"/>
            </w:tcBorders>
            <w:shd w:val="clear" w:color="auto" w:fill="auto"/>
            <w:noWrap/>
            <w:hideMark/>
          </w:tcPr>
          <w:p w14:paraId="067DB6D4" w14:textId="77777777" w:rsidR="006F0BB0" w:rsidRPr="006F0BB0" w:rsidRDefault="006F0BB0" w:rsidP="007D1DBA">
            <w:pPr>
              <w:jc w:val="right"/>
              <w:rPr>
                <w:sz w:val="18"/>
                <w:szCs w:val="18"/>
                <w:lang w:val="es-419" w:eastAsia="es-419"/>
              </w:rPr>
            </w:pPr>
            <w:r w:rsidRPr="006F0BB0">
              <w:rPr>
                <w:sz w:val="18"/>
                <w:szCs w:val="18"/>
                <w:lang w:val="es-419" w:eastAsia="es-419"/>
              </w:rPr>
              <w:t>1 254 931</w:t>
            </w:r>
          </w:p>
        </w:tc>
        <w:tc>
          <w:tcPr>
            <w:tcW w:w="950" w:type="dxa"/>
            <w:tcBorders>
              <w:top w:val="nil"/>
              <w:left w:val="nil"/>
              <w:bottom w:val="single" w:sz="4" w:space="0" w:color="auto"/>
              <w:right w:val="single" w:sz="4" w:space="0" w:color="auto"/>
            </w:tcBorders>
            <w:shd w:val="clear" w:color="auto" w:fill="auto"/>
            <w:noWrap/>
            <w:hideMark/>
          </w:tcPr>
          <w:p w14:paraId="1FDB8FAD" w14:textId="77777777" w:rsidR="006F0BB0" w:rsidRPr="006F0BB0" w:rsidRDefault="006F0BB0" w:rsidP="007D1DBA">
            <w:pPr>
              <w:jc w:val="right"/>
              <w:rPr>
                <w:sz w:val="18"/>
                <w:szCs w:val="18"/>
                <w:lang w:val="es-419" w:eastAsia="es-419"/>
              </w:rPr>
            </w:pPr>
            <w:r w:rsidRPr="006F0BB0">
              <w:rPr>
                <w:sz w:val="18"/>
                <w:szCs w:val="18"/>
                <w:lang w:val="es-419" w:eastAsia="es-419"/>
              </w:rPr>
              <w:t>1 292 579</w:t>
            </w:r>
          </w:p>
        </w:tc>
        <w:tc>
          <w:tcPr>
            <w:tcW w:w="950" w:type="dxa"/>
            <w:tcBorders>
              <w:top w:val="nil"/>
              <w:left w:val="nil"/>
              <w:bottom w:val="single" w:sz="4" w:space="0" w:color="auto"/>
              <w:right w:val="single" w:sz="4" w:space="0" w:color="auto"/>
            </w:tcBorders>
            <w:shd w:val="clear" w:color="auto" w:fill="auto"/>
            <w:noWrap/>
            <w:hideMark/>
          </w:tcPr>
          <w:p w14:paraId="45239D37" w14:textId="77777777" w:rsidR="006F0BB0" w:rsidRPr="006F0BB0" w:rsidRDefault="006F0BB0" w:rsidP="007D1DBA">
            <w:pPr>
              <w:jc w:val="right"/>
              <w:rPr>
                <w:sz w:val="18"/>
                <w:szCs w:val="18"/>
                <w:lang w:val="es-419" w:eastAsia="es-419"/>
              </w:rPr>
            </w:pPr>
            <w:r w:rsidRPr="006F0BB0">
              <w:rPr>
                <w:sz w:val="18"/>
                <w:szCs w:val="18"/>
                <w:lang w:val="es-419" w:eastAsia="es-419"/>
              </w:rPr>
              <w:t>1 331 356</w:t>
            </w:r>
          </w:p>
        </w:tc>
        <w:tc>
          <w:tcPr>
            <w:tcW w:w="950" w:type="dxa"/>
            <w:tcBorders>
              <w:top w:val="nil"/>
              <w:left w:val="nil"/>
              <w:bottom w:val="single" w:sz="4" w:space="0" w:color="auto"/>
              <w:right w:val="single" w:sz="4" w:space="0" w:color="auto"/>
            </w:tcBorders>
            <w:shd w:val="clear" w:color="auto" w:fill="auto"/>
            <w:noWrap/>
            <w:hideMark/>
          </w:tcPr>
          <w:p w14:paraId="025317C2" w14:textId="77777777" w:rsidR="006F0BB0" w:rsidRPr="006F0BB0" w:rsidRDefault="006F0BB0" w:rsidP="007D1DBA">
            <w:pPr>
              <w:jc w:val="right"/>
              <w:rPr>
                <w:sz w:val="18"/>
                <w:szCs w:val="18"/>
                <w:lang w:val="es-419" w:eastAsia="es-419"/>
              </w:rPr>
            </w:pPr>
            <w:r w:rsidRPr="006F0BB0">
              <w:rPr>
                <w:sz w:val="18"/>
                <w:szCs w:val="18"/>
                <w:lang w:val="es-419" w:eastAsia="es-419"/>
              </w:rPr>
              <w:t>1 371 297</w:t>
            </w:r>
          </w:p>
        </w:tc>
        <w:tc>
          <w:tcPr>
            <w:tcW w:w="950" w:type="dxa"/>
            <w:tcBorders>
              <w:top w:val="nil"/>
              <w:left w:val="nil"/>
              <w:bottom w:val="single" w:sz="4" w:space="0" w:color="auto"/>
              <w:right w:val="single" w:sz="4" w:space="0" w:color="auto"/>
            </w:tcBorders>
            <w:shd w:val="clear" w:color="auto" w:fill="auto"/>
            <w:noWrap/>
            <w:hideMark/>
          </w:tcPr>
          <w:p w14:paraId="48C3199C" w14:textId="77777777" w:rsidR="006F0BB0" w:rsidRPr="006F0BB0" w:rsidRDefault="006F0BB0" w:rsidP="007D1DBA">
            <w:pPr>
              <w:jc w:val="right"/>
              <w:rPr>
                <w:sz w:val="18"/>
                <w:szCs w:val="18"/>
                <w:lang w:val="es-419" w:eastAsia="es-419"/>
              </w:rPr>
            </w:pPr>
            <w:r w:rsidRPr="006F0BB0">
              <w:rPr>
                <w:sz w:val="18"/>
                <w:szCs w:val="18"/>
                <w:lang w:val="es-419" w:eastAsia="es-419"/>
              </w:rPr>
              <w:t>1 412 436</w:t>
            </w:r>
          </w:p>
        </w:tc>
        <w:tc>
          <w:tcPr>
            <w:tcW w:w="950" w:type="dxa"/>
            <w:tcBorders>
              <w:top w:val="nil"/>
              <w:left w:val="nil"/>
              <w:bottom w:val="single" w:sz="4" w:space="0" w:color="auto"/>
              <w:right w:val="single" w:sz="4" w:space="0" w:color="auto"/>
            </w:tcBorders>
            <w:shd w:val="clear" w:color="auto" w:fill="auto"/>
            <w:noWrap/>
            <w:hideMark/>
          </w:tcPr>
          <w:p w14:paraId="7FBA4EFC" w14:textId="77777777" w:rsidR="006F0BB0" w:rsidRPr="006F0BB0" w:rsidRDefault="006F0BB0" w:rsidP="007D1DBA">
            <w:pPr>
              <w:jc w:val="right"/>
              <w:rPr>
                <w:sz w:val="18"/>
                <w:szCs w:val="18"/>
                <w:lang w:val="es-419" w:eastAsia="es-419"/>
              </w:rPr>
            </w:pPr>
            <w:r w:rsidRPr="006F0BB0">
              <w:rPr>
                <w:sz w:val="18"/>
                <w:szCs w:val="18"/>
                <w:lang w:val="es-419" w:eastAsia="es-419"/>
              </w:rPr>
              <w:t>1 454 809</w:t>
            </w:r>
          </w:p>
        </w:tc>
        <w:tc>
          <w:tcPr>
            <w:tcW w:w="950" w:type="dxa"/>
            <w:tcBorders>
              <w:top w:val="nil"/>
              <w:left w:val="nil"/>
              <w:bottom w:val="single" w:sz="4" w:space="0" w:color="auto"/>
              <w:right w:val="single" w:sz="4" w:space="0" w:color="auto"/>
            </w:tcBorders>
            <w:shd w:val="clear" w:color="auto" w:fill="auto"/>
            <w:noWrap/>
            <w:hideMark/>
          </w:tcPr>
          <w:p w14:paraId="29751E2C" w14:textId="77777777" w:rsidR="006F0BB0" w:rsidRPr="006F0BB0" w:rsidRDefault="006F0BB0" w:rsidP="007D1DBA">
            <w:pPr>
              <w:jc w:val="right"/>
              <w:rPr>
                <w:sz w:val="18"/>
                <w:szCs w:val="18"/>
                <w:lang w:val="es-419" w:eastAsia="es-419"/>
              </w:rPr>
            </w:pPr>
            <w:r w:rsidRPr="006F0BB0">
              <w:rPr>
                <w:sz w:val="18"/>
                <w:szCs w:val="18"/>
                <w:lang w:val="es-419" w:eastAsia="es-419"/>
              </w:rPr>
              <w:t>1 331 744</w:t>
            </w:r>
          </w:p>
        </w:tc>
        <w:tc>
          <w:tcPr>
            <w:tcW w:w="1005" w:type="dxa"/>
            <w:tcBorders>
              <w:top w:val="nil"/>
              <w:left w:val="nil"/>
              <w:bottom w:val="single" w:sz="4" w:space="0" w:color="auto"/>
              <w:right w:val="single" w:sz="4" w:space="0" w:color="auto"/>
            </w:tcBorders>
            <w:shd w:val="clear" w:color="auto" w:fill="auto"/>
            <w:noWrap/>
            <w:hideMark/>
          </w:tcPr>
          <w:p w14:paraId="0D1344F2" w14:textId="77777777" w:rsidR="006F0BB0" w:rsidRPr="006F0BB0" w:rsidRDefault="006F0BB0" w:rsidP="007D1DBA">
            <w:pPr>
              <w:jc w:val="right"/>
              <w:rPr>
                <w:sz w:val="18"/>
                <w:szCs w:val="18"/>
                <w:lang w:val="es-419" w:eastAsia="es-419"/>
              </w:rPr>
            </w:pPr>
            <w:r w:rsidRPr="006F0BB0">
              <w:rPr>
                <w:sz w:val="18"/>
                <w:szCs w:val="18"/>
                <w:lang w:val="es-419" w:eastAsia="es-419"/>
              </w:rPr>
              <w:t>1 648 177</w:t>
            </w:r>
          </w:p>
        </w:tc>
        <w:tc>
          <w:tcPr>
            <w:tcW w:w="1181" w:type="dxa"/>
            <w:tcBorders>
              <w:top w:val="nil"/>
              <w:left w:val="nil"/>
              <w:bottom w:val="single" w:sz="4" w:space="0" w:color="auto"/>
              <w:right w:val="single" w:sz="4" w:space="0" w:color="auto"/>
            </w:tcBorders>
            <w:shd w:val="clear" w:color="auto" w:fill="auto"/>
            <w:noWrap/>
            <w:hideMark/>
          </w:tcPr>
          <w:p w14:paraId="3748ABEA" w14:textId="77777777" w:rsidR="006F0BB0" w:rsidRPr="006F0BB0" w:rsidRDefault="006F0BB0" w:rsidP="007D1DBA">
            <w:pPr>
              <w:jc w:val="right"/>
              <w:rPr>
                <w:sz w:val="18"/>
                <w:szCs w:val="18"/>
                <w:lang w:val="es-419" w:eastAsia="es-419"/>
              </w:rPr>
            </w:pPr>
            <w:r w:rsidRPr="006F0BB0">
              <w:rPr>
                <w:sz w:val="18"/>
                <w:szCs w:val="18"/>
                <w:lang w:val="es-419" w:eastAsia="es-419"/>
              </w:rPr>
              <w:t>88,3%</w:t>
            </w:r>
          </w:p>
        </w:tc>
      </w:tr>
      <w:tr w:rsidR="006F0BB0" w:rsidRPr="006F0BB0" w14:paraId="394AD23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F4D7A0" w14:textId="77777777" w:rsidR="006F0BB0" w:rsidRPr="006F0BB0" w:rsidRDefault="006F0BB0" w:rsidP="007D1DBA">
            <w:pPr>
              <w:jc w:val="left"/>
              <w:rPr>
                <w:sz w:val="18"/>
                <w:szCs w:val="18"/>
                <w:lang w:val="es-419" w:eastAsia="es-419"/>
              </w:rPr>
            </w:pPr>
            <w:r w:rsidRPr="006F0BB0">
              <w:rPr>
                <w:sz w:val="18"/>
                <w:szCs w:val="18"/>
                <w:lang w:val="es-419" w:eastAsia="es-419"/>
              </w:rPr>
              <w:t>Chile</w:t>
            </w:r>
          </w:p>
        </w:tc>
        <w:tc>
          <w:tcPr>
            <w:tcW w:w="950" w:type="dxa"/>
            <w:tcBorders>
              <w:top w:val="nil"/>
              <w:left w:val="nil"/>
              <w:bottom w:val="single" w:sz="4" w:space="0" w:color="auto"/>
              <w:right w:val="single" w:sz="4" w:space="0" w:color="auto"/>
            </w:tcBorders>
            <w:shd w:val="clear" w:color="auto" w:fill="auto"/>
            <w:noWrap/>
            <w:hideMark/>
          </w:tcPr>
          <w:p w14:paraId="3B00E5F9" w14:textId="77777777" w:rsidR="006F0BB0" w:rsidRPr="006F0BB0" w:rsidRDefault="006F0BB0" w:rsidP="007D1DBA">
            <w:pPr>
              <w:jc w:val="right"/>
              <w:rPr>
                <w:sz w:val="18"/>
                <w:szCs w:val="18"/>
                <w:lang w:val="es-419" w:eastAsia="es-419"/>
              </w:rPr>
            </w:pPr>
            <w:r w:rsidRPr="006F0BB0">
              <w:rPr>
                <w:sz w:val="18"/>
                <w:szCs w:val="18"/>
                <w:lang w:val="es-419" w:eastAsia="es-419"/>
              </w:rPr>
              <w:t>4 763 686</w:t>
            </w:r>
          </w:p>
        </w:tc>
        <w:tc>
          <w:tcPr>
            <w:tcW w:w="950" w:type="dxa"/>
            <w:tcBorders>
              <w:top w:val="nil"/>
              <w:left w:val="nil"/>
              <w:bottom w:val="single" w:sz="4" w:space="0" w:color="auto"/>
              <w:right w:val="single" w:sz="4" w:space="0" w:color="auto"/>
            </w:tcBorders>
            <w:shd w:val="clear" w:color="auto" w:fill="auto"/>
            <w:noWrap/>
            <w:hideMark/>
          </w:tcPr>
          <w:p w14:paraId="2C835AEC" w14:textId="77777777" w:rsidR="006F0BB0" w:rsidRPr="006F0BB0" w:rsidRDefault="006F0BB0" w:rsidP="007D1DBA">
            <w:pPr>
              <w:jc w:val="right"/>
              <w:rPr>
                <w:sz w:val="18"/>
                <w:szCs w:val="18"/>
                <w:lang w:val="es-419" w:eastAsia="es-419"/>
              </w:rPr>
            </w:pPr>
            <w:r w:rsidRPr="006F0BB0">
              <w:rPr>
                <w:sz w:val="18"/>
                <w:szCs w:val="18"/>
                <w:lang w:val="es-419" w:eastAsia="es-419"/>
              </w:rPr>
              <w:t>4 906 597</w:t>
            </w:r>
          </w:p>
        </w:tc>
        <w:tc>
          <w:tcPr>
            <w:tcW w:w="950" w:type="dxa"/>
            <w:tcBorders>
              <w:top w:val="nil"/>
              <w:left w:val="nil"/>
              <w:bottom w:val="single" w:sz="4" w:space="0" w:color="auto"/>
              <w:right w:val="single" w:sz="4" w:space="0" w:color="auto"/>
            </w:tcBorders>
            <w:shd w:val="clear" w:color="auto" w:fill="auto"/>
            <w:noWrap/>
            <w:hideMark/>
          </w:tcPr>
          <w:p w14:paraId="4643E4EE" w14:textId="77777777" w:rsidR="006F0BB0" w:rsidRPr="006F0BB0" w:rsidRDefault="006F0BB0" w:rsidP="007D1DBA">
            <w:pPr>
              <w:jc w:val="right"/>
              <w:rPr>
                <w:sz w:val="18"/>
                <w:szCs w:val="18"/>
                <w:lang w:val="es-419" w:eastAsia="es-419"/>
              </w:rPr>
            </w:pPr>
            <w:r w:rsidRPr="006F0BB0">
              <w:rPr>
                <w:sz w:val="18"/>
                <w:szCs w:val="18"/>
                <w:lang w:val="es-419" w:eastAsia="es-419"/>
              </w:rPr>
              <w:t>5 053 794</w:t>
            </w:r>
          </w:p>
        </w:tc>
        <w:tc>
          <w:tcPr>
            <w:tcW w:w="950" w:type="dxa"/>
            <w:tcBorders>
              <w:top w:val="nil"/>
              <w:left w:val="nil"/>
              <w:bottom w:val="single" w:sz="4" w:space="0" w:color="auto"/>
              <w:right w:val="single" w:sz="4" w:space="0" w:color="auto"/>
            </w:tcBorders>
            <w:shd w:val="clear" w:color="auto" w:fill="auto"/>
            <w:noWrap/>
            <w:hideMark/>
          </w:tcPr>
          <w:p w14:paraId="35B24618" w14:textId="77777777" w:rsidR="006F0BB0" w:rsidRPr="006F0BB0" w:rsidRDefault="006F0BB0" w:rsidP="007D1DBA">
            <w:pPr>
              <w:jc w:val="right"/>
              <w:rPr>
                <w:sz w:val="18"/>
                <w:szCs w:val="18"/>
                <w:lang w:val="es-419" w:eastAsia="es-419"/>
              </w:rPr>
            </w:pPr>
            <w:r w:rsidRPr="006F0BB0">
              <w:rPr>
                <w:sz w:val="18"/>
                <w:szCs w:val="18"/>
                <w:lang w:val="es-419" w:eastAsia="es-419"/>
              </w:rPr>
              <w:t>5 205 408</w:t>
            </w:r>
          </w:p>
        </w:tc>
        <w:tc>
          <w:tcPr>
            <w:tcW w:w="950" w:type="dxa"/>
            <w:tcBorders>
              <w:top w:val="nil"/>
              <w:left w:val="nil"/>
              <w:bottom w:val="single" w:sz="4" w:space="0" w:color="auto"/>
              <w:right w:val="single" w:sz="4" w:space="0" w:color="auto"/>
            </w:tcBorders>
            <w:shd w:val="clear" w:color="auto" w:fill="auto"/>
            <w:noWrap/>
            <w:hideMark/>
          </w:tcPr>
          <w:p w14:paraId="1337D313" w14:textId="77777777" w:rsidR="006F0BB0" w:rsidRPr="006F0BB0" w:rsidRDefault="006F0BB0" w:rsidP="007D1DBA">
            <w:pPr>
              <w:jc w:val="right"/>
              <w:rPr>
                <w:sz w:val="18"/>
                <w:szCs w:val="18"/>
                <w:lang w:val="es-419" w:eastAsia="es-419"/>
              </w:rPr>
            </w:pPr>
            <w:r w:rsidRPr="006F0BB0">
              <w:rPr>
                <w:sz w:val="18"/>
                <w:szCs w:val="18"/>
                <w:lang w:val="es-419" w:eastAsia="es-419"/>
              </w:rPr>
              <w:t>5 361 571</w:t>
            </w:r>
          </w:p>
        </w:tc>
        <w:tc>
          <w:tcPr>
            <w:tcW w:w="950" w:type="dxa"/>
            <w:tcBorders>
              <w:top w:val="nil"/>
              <w:left w:val="nil"/>
              <w:bottom w:val="single" w:sz="4" w:space="0" w:color="auto"/>
              <w:right w:val="single" w:sz="4" w:space="0" w:color="auto"/>
            </w:tcBorders>
            <w:shd w:val="clear" w:color="auto" w:fill="auto"/>
            <w:noWrap/>
            <w:hideMark/>
          </w:tcPr>
          <w:p w14:paraId="5FA936E6" w14:textId="77777777" w:rsidR="006F0BB0" w:rsidRPr="006F0BB0" w:rsidRDefault="006F0BB0" w:rsidP="007D1DBA">
            <w:pPr>
              <w:jc w:val="right"/>
              <w:rPr>
                <w:sz w:val="18"/>
                <w:szCs w:val="18"/>
                <w:lang w:val="es-419" w:eastAsia="es-419"/>
              </w:rPr>
            </w:pPr>
            <w:r w:rsidRPr="006F0BB0">
              <w:rPr>
                <w:sz w:val="18"/>
                <w:szCs w:val="18"/>
                <w:lang w:val="es-419" w:eastAsia="es-419"/>
              </w:rPr>
              <w:t>5 522 418</w:t>
            </w:r>
          </w:p>
        </w:tc>
        <w:tc>
          <w:tcPr>
            <w:tcW w:w="950" w:type="dxa"/>
            <w:tcBorders>
              <w:top w:val="nil"/>
              <w:left w:val="nil"/>
              <w:bottom w:val="single" w:sz="4" w:space="0" w:color="auto"/>
              <w:right w:val="single" w:sz="4" w:space="0" w:color="auto"/>
            </w:tcBorders>
            <w:shd w:val="clear" w:color="auto" w:fill="auto"/>
            <w:noWrap/>
            <w:hideMark/>
          </w:tcPr>
          <w:p w14:paraId="79ABFBD4" w14:textId="77777777" w:rsidR="006F0BB0" w:rsidRPr="006F0BB0" w:rsidRDefault="006F0BB0" w:rsidP="007D1DBA">
            <w:pPr>
              <w:jc w:val="right"/>
              <w:rPr>
                <w:sz w:val="18"/>
                <w:szCs w:val="18"/>
                <w:lang w:val="es-419" w:eastAsia="es-419"/>
              </w:rPr>
            </w:pPr>
            <w:r w:rsidRPr="006F0BB0">
              <w:rPr>
                <w:sz w:val="18"/>
                <w:szCs w:val="18"/>
                <w:lang w:val="es-419" w:eastAsia="es-419"/>
              </w:rPr>
              <w:t>5 055 266</w:t>
            </w:r>
          </w:p>
        </w:tc>
        <w:tc>
          <w:tcPr>
            <w:tcW w:w="1005" w:type="dxa"/>
            <w:tcBorders>
              <w:top w:val="nil"/>
              <w:left w:val="nil"/>
              <w:bottom w:val="single" w:sz="4" w:space="0" w:color="auto"/>
              <w:right w:val="single" w:sz="4" w:space="0" w:color="auto"/>
            </w:tcBorders>
            <w:shd w:val="clear" w:color="auto" w:fill="auto"/>
            <w:noWrap/>
            <w:hideMark/>
          </w:tcPr>
          <w:p w14:paraId="55E8F1E5" w14:textId="77777777" w:rsidR="006F0BB0" w:rsidRPr="006F0BB0" w:rsidRDefault="006F0BB0" w:rsidP="007D1DBA">
            <w:pPr>
              <w:jc w:val="right"/>
              <w:rPr>
                <w:sz w:val="18"/>
                <w:szCs w:val="18"/>
                <w:lang w:val="es-419" w:eastAsia="es-419"/>
              </w:rPr>
            </w:pPr>
            <w:r w:rsidRPr="006F0BB0">
              <w:rPr>
                <w:sz w:val="18"/>
                <w:szCs w:val="18"/>
                <w:lang w:val="es-419" w:eastAsia="es-419"/>
              </w:rPr>
              <w:t>6 248 912</w:t>
            </w:r>
          </w:p>
        </w:tc>
        <w:tc>
          <w:tcPr>
            <w:tcW w:w="1181" w:type="dxa"/>
            <w:tcBorders>
              <w:top w:val="nil"/>
              <w:left w:val="nil"/>
              <w:bottom w:val="single" w:sz="4" w:space="0" w:color="auto"/>
              <w:right w:val="single" w:sz="4" w:space="0" w:color="auto"/>
            </w:tcBorders>
            <w:shd w:val="clear" w:color="auto" w:fill="auto"/>
            <w:noWrap/>
            <w:hideMark/>
          </w:tcPr>
          <w:p w14:paraId="6494BE06" w14:textId="77777777" w:rsidR="006F0BB0" w:rsidRPr="006F0BB0" w:rsidRDefault="006F0BB0" w:rsidP="007D1DBA">
            <w:pPr>
              <w:jc w:val="right"/>
              <w:rPr>
                <w:sz w:val="18"/>
                <w:szCs w:val="18"/>
                <w:lang w:val="es-419" w:eastAsia="es-419"/>
              </w:rPr>
            </w:pPr>
            <w:r w:rsidRPr="006F0BB0">
              <w:rPr>
                <w:sz w:val="18"/>
                <w:szCs w:val="18"/>
                <w:lang w:val="es-419" w:eastAsia="es-419"/>
              </w:rPr>
              <w:t>88,4%</w:t>
            </w:r>
          </w:p>
        </w:tc>
      </w:tr>
      <w:tr w:rsidR="006F0BB0" w:rsidRPr="006F0BB0" w14:paraId="34B8CB0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700A69" w14:textId="77777777" w:rsidR="006F0BB0" w:rsidRPr="006F0BB0" w:rsidRDefault="006F0BB0" w:rsidP="007D1DBA">
            <w:pPr>
              <w:jc w:val="left"/>
              <w:rPr>
                <w:sz w:val="18"/>
                <w:szCs w:val="18"/>
                <w:lang w:val="es-419" w:eastAsia="es-419"/>
              </w:rPr>
            </w:pPr>
            <w:r w:rsidRPr="006F0BB0">
              <w:rPr>
                <w:sz w:val="18"/>
                <w:szCs w:val="18"/>
                <w:lang w:val="es-419" w:eastAsia="es-419"/>
              </w:rPr>
              <w:t>Kirguistán</w:t>
            </w:r>
          </w:p>
        </w:tc>
        <w:tc>
          <w:tcPr>
            <w:tcW w:w="950" w:type="dxa"/>
            <w:tcBorders>
              <w:top w:val="nil"/>
              <w:left w:val="nil"/>
              <w:bottom w:val="single" w:sz="4" w:space="0" w:color="auto"/>
              <w:right w:val="single" w:sz="4" w:space="0" w:color="auto"/>
            </w:tcBorders>
            <w:shd w:val="clear" w:color="auto" w:fill="auto"/>
            <w:noWrap/>
            <w:hideMark/>
          </w:tcPr>
          <w:p w14:paraId="134C23FB" w14:textId="77777777" w:rsidR="006F0BB0" w:rsidRPr="006F0BB0" w:rsidRDefault="006F0BB0" w:rsidP="007D1DBA">
            <w:pPr>
              <w:jc w:val="right"/>
              <w:rPr>
                <w:sz w:val="18"/>
                <w:szCs w:val="18"/>
                <w:lang w:val="es-419" w:eastAsia="es-419"/>
              </w:rPr>
            </w:pPr>
            <w:r w:rsidRPr="006F0BB0">
              <w:rPr>
                <w:sz w:val="18"/>
                <w:szCs w:val="18"/>
                <w:lang w:val="es-419" w:eastAsia="es-419"/>
              </w:rPr>
              <w:t>304 301</w:t>
            </w:r>
          </w:p>
        </w:tc>
        <w:tc>
          <w:tcPr>
            <w:tcW w:w="950" w:type="dxa"/>
            <w:tcBorders>
              <w:top w:val="nil"/>
              <w:left w:val="nil"/>
              <w:bottom w:val="single" w:sz="4" w:space="0" w:color="auto"/>
              <w:right w:val="single" w:sz="4" w:space="0" w:color="auto"/>
            </w:tcBorders>
            <w:shd w:val="clear" w:color="auto" w:fill="auto"/>
            <w:noWrap/>
            <w:hideMark/>
          </w:tcPr>
          <w:p w14:paraId="6B0D12BF" w14:textId="77777777" w:rsidR="006F0BB0" w:rsidRPr="006F0BB0" w:rsidRDefault="006F0BB0" w:rsidP="007D1DBA">
            <w:pPr>
              <w:jc w:val="right"/>
              <w:rPr>
                <w:sz w:val="18"/>
                <w:szCs w:val="18"/>
                <w:lang w:val="es-419" w:eastAsia="es-419"/>
              </w:rPr>
            </w:pPr>
            <w:r w:rsidRPr="006F0BB0">
              <w:rPr>
                <w:sz w:val="18"/>
                <w:szCs w:val="18"/>
                <w:lang w:val="es-419" w:eastAsia="es-419"/>
              </w:rPr>
              <w:t>313 430</w:t>
            </w:r>
          </w:p>
        </w:tc>
        <w:tc>
          <w:tcPr>
            <w:tcW w:w="950" w:type="dxa"/>
            <w:tcBorders>
              <w:top w:val="nil"/>
              <w:left w:val="nil"/>
              <w:bottom w:val="single" w:sz="4" w:space="0" w:color="auto"/>
              <w:right w:val="single" w:sz="4" w:space="0" w:color="auto"/>
            </w:tcBorders>
            <w:shd w:val="clear" w:color="auto" w:fill="auto"/>
            <w:noWrap/>
            <w:hideMark/>
          </w:tcPr>
          <w:p w14:paraId="6F951CEC" w14:textId="77777777" w:rsidR="006F0BB0" w:rsidRPr="006F0BB0" w:rsidRDefault="006F0BB0" w:rsidP="007D1DBA">
            <w:pPr>
              <w:jc w:val="right"/>
              <w:rPr>
                <w:sz w:val="18"/>
                <w:szCs w:val="18"/>
                <w:lang w:val="es-419" w:eastAsia="es-419"/>
              </w:rPr>
            </w:pPr>
            <w:r w:rsidRPr="006F0BB0">
              <w:rPr>
                <w:sz w:val="18"/>
                <w:szCs w:val="18"/>
                <w:lang w:val="es-419" w:eastAsia="es-419"/>
              </w:rPr>
              <w:t>322 833</w:t>
            </w:r>
          </w:p>
        </w:tc>
        <w:tc>
          <w:tcPr>
            <w:tcW w:w="950" w:type="dxa"/>
            <w:tcBorders>
              <w:top w:val="nil"/>
              <w:left w:val="nil"/>
              <w:bottom w:val="single" w:sz="4" w:space="0" w:color="auto"/>
              <w:right w:val="single" w:sz="4" w:space="0" w:color="auto"/>
            </w:tcBorders>
            <w:shd w:val="clear" w:color="auto" w:fill="auto"/>
            <w:noWrap/>
            <w:hideMark/>
          </w:tcPr>
          <w:p w14:paraId="46838D88" w14:textId="77777777" w:rsidR="006F0BB0" w:rsidRPr="006F0BB0" w:rsidRDefault="006F0BB0" w:rsidP="007D1DBA">
            <w:pPr>
              <w:jc w:val="right"/>
              <w:rPr>
                <w:sz w:val="18"/>
                <w:szCs w:val="18"/>
                <w:lang w:val="es-419" w:eastAsia="es-419"/>
              </w:rPr>
            </w:pPr>
            <w:r w:rsidRPr="006F0BB0">
              <w:rPr>
                <w:sz w:val="18"/>
                <w:szCs w:val="18"/>
                <w:lang w:val="es-419" w:eastAsia="es-419"/>
              </w:rPr>
              <w:t>332 518</w:t>
            </w:r>
          </w:p>
        </w:tc>
        <w:tc>
          <w:tcPr>
            <w:tcW w:w="950" w:type="dxa"/>
            <w:tcBorders>
              <w:top w:val="nil"/>
              <w:left w:val="nil"/>
              <w:bottom w:val="single" w:sz="4" w:space="0" w:color="auto"/>
              <w:right w:val="single" w:sz="4" w:space="0" w:color="auto"/>
            </w:tcBorders>
            <w:shd w:val="clear" w:color="auto" w:fill="auto"/>
            <w:noWrap/>
            <w:hideMark/>
          </w:tcPr>
          <w:p w14:paraId="3FD987BA" w14:textId="77777777" w:rsidR="006F0BB0" w:rsidRPr="006F0BB0" w:rsidRDefault="006F0BB0" w:rsidP="007D1DBA">
            <w:pPr>
              <w:jc w:val="right"/>
              <w:rPr>
                <w:sz w:val="18"/>
                <w:szCs w:val="18"/>
                <w:lang w:val="es-419" w:eastAsia="es-419"/>
              </w:rPr>
            </w:pPr>
            <w:r w:rsidRPr="006F0BB0">
              <w:rPr>
                <w:sz w:val="18"/>
                <w:szCs w:val="18"/>
                <w:lang w:val="es-419" w:eastAsia="es-419"/>
              </w:rPr>
              <w:t>342 493</w:t>
            </w:r>
          </w:p>
        </w:tc>
        <w:tc>
          <w:tcPr>
            <w:tcW w:w="950" w:type="dxa"/>
            <w:tcBorders>
              <w:top w:val="nil"/>
              <w:left w:val="nil"/>
              <w:bottom w:val="single" w:sz="4" w:space="0" w:color="auto"/>
              <w:right w:val="single" w:sz="4" w:space="0" w:color="auto"/>
            </w:tcBorders>
            <w:shd w:val="clear" w:color="auto" w:fill="auto"/>
            <w:noWrap/>
            <w:hideMark/>
          </w:tcPr>
          <w:p w14:paraId="1738C4F0" w14:textId="77777777" w:rsidR="006F0BB0" w:rsidRPr="006F0BB0" w:rsidRDefault="006F0BB0" w:rsidP="007D1DBA">
            <w:pPr>
              <w:jc w:val="right"/>
              <w:rPr>
                <w:sz w:val="18"/>
                <w:szCs w:val="18"/>
                <w:lang w:val="es-419" w:eastAsia="es-419"/>
              </w:rPr>
            </w:pPr>
            <w:r w:rsidRPr="006F0BB0">
              <w:rPr>
                <w:sz w:val="18"/>
                <w:szCs w:val="18"/>
                <w:lang w:val="es-419" w:eastAsia="es-419"/>
              </w:rPr>
              <w:t>352 768</w:t>
            </w:r>
          </w:p>
        </w:tc>
        <w:tc>
          <w:tcPr>
            <w:tcW w:w="950" w:type="dxa"/>
            <w:tcBorders>
              <w:top w:val="nil"/>
              <w:left w:val="nil"/>
              <w:bottom w:val="single" w:sz="4" w:space="0" w:color="auto"/>
              <w:right w:val="single" w:sz="4" w:space="0" w:color="auto"/>
            </w:tcBorders>
            <w:shd w:val="clear" w:color="auto" w:fill="auto"/>
            <w:noWrap/>
            <w:hideMark/>
          </w:tcPr>
          <w:p w14:paraId="77E7E0E8" w14:textId="77777777" w:rsidR="006F0BB0" w:rsidRPr="006F0BB0" w:rsidRDefault="006F0BB0" w:rsidP="007D1DBA">
            <w:pPr>
              <w:jc w:val="right"/>
              <w:rPr>
                <w:sz w:val="18"/>
                <w:szCs w:val="18"/>
                <w:lang w:val="es-419" w:eastAsia="es-419"/>
              </w:rPr>
            </w:pPr>
            <w:r w:rsidRPr="006F0BB0">
              <w:rPr>
                <w:sz w:val="18"/>
                <w:szCs w:val="18"/>
                <w:lang w:val="es-419" w:eastAsia="es-419"/>
              </w:rPr>
              <w:t>322 927</w:t>
            </w:r>
          </w:p>
        </w:tc>
        <w:tc>
          <w:tcPr>
            <w:tcW w:w="1005" w:type="dxa"/>
            <w:tcBorders>
              <w:top w:val="nil"/>
              <w:left w:val="nil"/>
              <w:bottom w:val="single" w:sz="4" w:space="0" w:color="auto"/>
              <w:right w:val="single" w:sz="4" w:space="0" w:color="auto"/>
            </w:tcBorders>
            <w:shd w:val="clear" w:color="auto" w:fill="auto"/>
            <w:noWrap/>
            <w:hideMark/>
          </w:tcPr>
          <w:p w14:paraId="15AC2D8E" w14:textId="77777777" w:rsidR="006F0BB0" w:rsidRPr="006F0BB0" w:rsidRDefault="006F0BB0" w:rsidP="007D1DBA">
            <w:pPr>
              <w:jc w:val="right"/>
              <w:rPr>
                <w:sz w:val="18"/>
                <w:szCs w:val="18"/>
                <w:lang w:val="es-419" w:eastAsia="es-419"/>
              </w:rPr>
            </w:pPr>
            <w:r w:rsidRPr="006F0BB0">
              <w:rPr>
                <w:sz w:val="18"/>
                <w:szCs w:val="18"/>
                <w:lang w:val="es-419" w:eastAsia="es-419"/>
              </w:rPr>
              <w:t>397 469</w:t>
            </w:r>
          </w:p>
        </w:tc>
        <w:tc>
          <w:tcPr>
            <w:tcW w:w="1181" w:type="dxa"/>
            <w:tcBorders>
              <w:top w:val="nil"/>
              <w:left w:val="nil"/>
              <w:bottom w:val="single" w:sz="4" w:space="0" w:color="auto"/>
              <w:right w:val="single" w:sz="4" w:space="0" w:color="auto"/>
            </w:tcBorders>
            <w:shd w:val="clear" w:color="auto" w:fill="auto"/>
            <w:noWrap/>
            <w:hideMark/>
          </w:tcPr>
          <w:p w14:paraId="095C4B13" w14:textId="77777777" w:rsidR="006F0BB0" w:rsidRPr="006F0BB0" w:rsidRDefault="006F0BB0" w:rsidP="007D1DBA">
            <w:pPr>
              <w:jc w:val="right"/>
              <w:rPr>
                <w:sz w:val="18"/>
                <w:szCs w:val="18"/>
                <w:lang w:val="es-419" w:eastAsia="es-419"/>
              </w:rPr>
            </w:pPr>
            <w:r w:rsidRPr="006F0BB0">
              <w:rPr>
                <w:sz w:val="18"/>
                <w:szCs w:val="18"/>
                <w:lang w:val="es-419" w:eastAsia="es-419"/>
              </w:rPr>
              <w:t>88,8%</w:t>
            </w:r>
          </w:p>
        </w:tc>
      </w:tr>
      <w:tr w:rsidR="006F0BB0" w:rsidRPr="006F0BB0" w14:paraId="6440386F"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50BA8F" w14:textId="77777777" w:rsidR="006F0BB0" w:rsidRPr="006F0BB0" w:rsidRDefault="006F0BB0" w:rsidP="007D1DBA">
            <w:pPr>
              <w:jc w:val="left"/>
              <w:rPr>
                <w:sz w:val="18"/>
                <w:szCs w:val="18"/>
                <w:lang w:val="es-419" w:eastAsia="es-419"/>
              </w:rPr>
            </w:pPr>
            <w:r w:rsidRPr="006F0BB0">
              <w:rPr>
                <w:sz w:val="18"/>
                <w:szCs w:val="18"/>
                <w:lang w:val="es-419" w:eastAsia="es-419"/>
              </w:rPr>
              <w:t>Namibia</w:t>
            </w:r>
          </w:p>
        </w:tc>
        <w:tc>
          <w:tcPr>
            <w:tcW w:w="950" w:type="dxa"/>
            <w:tcBorders>
              <w:top w:val="nil"/>
              <w:left w:val="nil"/>
              <w:bottom w:val="single" w:sz="4" w:space="0" w:color="auto"/>
              <w:right w:val="single" w:sz="4" w:space="0" w:color="auto"/>
            </w:tcBorders>
            <w:shd w:val="clear" w:color="auto" w:fill="auto"/>
            <w:noWrap/>
            <w:hideMark/>
          </w:tcPr>
          <w:p w14:paraId="2411C795" w14:textId="77777777" w:rsidR="006F0BB0" w:rsidRPr="006F0BB0" w:rsidRDefault="006F0BB0" w:rsidP="007D1DBA">
            <w:pPr>
              <w:jc w:val="right"/>
              <w:rPr>
                <w:sz w:val="18"/>
                <w:szCs w:val="18"/>
                <w:lang w:val="es-419" w:eastAsia="es-419"/>
              </w:rPr>
            </w:pPr>
            <w:r w:rsidRPr="006F0BB0">
              <w:rPr>
                <w:sz w:val="18"/>
                <w:szCs w:val="18"/>
                <w:lang w:val="es-419" w:eastAsia="es-419"/>
              </w:rPr>
              <w:t>729 875</w:t>
            </w:r>
          </w:p>
        </w:tc>
        <w:tc>
          <w:tcPr>
            <w:tcW w:w="950" w:type="dxa"/>
            <w:tcBorders>
              <w:top w:val="nil"/>
              <w:left w:val="nil"/>
              <w:bottom w:val="single" w:sz="4" w:space="0" w:color="auto"/>
              <w:right w:val="single" w:sz="4" w:space="0" w:color="auto"/>
            </w:tcBorders>
            <w:shd w:val="clear" w:color="auto" w:fill="auto"/>
            <w:noWrap/>
            <w:hideMark/>
          </w:tcPr>
          <w:p w14:paraId="59226B7B" w14:textId="77777777" w:rsidR="006F0BB0" w:rsidRPr="006F0BB0" w:rsidRDefault="006F0BB0" w:rsidP="007D1DBA">
            <w:pPr>
              <w:jc w:val="right"/>
              <w:rPr>
                <w:sz w:val="18"/>
                <w:szCs w:val="18"/>
                <w:lang w:val="es-419" w:eastAsia="es-419"/>
              </w:rPr>
            </w:pPr>
            <w:r w:rsidRPr="006F0BB0">
              <w:rPr>
                <w:sz w:val="18"/>
                <w:szCs w:val="18"/>
                <w:lang w:val="es-419" w:eastAsia="es-419"/>
              </w:rPr>
              <w:t>751 771</w:t>
            </w:r>
          </w:p>
        </w:tc>
        <w:tc>
          <w:tcPr>
            <w:tcW w:w="950" w:type="dxa"/>
            <w:tcBorders>
              <w:top w:val="nil"/>
              <w:left w:val="nil"/>
              <w:bottom w:val="single" w:sz="4" w:space="0" w:color="auto"/>
              <w:right w:val="single" w:sz="4" w:space="0" w:color="auto"/>
            </w:tcBorders>
            <w:shd w:val="clear" w:color="auto" w:fill="auto"/>
            <w:noWrap/>
            <w:hideMark/>
          </w:tcPr>
          <w:p w14:paraId="18822B0C" w14:textId="77777777" w:rsidR="006F0BB0" w:rsidRPr="006F0BB0" w:rsidRDefault="006F0BB0" w:rsidP="007D1DBA">
            <w:pPr>
              <w:jc w:val="right"/>
              <w:rPr>
                <w:sz w:val="18"/>
                <w:szCs w:val="18"/>
                <w:lang w:val="es-419" w:eastAsia="es-419"/>
              </w:rPr>
            </w:pPr>
            <w:r w:rsidRPr="006F0BB0">
              <w:rPr>
                <w:sz w:val="18"/>
                <w:szCs w:val="18"/>
                <w:lang w:val="es-419" w:eastAsia="es-419"/>
              </w:rPr>
              <w:t>774 324</w:t>
            </w:r>
          </w:p>
        </w:tc>
        <w:tc>
          <w:tcPr>
            <w:tcW w:w="950" w:type="dxa"/>
            <w:tcBorders>
              <w:top w:val="nil"/>
              <w:left w:val="nil"/>
              <w:bottom w:val="single" w:sz="4" w:space="0" w:color="auto"/>
              <w:right w:val="single" w:sz="4" w:space="0" w:color="auto"/>
            </w:tcBorders>
            <w:shd w:val="clear" w:color="auto" w:fill="auto"/>
            <w:noWrap/>
            <w:hideMark/>
          </w:tcPr>
          <w:p w14:paraId="54BA2B46" w14:textId="77777777" w:rsidR="006F0BB0" w:rsidRPr="006F0BB0" w:rsidRDefault="006F0BB0" w:rsidP="007D1DBA">
            <w:pPr>
              <w:jc w:val="right"/>
              <w:rPr>
                <w:sz w:val="18"/>
                <w:szCs w:val="18"/>
                <w:lang w:val="es-419" w:eastAsia="es-419"/>
              </w:rPr>
            </w:pPr>
            <w:r w:rsidRPr="006F0BB0">
              <w:rPr>
                <w:sz w:val="18"/>
                <w:szCs w:val="18"/>
                <w:lang w:val="es-419" w:eastAsia="es-419"/>
              </w:rPr>
              <w:t>797 554</w:t>
            </w:r>
          </w:p>
        </w:tc>
        <w:tc>
          <w:tcPr>
            <w:tcW w:w="950" w:type="dxa"/>
            <w:tcBorders>
              <w:top w:val="nil"/>
              <w:left w:val="nil"/>
              <w:bottom w:val="single" w:sz="4" w:space="0" w:color="auto"/>
              <w:right w:val="single" w:sz="4" w:space="0" w:color="auto"/>
            </w:tcBorders>
            <w:shd w:val="clear" w:color="auto" w:fill="auto"/>
            <w:noWrap/>
            <w:hideMark/>
          </w:tcPr>
          <w:p w14:paraId="051AF3F3" w14:textId="77777777" w:rsidR="006F0BB0" w:rsidRPr="006F0BB0" w:rsidRDefault="006F0BB0" w:rsidP="007D1DBA">
            <w:pPr>
              <w:jc w:val="right"/>
              <w:rPr>
                <w:sz w:val="18"/>
                <w:szCs w:val="18"/>
                <w:lang w:val="es-419" w:eastAsia="es-419"/>
              </w:rPr>
            </w:pPr>
            <w:r w:rsidRPr="006F0BB0">
              <w:rPr>
                <w:sz w:val="18"/>
                <w:szCs w:val="18"/>
                <w:lang w:val="es-419" w:eastAsia="es-419"/>
              </w:rPr>
              <w:t>821 481</w:t>
            </w:r>
          </w:p>
        </w:tc>
        <w:tc>
          <w:tcPr>
            <w:tcW w:w="950" w:type="dxa"/>
            <w:tcBorders>
              <w:top w:val="nil"/>
              <w:left w:val="nil"/>
              <w:bottom w:val="single" w:sz="4" w:space="0" w:color="auto"/>
              <w:right w:val="single" w:sz="4" w:space="0" w:color="auto"/>
            </w:tcBorders>
            <w:shd w:val="clear" w:color="auto" w:fill="auto"/>
            <w:noWrap/>
            <w:hideMark/>
          </w:tcPr>
          <w:p w14:paraId="760D6ABF" w14:textId="77777777" w:rsidR="006F0BB0" w:rsidRPr="006F0BB0" w:rsidRDefault="006F0BB0" w:rsidP="007D1DBA">
            <w:pPr>
              <w:jc w:val="right"/>
              <w:rPr>
                <w:sz w:val="18"/>
                <w:szCs w:val="18"/>
                <w:lang w:val="es-419" w:eastAsia="es-419"/>
              </w:rPr>
            </w:pPr>
            <w:r w:rsidRPr="006F0BB0">
              <w:rPr>
                <w:sz w:val="18"/>
                <w:szCs w:val="18"/>
                <w:lang w:val="es-419" w:eastAsia="es-419"/>
              </w:rPr>
              <w:t>846 125</w:t>
            </w:r>
          </w:p>
        </w:tc>
        <w:tc>
          <w:tcPr>
            <w:tcW w:w="950" w:type="dxa"/>
            <w:tcBorders>
              <w:top w:val="nil"/>
              <w:left w:val="nil"/>
              <w:bottom w:val="single" w:sz="4" w:space="0" w:color="auto"/>
              <w:right w:val="single" w:sz="4" w:space="0" w:color="auto"/>
            </w:tcBorders>
            <w:shd w:val="clear" w:color="auto" w:fill="auto"/>
            <w:noWrap/>
            <w:hideMark/>
          </w:tcPr>
          <w:p w14:paraId="7BC50770" w14:textId="77777777" w:rsidR="006F0BB0" w:rsidRPr="006F0BB0" w:rsidRDefault="006F0BB0" w:rsidP="007D1DBA">
            <w:pPr>
              <w:jc w:val="right"/>
              <w:rPr>
                <w:sz w:val="18"/>
                <w:szCs w:val="18"/>
                <w:lang w:val="es-419" w:eastAsia="es-419"/>
              </w:rPr>
            </w:pPr>
            <w:r w:rsidRPr="006F0BB0">
              <w:rPr>
                <w:sz w:val="18"/>
                <w:szCs w:val="18"/>
                <w:lang w:val="es-419" w:eastAsia="es-419"/>
              </w:rPr>
              <w:t>774 550</w:t>
            </w:r>
          </w:p>
        </w:tc>
        <w:tc>
          <w:tcPr>
            <w:tcW w:w="1005" w:type="dxa"/>
            <w:tcBorders>
              <w:top w:val="nil"/>
              <w:left w:val="nil"/>
              <w:bottom w:val="single" w:sz="4" w:space="0" w:color="auto"/>
              <w:right w:val="single" w:sz="4" w:space="0" w:color="auto"/>
            </w:tcBorders>
            <w:shd w:val="clear" w:color="auto" w:fill="auto"/>
            <w:noWrap/>
            <w:hideMark/>
          </w:tcPr>
          <w:p w14:paraId="50BB3CD0" w14:textId="77777777" w:rsidR="006F0BB0" w:rsidRPr="006F0BB0" w:rsidRDefault="006F0BB0" w:rsidP="007D1DBA">
            <w:pPr>
              <w:jc w:val="right"/>
              <w:rPr>
                <w:sz w:val="18"/>
                <w:szCs w:val="18"/>
                <w:lang w:val="es-419" w:eastAsia="es-419"/>
              </w:rPr>
            </w:pPr>
            <w:r w:rsidRPr="006F0BB0">
              <w:rPr>
                <w:sz w:val="18"/>
                <w:szCs w:val="18"/>
                <w:lang w:val="es-419" w:eastAsia="es-419"/>
              </w:rPr>
              <w:t>949 050</w:t>
            </w:r>
          </w:p>
        </w:tc>
        <w:tc>
          <w:tcPr>
            <w:tcW w:w="1181" w:type="dxa"/>
            <w:tcBorders>
              <w:top w:val="nil"/>
              <w:left w:val="nil"/>
              <w:bottom w:val="single" w:sz="4" w:space="0" w:color="auto"/>
              <w:right w:val="single" w:sz="4" w:space="0" w:color="auto"/>
            </w:tcBorders>
            <w:shd w:val="clear" w:color="auto" w:fill="auto"/>
            <w:noWrap/>
            <w:hideMark/>
          </w:tcPr>
          <w:p w14:paraId="3A18CB68" w14:textId="77777777" w:rsidR="006F0BB0" w:rsidRPr="006F0BB0" w:rsidRDefault="006F0BB0" w:rsidP="007D1DBA">
            <w:pPr>
              <w:jc w:val="right"/>
              <w:rPr>
                <w:sz w:val="18"/>
                <w:szCs w:val="18"/>
                <w:lang w:val="es-419" w:eastAsia="es-419"/>
              </w:rPr>
            </w:pPr>
            <w:r w:rsidRPr="006F0BB0">
              <w:rPr>
                <w:sz w:val="18"/>
                <w:szCs w:val="18"/>
                <w:lang w:val="es-419" w:eastAsia="es-419"/>
              </w:rPr>
              <w:t>89,2%</w:t>
            </w:r>
          </w:p>
        </w:tc>
      </w:tr>
      <w:tr w:rsidR="006F0BB0" w:rsidRPr="006F0BB0" w14:paraId="4C608665"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EC1EA7F" w14:textId="77777777" w:rsidR="006F0BB0" w:rsidRPr="006F0BB0" w:rsidRDefault="006F0BB0" w:rsidP="007D1DBA">
            <w:pPr>
              <w:jc w:val="left"/>
              <w:rPr>
                <w:sz w:val="18"/>
                <w:szCs w:val="18"/>
                <w:lang w:val="es-419" w:eastAsia="es-419"/>
              </w:rPr>
            </w:pPr>
            <w:r w:rsidRPr="006F0BB0">
              <w:rPr>
                <w:sz w:val="18"/>
                <w:szCs w:val="18"/>
                <w:lang w:val="es-419" w:eastAsia="es-419"/>
              </w:rPr>
              <w:t>Maldivas</w:t>
            </w:r>
          </w:p>
        </w:tc>
        <w:tc>
          <w:tcPr>
            <w:tcW w:w="950" w:type="dxa"/>
            <w:tcBorders>
              <w:top w:val="nil"/>
              <w:left w:val="nil"/>
              <w:bottom w:val="single" w:sz="4" w:space="0" w:color="auto"/>
              <w:right w:val="single" w:sz="4" w:space="0" w:color="auto"/>
            </w:tcBorders>
            <w:shd w:val="clear" w:color="auto" w:fill="auto"/>
            <w:noWrap/>
            <w:hideMark/>
          </w:tcPr>
          <w:p w14:paraId="404DBA64" w14:textId="77777777" w:rsidR="006F0BB0" w:rsidRPr="006F0BB0" w:rsidRDefault="006F0BB0" w:rsidP="007D1DBA">
            <w:pPr>
              <w:jc w:val="right"/>
              <w:rPr>
                <w:sz w:val="18"/>
                <w:szCs w:val="18"/>
                <w:lang w:val="es-419" w:eastAsia="es-419"/>
              </w:rPr>
            </w:pPr>
            <w:r w:rsidRPr="006F0BB0">
              <w:rPr>
                <w:sz w:val="18"/>
                <w:szCs w:val="18"/>
                <w:lang w:val="es-419" w:eastAsia="es-419"/>
              </w:rPr>
              <w:t>358 171</w:t>
            </w:r>
          </w:p>
        </w:tc>
        <w:tc>
          <w:tcPr>
            <w:tcW w:w="950" w:type="dxa"/>
            <w:tcBorders>
              <w:top w:val="nil"/>
              <w:left w:val="nil"/>
              <w:bottom w:val="single" w:sz="4" w:space="0" w:color="auto"/>
              <w:right w:val="single" w:sz="4" w:space="0" w:color="auto"/>
            </w:tcBorders>
            <w:shd w:val="clear" w:color="auto" w:fill="auto"/>
            <w:noWrap/>
            <w:hideMark/>
          </w:tcPr>
          <w:p w14:paraId="00F46746" w14:textId="77777777" w:rsidR="006F0BB0" w:rsidRPr="006F0BB0" w:rsidRDefault="006F0BB0" w:rsidP="007D1DBA">
            <w:pPr>
              <w:jc w:val="right"/>
              <w:rPr>
                <w:sz w:val="18"/>
                <w:szCs w:val="18"/>
                <w:lang w:val="es-419" w:eastAsia="es-419"/>
              </w:rPr>
            </w:pPr>
            <w:r w:rsidRPr="006F0BB0">
              <w:rPr>
                <w:sz w:val="18"/>
                <w:szCs w:val="18"/>
                <w:lang w:val="es-419" w:eastAsia="es-419"/>
              </w:rPr>
              <w:t>368 916</w:t>
            </w:r>
          </w:p>
        </w:tc>
        <w:tc>
          <w:tcPr>
            <w:tcW w:w="950" w:type="dxa"/>
            <w:tcBorders>
              <w:top w:val="nil"/>
              <w:left w:val="nil"/>
              <w:bottom w:val="single" w:sz="4" w:space="0" w:color="auto"/>
              <w:right w:val="single" w:sz="4" w:space="0" w:color="auto"/>
            </w:tcBorders>
            <w:shd w:val="clear" w:color="auto" w:fill="auto"/>
            <w:noWrap/>
            <w:hideMark/>
          </w:tcPr>
          <w:p w14:paraId="3B2A8CD8" w14:textId="77777777" w:rsidR="006F0BB0" w:rsidRPr="006F0BB0" w:rsidRDefault="006F0BB0" w:rsidP="007D1DBA">
            <w:pPr>
              <w:jc w:val="right"/>
              <w:rPr>
                <w:sz w:val="18"/>
                <w:szCs w:val="18"/>
                <w:lang w:val="es-419" w:eastAsia="es-419"/>
              </w:rPr>
            </w:pPr>
            <w:r w:rsidRPr="006F0BB0">
              <w:rPr>
                <w:sz w:val="18"/>
                <w:szCs w:val="18"/>
                <w:lang w:val="es-419" w:eastAsia="es-419"/>
              </w:rPr>
              <w:t>379 984</w:t>
            </w:r>
          </w:p>
        </w:tc>
        <w:tc>
          <w:tcPr>
            <w:tcW w:w="950" w:type="dxa"/>
            <w:tcBorders>
              <w:top w:val="nil"/>
              <w:left w:val="nil"/>
              <w:bottom w:val="single" w:sz="4" w:space="0" w:color="auto"/>
              <w:right w:val="single" w:sz="4" w:space="0" w:color="auto"/>
            </w:tcBorders>
            <w:shd w:val="clear" w:color="auto" w:fill="auto"/>
            <w:noWrap/>
            <w:hideMark/>
          </w:tcPr>
          <w:p w14:paraId="6A6A1EF2" w14:textId="77777777" w:rsidR="006F0BB0" w:rsidRPr="006F0BB0" w:rsidRDefault="006F0BB0" w:rsidP="007D1DBA">
            <w:pPr>
              <w:jc w:val="right"/>
              <w:rPr>
                <w:sz w:val="18"/>
                <w:szCs w:val="18"/>
                <w:lang w:val="es-419" w:eastAsia="es-419"/>
              </w:rPr>
            </w:pPr>
            <w:r w:rsidRPr="006F0BB0">
              <w:rPr>
                <w:sz w:val="18"/>
                <w:szCs w:val="18"/>
                <w:lang w:val="es-419" w:eastAsia="es-419"/>
              </w:rPr>
              <w:t>391 383</w:t>
            </w:r>
          </w:p>
        </w:tc>
        <w:tc>
          <w:tcPr>
            <w:tcW w:w="950" w:type="dxa"/>
            <w:tcBorders>
              <w:top w:val="nil"/>
              <w:left w:val="nil"/>
              <w:bottom w:val="single" w:sz="4" w:space="0" w:color="auto"/>
              <w:right w:val="single" w:sz="4" w:space="0" w:color="auto"/>
            </w:tcBorders>
            <w:shd w:val="clear" w:color="auto" w:fill="auto"/>
            <w:noWrap/>
            <w:hideMark/>
          </w:tcPr>
          <w:p w14:paraId="0432257A" w14:textId="77777777" w:rsidR="006F0BB0" w:rsidRPr="006F0BB0" w:rsidRDefault="006F0BB0" w:rsidP="007D1DBA">
            <w:pPr>
              <w:jc w:val="right"/>
              <w:rPr>
                <w:sz w:val="18"/>
                <w:szCs w:val="18"/>
                <w:lang w:val="es-419" w:eastAsia="es-419"/>
              </w:rPr>
            </w:pPr>
            <w:r w:rsidRPr="006F0BB0">
              <w:rPr>
                <w:sz w:val="18"/>
                <w:szCs w:val="18"/>
                <w:lang w:val="es-419" w:eastAsia="es-419"/>
              </w:rPr>
              <w:t>403 125</w:t>
            </w:r>
          </w:p>
        </w:tc>
        <w:tc>
          <w:tcPr>
            <w:tcW w:w="950" w:type="dxa"/>
            <w:tcBorders>
              <w:top w:val="nil"/>
              <w:left w:val="nil"/>
              <w:bottom w:val="single" w:sz="4" w:space="0" w:color="auto"/>
              <w:right w:val="single" w:sz="4" w:space="0" w:color="auto"/>
            </w:tcBorders>
            <w:shd w:val="clear" w:color="auto" w:fill="auto"/>
            <w:noWrap/>
            <w:hideMark/>
          </w:tcPr>
          <w:p w14:paraId="12D45A97" w14:textId="77777777" w:rsidR="006F0BB0" w:rsidRPr="006F0BB0" w:rsidRDefault="006F0BB0" w:rsidP="007D1DBA">
            <w:pPr>
              <w:jc w:val="right"/>
              <w:rPr>
                <w:sz w:val="18"/>
                <w:szCs w:val="18"/>
                <w:lang w:val="es-419" w:eastAsia="es-419"/>
              </w:rPr>
            </w:pPr>
            <w:r w:rsidRPr="006F0BB0">
              <w:rPr>
                <w:sz w:val="18"/>
                <w:szCs w:val="18"/>
                <w:lang w:val="es-419" w:eastAsia="es-419"/>
              </w:rPr>
              <w:t>415 218</w:t>
            </w:r>
          </w:p>
        </w:tc>
        <w:tc>
          <w:tcPr>
            <w:tcW w:w="950" w:type="dxa"/>
            <w:tcBorders>
              <w:top w:val="nil"/>
              <w:left w:val="nil"/>
              <w:bottom w:val="single" w:sz="4" w:space="0" w:color="auto"/>
              <w:right w:val="single" w:sz="4" w:space="0" w:color="auto"/>
            </w:tcBorders>
            <w:shd w:val="clear" w:color="auto" w:fill="auto"/>
            <w:noWrap/>
            <w:hideMark/>
          </w:tcPr>
          <w:p w14:paraId="77A41F34" w14:textId="77777777" w:rsidR="006F0BB0" w:rsidRPr="006F0BB0" w:rsidRDefault="006F0BB0" w:rsidP="007D1DBA">
            <w:pPr>
              <w:jc w:val="right"/>
              <w:rPr>
                <w:sz w:val="18"/>
                <w:szCs w:val="18"/>
                <w:lang w:val="es-419" w:eastAsia="es-419"/>
              </w:rPr>
            </w:pPr>
            <w:r w:rsidRPr="006F0BB0">
              <w:rPr>
                <w:sz w:val="18"/>
                <w:szCs w:val="18"/>
                <w:lang w:val="es-419" w:eastAsia="es-419"/>
              </w:rPr>
              <w:t>380 094</w:t>
            </w:r>
          </w:p>
        </w:tc>
        <w:tc>
          <w:tcPr>
            <w:tcW w:w="1005" w:type="dxa"/>
            <w:tcBorders>
              <w:top w:val="nil"/>
              <w:left w:val="nil"/>
              <w:bottom w:val="single" w:sz="4" w:space="0" w:color="auto"/>
              <w:right w:val="single" w:sz="4" w:space="0" w:color="auto"/>
            </w:tcBorders>
            <w:shd w:val="clear" w:color="auto" w:fill="auto"/>
            <w:noWrap/>
            <w:hideMark/>
          </w:tcPr>
          <w:p w14:paraId="6E4E119D" w14:textId="77777777" w:rsidR="006F0BB0" w:rsidRPr="006F0BB0" w:rsidRDefault="006F0BB0" w:rsidP="007D1DBA">
            <w:pPr>
              <w:jc w:val="right"/>
              <w:rPr>
                <w:sz w:val="18"/>
                <w:szCs w:val="18"/>
                <w:lang w:val="es-419" w:eastAsia="es-419"/>
              </w:rPr>
            </w:pPr>
            <w:r w:rsidRPr="006F0BB0">
              <w:rPr>
                <w:sz w:val="18"/>
                <w:szCs w:val="18"/>
                <w:lang w:val="es-419" w:eastAsia="es-419"/>
              </w:rPr>
              <w:t>465 643</w:t>
            </w:r>
          </w:p>
        </w:tc>
        <w:tc>
          <w:tcPr>
            <w:tcW w:w="1181" w:type="dxa"/>
            <w:tcBorders>
              <w:top w:val="nil"/>
              <w:left w:val="nil"/>
              <w:bottom w:val="single" w:sz="4" w:space="0" w:color="auto"/>
              <w:right w:val="single" w:sz="4" w:space="0" w:color="auto"/>
            </w:tcBorders>
            <w:shd w:val="clear" w:color="auto" w:fill="auto"/>
            <w:noWrap/>
            <w:hideMark/>
          </w:tcPr>
          <w:p w14:paraId="44069A76" w14:textId="77777777" w:rsidR="006F0BB0" w:rsidRPr="006F0BB0" w:rsidRDefault="006F0BB0" w:rsidP="007D1DBA">
            <w:pPr>
              <w:jc w:val="right"/>
              <w:rPr>
                <w:sz w:val="18"/>
                <w:szCs w:val="18"/>
                <w:lang w:val="es-419" w:eastAsia="es-419"/>
              </w:rPr>
            </w:pPr>
            <w:r w:rsidRPr="006F0BB0">
              <w:rPr>
                <w:sz w:val="18"/>
                <w:szCs w:val="18"/>
                <w:lang w:val="es-419" w:eastAsia="es-419"/>
              </w:rPr>
              <w:t>89,2%</w:t>
            </w:r>
          </w:p>
        </w:tc>
      </w:tr>
      <w:tr w:rsidR="006F0BB0" w:rsidRPr="006F0BB0" w14:paraId="0729DEE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10AF41" w14:textId="77777777" w:rsidR="006F0BB0" w:rsidRPr="006F0BB0" w:rsidRDefault="006F0BB0" w:rsidP="007D1DBA">
            <w:pPr>
              <w:jc w:val="left"/>
              <w:rPr>
                <w:sz w:val="18"/>
                <w:szCs w:val="18"/>
                <w:lang w:val="es-419" w:eastAsia="es-419"/>
              </w:rPr>
            </w:pPr>
            <w:r w:rsidRPr="006F0BB0">
              <w:rPr>
                <w:sz w:val="18"/>
                <w:szCs w:val="18"/>
                <w:lang w:val="es-419" w:eastAsia="es-419"/>
              </w:rPr>
              <w:t>Nicaragua</w:t>
            </w:r>
          </w:p>
        </w:tc>
        <w:tc>
          <w:tcPr>
            <w:tcW w:w="950" w:type="dxa"/>
            <w:tcBorders>
              <w:top w:val="nil"/>
              <w:left w:val="nil"/>
              <w:bottom w:val="single" w:sz="4" w:space="0" w:color="auto"/>
              <w:right w:val="single" w:sz="4" w:space="0" w:color="auto"/>
            </w:tcBorders>
            <w:shd w:val="clear" w:color="auto" w:fill="auto"/>
            <w:noWrap/>
            <w:hideMark/>
          </w:tcPr>
          <w:p w14:paraId="51200CEE" w14:textId="77777777" w:rsidR="006F0BB0" w:rsidRPr="006F0BB0" w:rsidRDefault="006F0BB0" w:rsidP="007D1DBA">
            <w:pPr>
              <w:jc w:val="right"/>
              <w:rPr>
                <w:sz w:val="18"/>
                <w:szCs w:val="18"/>
                <w:lang w:val="es-419" w:eastAsia="es-419"/>
              </w:rPr>
            </w:pPr>
            <w:r w:rsidRPr="006F0BB0">
              <w:rPr>
                <w:sz w:val="18"/>
                <w:szCs w:val="18"/>
                <w:lang w:val="es-419" w:eastAsia="es-419"/>
              </w:rPr>
              <w:t>558 528</w:t>
            </w:r>
          </w:p>
        </w:tc>
        <w:tc>
          <w:tcPr>
            <w:tcW w:w="950" w:type="dxa"/>
            <w:tcBorders>
              <w:top w:val="nil"/>
              <w:left w:val="nil"/>
              <w:bottom w:val="single" w:sz="4" w:space="0" w:color="auto"/>
              <w:right w:val="single" w:sz="4" w:space="0" w:color="auto"/>
            </w:tcBorders>
            <w:shd w:val="clear" w:color="auto" w:fill="auto"/>
            <w:noWrap/>
            <w:hideMark/>
          </w:tcPr>
          <w:p w14:paraId="559CE8C4" w14:textId="77777777" w:rsidR="006F0BB0" w:rsidRPr="006F0BB0" w:rsidRDefault="006F0BB0" w:rsidP="007D1DBA">
            <w:pPr>
              <w:jc w:val="right"/>
              <w:rPr>
                <w:sz w:val="18"/>
                <w:szCs w:val="18"/>
                <w:lang w:val="es-419" w:eastAsia="es-419"/>
              </w:rPr>
            </w:pPr>
            <w:r w:rsidRPr="006F0BB0">
              <w:rPr>
                <w:sz w:val="18"/>
                <w:szCs w:val="18"/>
                <w:lang w:val="es-419" w:eastAsia="es-419"/>
              </w:rPr>
              <w:t>575 284</w:t>
            </w:r>
          </w:p>
        </w:tc>
        <w:tc>
          <w:tcPr>
            <w:tcW w:w="950" w:type="dxa"/>
            <w:tcBorders>
              <w:top w:val="nil"/>
              <w:left w:val="nil"/>
              <w:bottom w:val="single" w:sz="4" w:space="0" w:color="auto"/>
              <w:right w:val="single" w:sz="4" w:space="0" w:color="auto"/>
            </w:tcBorders>
            <w:shd w:val="clear" w:color="auto" w:fill="auto"/>
            <w:noWrap/>
            <w:hideMark/>
          </w:tcPr>
          <w:p w14:paraId="7F9A8D07" w14:textId="77777777" w:rsidR="006F0BB0" w:rsidRPr="006F0BB0" w:rsidRDefault="006F0BB0" w:rsidP="007D1DBA">
            <w:pPr>
              <w:jc w:val="right"/>
              <w:rPr>
                <w:sz w:val="18"/>
                <w:szCs w:val="18"/>
                <w:lang w:val="es-419" w:eastAsia="es-419"/>
              </w:rPr>
            </w:pPr>
            <w:r w:rsidRPr="006F0BB0">
              <w:rPr>
                <w:sz w:val="18"/>
                <w:szCs w:val="18"/>
                <w:lang w:val="es-419" w:eastAsia="es-419"/>
              </w:rPr>
              <w:t>592 542</w:t>
            </w:r>
          </w:p>
        </w:tc>
        <w:tc>
          <w:tcPr>
            <w:tcW w:w="950" w:type="dxa"/>
            <w:tcBorders>
              <w:top w:val="nil"/>
              <w:left w:val="nil"/>
              <w:bottom w:val="single" w:sz="4" w:space="0" w:color="auto"/>
              <w:right w:val="single" w:sz="4" w:space="0" w:color="auto"/>
            </w:tcBorders>
            <w:shd w:val="clear" w:color="auto" w:fill="auto"/>
            <w:noWrap/>
            <w:hideMark/>
          </w:tcPr>
          <w:p w14:paraId="67213FF9" w14:textId="77777777" w:rsidR="006F0BB0" w:rsidRPr="006F0BB0" w:rsidRDefault="006F0BB0" w:rsidP="007D1DBA">
            <w:pPr>
              <w:jc w:val="right"/>
              <w:rPr>
                <w:sz w:val="18"/>
                <w:szCs w:val="18"/>
                <w:lang w:val="es-419" w:eastAsia="es-419"/>
              </w:rPr>
            </w:pPr>
            <w:r w:rsidRPr="006F0BB0">
              <w:rPr>
                <w:sz w:val="18"/>
                <w:szCs w:val="18"/>
                <w:lang w:val="es-419" w:eastAsia="es-419"/>
              </w:rPr>
              <w:t>610 319</w:t>
            </w:r>
          </w:p>
        </w:tc>
        <w:tc>
          <w:tcPr>
            <w:tcW w:w="950" w:type="dxa"/>
            <w:tcBorders>
              <w:top w:val="nil"/>
              <w:left w:val="nil"/>
              <w:bottom w:val="single" w:sz="4" w:space="0" w:color="auto"/>
              <w:right w:val="single" w:sz="4" w:space="0" w:color="auto"/>
            </w:tcBorders>
            <w:shd w:val="clear" w:color="auto" w:fill="auto"/>
            <w:noWrap/>
            <w:hideMark/>
          </w:tcPr>
          <w:p w14:paraId="01A02C2C" w14:textId="77777777" w:rsidR="006F0BB0" w:rsidRPr="006F0BB0" w:rsidRDefault="006F0BB0" w:rsidP="007D1DBA">
            <w:pPr>
              <w:jc w:val="right"/>
              <w:rPr>
                <w:sz w:val="18"/>
                <w:szCs w:val="18"/>
                <w:lang w:val="es-419" w:eastAsia="es-419"/>
              </w:rPr>
            </w:pPr>
            <w:r w:rsidRPr="006F0BB0">
              <w:rPr>
                <w:sz w:val="18"/>
                <w:szCs w:val="18"/>
                <w:lang w:val="es-419" w:eastAsia="es-419"/>
              </w:rPr>
              <w:t>628 628</w:t>
            </w:r>
          </w:p>
        </w:tc>
        <w:tc>
          <w:tcPr>
            <w:tcW w:w="950" w:type="dxa"/>
            <w:tcBorders>
              <w:top w:val="nil"/>
              <w:left w:val="nil"/>
              <w:bottom w:val="single" w:sz="4" w:space="0" w:color="auto"/>
              <w:right w:val="single" w:sz="4" w:space="0" w:color="auto"/>
            </w:tcBorders>
            <w:shd w:val="clear" w:color="auto" w:fill="auto"/>
            <w:noWrap/>
            <w:hideMark/>
          </w:tcPr>
          <w:p w14:paraId="78CB38FF" w14:textId="77777777" w:rsidR="006F0BB0" w:rsidRPr="006F0BB0" w:rsidRDefault="006F0BB0" w:rsidP="007D1DBA">
            <w:pPr>
              <w:jc w:val="right"/>
              <w:rPr>
                <w:sz w:val="18"/>
                <w:szCs w:val="18"/>
                <w:lang w:val="es-419" w:eastAsia="es-419"/>
              </w:rPr>
            </w:pPr>
            <w:r w:rsidRPr="006F0BB0">
              <w:rPr>
                <w:sz w:val="18"/>
                <w:szCs w:val="18"/>
                <w:lang w:val="es-419" w:eastAsia="es-419"/>
              </w:rPr>
              <w:t>647 487</w:t>
            </w:r>
          </w:p>
        </w:tc>
        <w:tc>
          <w:tcPr>
            <w:tcW w:w="950" w:type="dxa"/>
            <w:tcBorders>
              <w:top w:val="nil"/>
              <w:left w:val="nil"/>
              <w:bottom w:val="single" w:sz="4" w:space="0" w:color="auto"/>
              <w:right w:val="single" w:sz="4" w:space="0" w:color="auto"/>
            </w:tcBorders>
            <w:shd w:val="clear" w:color="auto" w:fill="auto"/>
            <w:noWrap/>
            <w:hideMark/>
          </w:tcPr>
          <w:p w14:paraId="27568480" w14:textId="77777777" w:rsidR="006F0BB0" w:rsidRPr="006F0BB0" w:rsidRDefault="006F0BB0" w:rsidP="007D1DBA">
            <w:pPr>
              <w:jc w:val="right"/>
              <w:rPr>
                <w:sz w:val="18"/>
                <w:szCs w:val="18"/>
                <w:lang w:val="es-419" w:eastAsia="es-419"/>
              </w:rPr>
            </w:pPr>
            <w:r w:rsidRPr="006F0BB0">
              <w:rPr>
                <w:sz w:val="18"/>
                <w:szCs w:val="18"/>
                <w:lang w:val="es-419" w:eastAsia="es-419"/>
              </w:rPr>
              <w:t>592 715</w:t>
            </w:r>
          </w:p>
        </w:tc>
        <w:tc>
          <w:tcPr>
            <w:tcW w:w="1005" w:type="dxa"/>
            <w:tcBorders>
              <w:top w:val="nil"/>
              <w:left w:val="nil"/>
              <w:bottom w:val="single" w:sz="4" w:space="0" w:color="auto"/>
              <w:right w:val="single" w:sz="4" w:space="0" w:color="auto"/>
            </w:tcBorders>
            <w:shd w:val="clear" w:color="auto" w:fill="auto"/>
            <w:noWrap/>
            <w:hideMark/>
          </w:tcPr>
          <w:p w14:paraId="3D25FD3D" w14:textId="77777777" w:rsidR="006F0BB0" w:rsidRPr="006F0BB0" w:rsidRDefault="006F0BB0" w:rsidP="007D1DBA">
            <w:pPr>
              <w:jc w:val="right"/>
              <w:rPr>
                <w:sz w:val="18"/>
                <w:szCs w:val="18"/>
                <w:lang w:val="es-419" w:eastAsia="es-419"/>
              </w:rPr>
            </w:pPr>
            <w:r w:rsidRPr="006F0BB0">
              <w:rPr>
                <w:sz w:val="18"/>
                <w:szCs w:val="18"/>
                <w:lang w:val="es-419" w:eastAsia="es-419"/>
              </w:rPr>
              <w:t>726 023</w:t>
            </w:r>
          </w:p>
        </w:tc>
        <w:tc>
          <w:tcPr>
            <w:tcW w:w="1181" w:type="dxa"/>
            <w:tcBorders>
              <w:top w:val="nil"/>
              <w:left w:val="nil"/>
              <w:bottom w:val="single" w:sz="4" w:space="0" w:color="auto"/>
              <w:right w:val="single" w:sz="4" w:space="0" w:color="auto"/>
            </w:tcBorders>
            <w:shd w:val="clear" w:color="auto" w:fill="auto"/>
            <w:noWrap/>
            <w:hideMark/>
          </w:tcPr>
          <w:p w14:paraId="7570E5B9" w14:textId="77777777" w:rsidR="006F0BB0" w:rsidRPr="006F0BB0" w:rsidRDefault="006F0BB0" w:rsidP="007D1DBA">
            <w:pPr>
              <w:jc w:val="right"/>
              <w:rPr>
                <w:sz w:val="18"/>
                <w:szCs w:val="18"/>
                <w:lang w:val="es-419" w:eastAsia="es-419"/>
              </w:rPr>
            </w:pPr>
            <w:r w:rsidRPr="006F0BB0">
              <w:rPr>
                <w:sz w:val="18"/>
                <w:szCs w:val="18"/>
                <w:lang w:val="es-419" w:eastAsia="es-419"/>
              </w:rPr>
              <w:t>89,2%</w:t>
            </w:r>
          </w:p>
        </w:tc>
      </w:tr>
      <w:tr w:rsidR="006F0BB0" w:rsidRPr="006F0BB0" w14:paraId="2B5DB6F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57E3CE" w14:textId="77777777" w:rsidR="006F0BB0" w:rsidRPr="006F0BB0" w:rsidRDefault="006F0BB0" w:rsidP="007D1DBA">
            <w:pPr>
              <w:jc w:val="left"/>
              <w:rPr>
                <w:sz w:val="18"/>
                <w:szCs w:val="18"/>
                <w:lang w:val="es-419" w:eastAsia="es-419"/>
              </w:rPr>
            </w:pPr>
            <w:r w:rsidRPr="006F0BB0">
              <w:rPr>
                <w:sz w:val="18"/>
                <w:szCs w:val="18"/>
                <w:lang w:val="es-419" w:eastAsia="es-419"/>
              </w:rPr>
              <w:t>Costa Rica</w:t>
            </w:r>
          </w:p>
        </w:tc>
        <w:tc>
          <w:tcPr>
            <w:tcW w:w="950" w:type="dxa"/>
            <w:tcBorders>
              <w:top w:val="nil"/>
              <w:left w:val="nil"/>
              <w:bottom w:val="single" w:sz="4" w:space="0" w:color="auto"/>
              <w:right w:val="single" w:sz="4" w:space="0" w:color="auto"/>
            </w:tcBorders>
            <w:shd w:val="clear" w:color="auto" w:fill="auto"/>
            <w:noWrap/>
            <w:hideMark/>
          </w:tcPr>
          <w:p w14:paraId="02CB4B07" w14:textId="77777777" w:rsidR="006F0BB0" w:rsidRPr="006F0BB0" w:rsidRDefault="006F0BB0" w:rsidP="007D1DBA">
            <w:pPr>
              <w:jc w:val="right"/>
              <w:rPr>
                <w:sz w:val="18"/>
                <w:szCs w:val="18"/>
                <w:lang w:val="es-419" w:eastAsia="es-419"/>
              </w:rPr>
            </w:pPr>
            <w:r w:rsidRPr="006F0BB0">
              <w:rPr>
                <w:sz w:val="18"/>
                <w:szCs w:val="18"/>
                <w:lang w:val="es-419" w:eastAsia="es-419"/>
              </w:rPr>
              <w:t>1 099 195</w:t>
            </w:r>
          </w:p>
        </w:tc>
        <w:tc>
          <w:tcPr>
            <w:tcW w:w="950" w:type="dxa"/>
            <w:tcBorders>
              <w:top w:val="nil"/>
              <w:left w:val="nil"/>
              <w:bottom w:val="single" w:sz="4" w:space="0" w:color="auto"/>
              <w:right w:val="single" w:sz="4" w:space="0" w:color="auto"/>
            </w:tcBorders>
            <w:shd w:val="clear" w:color="auto" w:fill="auto"/>
            <w:noWrap/>
            <w:hideMark/>
          </w:tcPr>
          <w:p w14:paraId="4C0A0251" w14:textId="77777777" w:rsidR="006F0BB0" w:rsidRPr="006F0BB0" w:rsidRDefault="006F0BB0" w:rsidP="007D1DBA">
            <w:pPr>
              <w:jc w:val="right"/>
              <w:rPr>
                <w:sz w:val="18"/>
                <w:szCs w:val="18"/>
                <w:lang w:val="es-419" w:eastAsia="es-419"/>
              </w:rPr>
            </w:pPr>
            <w:r w:rsidRPr="006F0BB0">
              <w:rPr>
                <w:sz w:val="18"/>
                <w:szCs w:val="18"/>
                <w:lang w:val="es-419" w:eastAsia="es-419"/>
              </w:rPr>
              <w:t>1 132 171</w:t>
            </w:r>
          </w:p>
        </w:tc>
        <w:tc>
          <w:tcPr>
            <w:tcW w:w="950" w:type="dxa"/>
            <w:tcBorders>
              <w:top w:val="nil"/>
              <w:left w:val="nil"/>
              <w:bottom w:val="single" w:sz="4" w:space="0" w:color="auto"/>
              <w:right w:val="single" w:sz="4" w:space="0" w:color="auto"/>
            </w:tcBorders>
            <w:shd w:val="clear" w:color="auto" w:fill="auto"/>
            <w:noWrap/>
            <w:hideMark/>
          </w:tcPr>
          <w:p w14:paraId="3707AECD" w14:textId="77777777" w:rsidR="006F0BB0" w:rsidRPr="006F0BB0" w:rsidRDefault="006F0BB0" w:rsidP="007D1DBA">
            <w:pPr>
              <w:jc w:val="right"/>
              <w:rPr>
                <w:sz w:val="18"/>
                <w:szCs w:val="18"/>
                <w:lang w:val="es-419" w:eastAsia="es-419"/>
              </w:rPr>
            </w:pPr>
            <w:r w:rsidRPr="006F0BB0">
              <w:rPr>
                <w:sz w:val="18"/>
                <w:szCs w:val="18"/>
                <w:lang w:val="es-419" w:eastAsia="es-419"/>
              </w:rPr>
              <w:t>1 166 136</w:t>
            </w:r>
          </w:p>
        </w:tc>
        <w:tc>
          <w:tcPr>
            <w:tcW w:w="950" w:type="dxa"/>
            <w:tcBorders>
              <w:top w:val="nil"/>
              <w:left w:val="nil"/>
              <w:bottom w:val="single" w:sz="4" w:space="0" w:color="auto"/>
              <w:right w:val="single" w:sz="4" w:space="0" w:color="auto"/>
            </w:tcBorders>
            <w:shd w:val="clear" w:color="auto" w:fill="auto"/>
            <w:noWrap/>
            <w:hideMark/>
          </w:tcPr>
          <w:p w14:paraId="3CC9C2FE" w14:textId="77777777" w:rsidR="006F0BB0" w:rsidRPr="006F0BB0" w:rsidRDefault="006F0BB0" w:rsidP="007D1DBA">
            <w:pPr>
              <w:jc w:val="right"/>
              <w:rPr>
                <w:sz w:val="18"/>
                <w:szCs w:val="18"/>
                <w:lang w:val="es-419" w:eastAsia="es-419"/>
              </w:rPr>
            </w:pPr>
            <w:r w:rsidRPr="006F0BB0">
              <w:rPr>
                <w:sz w:val="18"/>
                <w:szCs w:val="18"/>
                <w:lang w:val="es-419" w:eastAsia="es-419"/>
              </w:rPr>
              <w:t>1 201 120</w:t>
            </w:r>
          </w:p>
        </w:tc>
        <w:tc>
          <w:tcPr>
            <w:tcW w:w="950" w:type="dxa"/>
            <w:tcBorders>
              <w:top w:val="nil"/>
              <w:left w:val="nil"/>
              <w:bottom w:val="single" w:sz="4" w:space="0" w:color="auto"/>
              <w:right w:val="single" w:sz="4" w:space="0" w:color="auto"/>
            </w:tcBorders>
            <w:shd w:val="clear" w:color="auto" w:fill="auto"/>
            <w:noWrap/>
            <w:hideMark/>
          </w:tcPr>
          <w:p w14:paraId="234A5FEB" w14:textId="77777777" w:rsidR="006F0BB0" w:rsidRPr="006F0BB0" w:rsidRDefault="006F0BB0" w:rsidP="007D1DBA">
            <w:pPr>
              <w:jc w:val="right"/>
              <w:rPr>
                <w:sz w:val="18"/>
                <w:szCs w:val="18"/>
                <w:lang w:val="es-419" w:eastAsia="es-419"/>
              </w:rPr>
            </w:pPr>
            <w:r w:rsidRPr="006F0BB0">
              <w:rPr>
                <w:sz w:val="18"/>
                <w:szCs w:val="18"/>
                <w:lang w:val="es-419" w:eastAsia="es-419"/>
              </w:rPr>
              <w:t>1 237 154</w:t>
            </w:r>
          </w:p>
        </w:tc>
        <w:tc>
          <w:tcPr>
            <w:tcW w:w="950" w:type="dxa"/>
            <w:tcBorders>
              <w:top w:val="nil"/>
              <w:left w:val="nil"/>
              <w:bottom w:val="single" w:sz="4" w:space="0" w:color="auto"/>
              <w:right w:val="single" w:sz="4" w:space="0" w:color="auto"/>
            </w:tcBorders>
            <w:shd w:val="clear" w:color="auto" w:fill="auto"/>
            <w:noWrap/>
            <w:hideMark/>
          </w:tcPr>
          <w:p w14:paraId="774E8572" w14:textId="77777777" w:rsidR="006F0BB0" w:rsidRPr="006F0BB0" w:rsidRDefault="006F0BB0" w:rsidP="007D1DBA">
            <w:pPr>
              <w:jc w:val="right"/>
              <w:rPr>
                <w:sz w:val="18"/>
                <w:szCs w:val="18"/>
                <w:lang w:val="es-419" w:eastAsia="es-419"/>
              </w:rPr>
            </w:pPr>
            <w:r w:rsidRPr="006F0BB0">
              <w:rPr>
                <w:sz w:val="18"/>
                <w:szCs w:val="18"/>
                <w:lang w:val="es-419" w:eastAsia="es-419"/>
              </w:rPr>
              <w:t>1 274 268</w:t>
            </w:r>
          </w:p>
        </w:tc>
        <w:tc>
          <w:tcPr>
            <w:tcW w:w="950" w:type="dxa"/>
            <w:tcBorders>
              <w:top w:val="nil"/>
              <w:left w:val="nil"/>
              <w:bottom w:val="single" w:sz="4" w:space="0" w:color="auto"/>
              <w:right w:val="single" w:sz="4" w:space="0" w:color="auto"/>
            </w:tcBorders>
            <w:shd w:val="clear" w:color="auto" w:fill="auto"/>
            <w:noWrap/>
            <w:hideMark/>
          </w:tcPr>
          <w:p w14:paraId="1A6266C5" w14:textId="77777777" w:rsidR="006F0BB0" w:rsidRPr="006F0BB0" w:rsidRDefault="006F0BB0" w:rsidP="007D1DBA">
            <w:pPr>
              <w:jc w:val="right"/>
              <w:rPr>
                <w:sz w:val="18"/>
                <w:szCs w:val="18"/>
                <w:lang w:val="es-419" w:eastAsia="es-419"/>
              </w:rPr>
            </w:pPr>
            <w:r w:rsidRPr="006F0BB0">
              <w:rPr>
                <w:sz w:val="18"/>
                <w:szCs w:val="18"/>
                <w:lang w:val="es-419" w:eastAsia="es-419"/>
              </w:rPr>
              <w:t>1 166 476</w:t>
            </w:r>
          </w:p>
        </w:tc>
        <w:tc>
          <w:tcPr>
            <w:tcW w:w="1005" w:type="dxa"/>
            <w:tcBorders>
              <w:top w:val="nil"/>
              <w:left w:val="nil"/>
              <w:bottom w:val="single" w:sz="4" w:space="0" w:color="auto"/>
              <w:right w:val="single" w:sz="4" w:space="0" w:color="auto"/>
            </w:tcBorders>
            <w:shd w:val="clear" w:color="auto" w:fill="auto"/>
            <w:noWrap/>
            <w:hideMark/>
          </w:tcPr>
          <w:p w14:paraId="4C0D4CE3" w14:textId="77777777" w:rsidR="006F0BB0" w:rsidRPr="006F0BB0" w:rsidRDefault="006F0BB0" w:rsidP="007D1DBA">
            <w:pPr>
              <w:jc w:val="right"/>
              <w:rPr>
                <w:sz w:val="18"/>
                <w:szCs w:val="18"/>
                <w:lang w:val="es-419" w:eastAsia="es-419"/>
              </w:rPr>
            </w:pPr>
            <w:r w:rsidRPr="006F0BB0">
              <w:rPr>
                <w:sz w:val="18"/>
                <w:szCs w:val="18"/>
                <w:lang w:val="es-419" w:eastAsia="es-419"/>
              </w:rPr>
              <w:t>1 405 077</w:t>
            </w:r>
          </w:p>
        </w:tc>
        <w:tc>
          <w:tcPr>
            <w:tcW w:w="1181" w:type="dxa"/>
            <w:tcBorders>
              <w:top w:val="nil"/>
              <w:left w:val="nil"/>
              <w:bottom w:val="single" w:sz="4" w:space="0" w:color="auto"/>
              <w:right w:val="single" w:sz="4" w:space="0" w:color="auto"/>
            </w:tcBorders>
            <w:shd w:val="clear" w:color="auto" w:fill="auto"/>
            <w:noWrap/>
            <w:hideMark/>
          </w:tcPr>
          <w:p w14:paraId="354B7895" w14:textId="77777777" w:rsidR="006F0BB0" w:rsidRPr="006F0BB0" w:rsidRDefault="006F0BB0" w:rsidP="007D1DBA">
            <w:pPr>
              <w:jc w:val="right"/>
              <w:rPr>
                <w:sz w:val="18"/>
                <w:szCs w:val="18"/>
                <w:lang w:val="es-419" w:eastAsia="es-419"/>
              </w:rPr>
            </w:pPr>
            <w:r w:rsidRPr="006F0BB0">
              <w:rPr>
                <w:sz w:val="18"/>
                <w:szCs w:val="18"/>
                <w:lang w:val="es-419" w:eastAsia="es-419"/>
              </w:rPr>
              <w:t>90,7%</w:t>
            </w:r>
          </w:p>
        </w:tc>
      </w:tr>
      <w:tr w:rsidR="006F0BB0" w:rsidRPr="006F0BB0" w14:paraId="63DF905C"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41A6A1" w14:textId="77777777" w:rsidR="006F0BB0" w:rsidRPr="006F0BB0" w:rsidRDefault="006F0BB0" w:rsidP="007D1DBA">
            <w:pPr>
              <w:jc w:val="left"/>
              <w:rPr>
                <w:sz w:val="18"/>
                <w:szCs w:val="18"/>
                <w:lang w:val="es-419" w:eastAsia="es-419"/>
              </w:rPr>
            </w:pPr>
            <w:r w:rsidRPr="006F0BB0">
              <w:rPr>
                <w:sz w:val="18"/>
                <w:szCs w:val="18"/>
                <w:lang w:val="es-419" w:eastAsia="es-419"/>
              </w:rPr>
              <w:t>Samoa</w:t>
            </w:r>
          </w:p>
        </w:tc>
        <w:tc>
          <w:tcPr>
            <w:tcW w:w="950" w:type="dxa"/>
            <w:tcBorders>
              <w:top w:val="nil"/>
              <w:left w:val="nil"/>
              <w:bottom w:val="single" w:sz="4" w:space="0" w:color="auto"/>
              <w:right w:val="single" w:sz="4" w:space="0" w:color="auto"/>
            </w:tcBorders>
            <w:shd w:val="clear" w:color="auto" w:fill="auto"/>
            <w:noWrap/>
            <w:hideMark/>
          </w:tcPr>
          <w:p w14:paraId="02A25A77" w14:textId="77777777" w:rsidR="006F0BB0" w:rsidRPr="006F0BB0" w:rsidRDefault="006F0BB0" w:rsidP="007D1DBA">
            <w:pPr>
              <w:jc w:val="right"/>
              <w:rPr>
                <w:sz w:val="18"/>
                <w:szCs w:val="18"/>
                <w:lang w:val="es-419" w:eastAsia="es-419"/>
              </w:rPr>
            </w:pPr>
            <w:r w:rsidRPr="006F0BB0">
              <w:rPr>
                <w:sz w:val="18"/>
                <w:szCs w:val="18"/>
                <w:lang w:val="es-419" w:eastAsia="es-419"/>
              </w:rPr>
              <w:t>25 170</w:t>
            </w:r>
          </w:p>
        </w:tc>
        <w:tc>
          <w:tcPr>
            <w:tcW w:w="950" w:type="dxa"/>
            <w:tcBorders>
              <w:top w:val="nil"/>
              <w:left w:val="nil"/>
              <w:bottom w:val="single" w:sz="4" w:space="0" w:color="auto"/>
              <w:right w:val="single" w:sz="4" w:space="0" w:color="auto"/>
            </w:tcBorders>
            <w:shd w:val="clear" w:color="auto" w:fill="auto"/>
            <w:noWrap/>
            <w:hideMark/>
          </w:tcPr>
          <w:p w14:paraId="297530E4" w14:textId="77777777" w:rsidR="006F0BB0" w:rsidRPr="006F0BB0" w:rsidRDefault="006F0BB0" w:rsidP="007D1DBA">
            <w:pPr>
              <w:jc w:val="right"/>
              <w:rPr>
                <w:sz w:val="18"/>
                <w:szCs w:val="18"/>
                <w:lang w:val="es-419" w:eastAsia="es-419"/>
              </w:rPr>
            </w:pPr>
            <w:r w:rsidRPr="006F0BB0">
              <w:rPr>
                <w:sz w:val="18"/>
                <w:szCs w:val="18"/>
                <w:lang w:val="es-419" w:eastAsia="es-419"/>
              </w:rPr>
              <w:t>25 925</w:t>
            </w:r>
          </w:p>
        </w:tc>
        <w:tc>
          <w:tcPr>
            <w:tcW w:w="950" w:type="dxa"/>
            <w:tcBorders>
              <w:top w:val="nil"/>
              <w:left w:val="nil"/>
              <w:bottom w:val="single" w:sz="4" w:space="0" w:color="auto"/>
              <w:right w:val="single" w:sz="4" w:space="0" w:color="auto"/>
            </w:tcBorders>
            <w:shd w:val="clear" w:color="auto" w:fill="auto"/>
            <w:noWrap/>
            <w:hideMark/>
          </w:tcPr>
          <w:p w14:paraId="0FE1745F" w14:textId="77777777" w:rsidR="006F0BB0" w:rsidRPr="006F0BB0" w:rsidRDefault="006F0BB0" w:rsidP="007D1DBA">
            <w:pPr>
              <w:jc w:val="right"/>
              <w:rPr>
                <w:sz w:val="18"/>
                <w:szCs w:val="18"/>
                <w:lang w:val="es-419" w:eastAsia="es-419"/>
              </w:rPr>
            </w:pPr>
            <w:r w:rsidRPr="006F0BB0">
              <w:rPr>
                <w:sz w:val="18"/>
                <w:szCs w:val="18"/>
                <w:lang w:val="es-419" w:eastAsia="es-419"/>
              </w:rPr>
              <w:t>26 703</w:t>
            </w:r>
          </w:p>
        </w:tc>
        <w:tc>
          <w:tcPr>
            <w:tcW w:w="950" w:type="dxa"/>
            <w:tcBorders>
              <w:top w:val="nil"/>
              <w:left w:val="nil"/>
              <w:bottom w:val="single" w:sz="4" w:space="0" w:color="auto"/>
              <w:right w:val="single" w:sz="4" w:space="0" w:color="auto"/>
            </w:tcBorders>
            <w:shd w:val="clear" w:color="auto" w:fill="auto"/>
            <w:noWrap/>
            <w:hideMark/>
          </w:tcPr>
          <w:p w14:paraId="573A2D50" w14:textId="77777777" w:rsidR="006F0BB0" w:rsidRPr="006F0BB0" w:rsidRDefault="006F0BB0" w:rsidP="007D1DBA">
            <w:pPr>
              <w:jc w:val="right"/>
              <w:rPr>
                <w:sz w:val="18"/>
                <w:szCs w:val="18"/>
                <w:lang w:val="es-419" w:eastAsia="es-419"/>
              </w:rPr>
            </w:pPr>
            <w:r w:rsidRPr="006F0BB0">
              <w:rPr>
                <w:sz w:val="18"/>
                <w:szCs w:val="18"/>
                <w:lang w:val="es-419" w:eastAsia="es-419"/>
              </w:rPr>
              <w:t>27 504</w:t>
            </w:r>
          </w:p>
        </w:tc>
        <w:tc>
          <w:tcPr>
            <w:tcW w:w="950" w:type="dxa"/>
            <w:tcBorders>
              <w:top w:val="nil"/>
              <w:left w:val="nil"/>
              <w:bottom w:val="single" w:sz="4" w:space="0" w:color="auto"/>
              <w:right w:val="single" w:sz="4" w:space="0" w:color="auto"/>
            </w:tcBorders>
            <w:shd w:val="clear" w:color="auto" w:fill="auto"/>
            <w:noWrap/>
            <w:hideMark/>
          </w:tcPr>
          <w:p w14:paraId="6DE936DE" w14:textId="77777777" w:rsidR="006F0BB0" w:rsidRPr="006F0BB0" w:rsidRDefault="006F0BB0" w:rsidP="007D1DBA">
            <w:pPr>
              <w:jc w:val="right"/>
              <w:rPr>
                <w:sz w:val="18"/>
                <w:szCs w:val="18"/>
                <w:lang w:val="es-419" w:eastAsia="es-419"/>
              </w:rPr>
            </w:pPr>
            <w:r w:rsidRPr="006F0BB0">
              <w:rPr>
                <w:sz w:val="18"/>
                <w:szCs w:val="18"/>
                <w:lang w:val="es-419" w:eastAsia="es-419"/>
              </w:rPr>
              <w:t>28 329</w:t>
            </w:r>
          </w:p>
        </w:tc>
        <w:tc>
          <w:tcPr>
            <w:tcW w:w="950" w:type="dxa"/>
            <w:tcBorders>
              <w:top w:val="nil"/>
              <w:left w:val="nil"/>
              <w:bottom w:val="single" w:sz="4" w:space="0" w:color="auto"/>
              <w:right w:val="single" w:sz="4" w:space="0" w:color="auto"/>
            </w:tcBorders>
            <w:shd w:val="clear" w:color="auto" w:fill="auto"/>
            <w:noWrap/>
            <w:hideMark/>
          </w:tcPr>
          <w:p w14:paraId="26EAD690" w14:textId="77777777" w:rsidR="006F0BB0" w:rsidRPr="006F0BB0" w:rsidRDefault="006F0BB0" w:rsidP="007D1DBA">
            <w:pPr>
              <w:jc w:val="right"/>
              <w:rPr>
                <w:sz w:val="18"/>
                <w:szCs w:val="18"/>
                <w:lang w:val="es-419" w:eastAsia="es-419"/>
              </w:rPr>
            </w:pPr>
            <w:r w:rsidRPr="006F0BB0">
              <w:rPr>
                <w:sz w:val="18"/>
                <w:szCs w:val="18"/>
                <w:lang w:val="es-419" w:eastAsia="es-419"/>
              </w:rPr>
              <w:t>29 179</w:t>
            </w:r>
          </w:p>
        </w:tc>
        <w:tc>
          <w:tcPr>
            <w:tcW w:w="950" w:type="dxa"/>
            <w:tcBorders>
              <w:top w:val="nil"/>
              <w:left w:val="nil"/>
              <w:bottom w:val="single" w:sz="4" w:space="0" w:color="auto"/>
              <w:right w:val="single" w:sz="4" w:space="0" w:color="auto"/>
            </w:tcBorders>
            <w:shd w:val="clear" w:color="auto" w:fill="auto"/>
            <w:noWrap/>
            <w:hideMark/>
          </w:tcPr>
          <w:p w14:paraId="1A362C27" w14:textId="77777777" w:rsidR="006F0BB0" w:rsidRPr="006F0BB0" w:rsidRDefault="006F0BB0" w:rsidP="007D1DBA">
            <w:pPr>
              <w:jc w:val="right"/>
              <w:rPr>
                <w:sz w:val="18"/>
                <w:szCs w:val="18"/>
                <w:lang w:val="es-419" w:eastAsia="es-419"/>
              </w:rPr>
            </w:pPr>
            <w:r w:rsidRPr="006F0BB0">
              <w:rPr>
                <w:sz w:val="18"/>
                <w:szCs w:val="18"/>
                <w:lang w:val="es-419" w:eastAsia="es-419"/>
              </w:rPr>
              <w:t>26 711</w:t>
            </w:r>
          </w:p>
        </w:tc>
        <w:tc>
          <w:tcPr>
            <w:tcW w:w="1005" w:type="dxa"/>
            <w:tcBorders>
              <w:top w:val="nil"/>
              <w:left w:val="nil"/>
              <w:bottom w:val="single" w:sz="4" w:space="0" w:color="auto"/>
              <w:right w:val="single" w:sz="4" w:space="0" w:color="auto"/>
            </w:tcBorders>
            <w:shd w:val="clear" w:color="auto" w:fill="auto"/>
            <w:noWrap/>
            <w:hideMark/>
          </w:tcPr>
          <w:p w14:paraId="2B48A5D7" w14:textId="77777777" w:rsidR="006F0BB0" w:rsidRPr="006F0BB0" w:rsidRDefault="006F0BB0" w:rsidP="007D1DBA">
            <w:pPr>
              <w:jc w:val="right"/>
              <w:rPr>
                <w:sz w:val="18"/>
                <w:szCs w:val="18"/>
                <w:lang w:val="es-419" w:eastAsia="es-419"/>
              </w:rPr>
            </w:pPr>
            <w:r w:rsidRPr="006F0BB0">
              <w:rPr>
                <w:sz w:val="18"/>
                <w:szCs w:val="18"/>
                <w:lang w:val="es-419" w:eastAsia="es-419"/>
              </w:rPr>
              <w:t>32 123</w:t>
            </w:r>
          </w:p>
        </w:tc>
        <w:tc>
          <w:tcPr>
            <w:tcW w:w="1181" w:type="dxa"/>
            <w:tcBorders>
              <w:top w:val="nil"/>
              <w:left w:val="nil"/>
              <w:bottom w:val="single" w:sz="4" w:space="0" w:color="auto"/>
              <w:right w:val="single" w:sz="4" w:space="0" w:color="auto"/>
            </w:tcBorders>
            <w:shd w:val="clear" w:color="auto" w:fill="auto"/>
            <w:noWrap/>
            <w:hideMark/>
          </w:tcPr>
          <w:p w14:paraId="1D0F027F" w14:textId="77777777" w:rsidR="006F0BB0" w:rsidRPr="006F0BB0" w:rsidRDefault="006F0BB0" w:rsidP="007D1DBA">
            <w:pPr>
              <w:jc w:val="right"/>
              <w:rPr>
                <w:sz w:val="18"/>
                <w:szCs w:val="18"/>
                <w:lang w:val="es-419" w:eastAsia="es-419"/>
              </w:rPr>
            </w:pPr>
            <w:r w:rsidRPr="006F0BB0">
              <w:rPr>
                <w:sz w:val="18"/>
                <w:szCs w:val="18"/>
                <w:lang w:val="es-419" w:eastAsia="es-419"/>
              </w:rPr>
              <w:t>90,8%</w:t>
            </w:r>
          </w:p>
        </w:tc>
      </w:tr>
      <w:tr w:rsidR="006F0BB0" w:rsidRPr="006F0BB0" w14:paraId="634D504E"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2B20B8A" w14:textId="77777777" w:rsidR="006F0BB0" w:rsidRPr="006F0BB0" w:rsidRDefault="006F0BB0" w:rsidP="007D1DBA">
            <w:pPr>
              <w:jc w:val="left"/>
              <w:rPr>
                <w:sz w:val="18"/>
                <w:szCs w:val="18"/>
                <w:lang w:val="es-419" w:eastAsia="es-419"/>
              </w:rPr>
            </w:pPr>
            <w:r w:rsidRPr="006F0BB0">
              <w:rPr>
                <w:sz w:val="18"/>
                <w:szCs w:val="18"/>
                <w:lang w:val="es-419" w:eastAsia="es-419"/>
              </w:rPr>
              <w:t>Micronesia (Estados Federados de)</w:t>
            </w:r>
          </w:p>
        </w:tc>
        <w:tc>
          <w:tcPr>
            <w:tcW w:w="950" w:type="dxa"/>
            <w:tcBorders>
              <w:top w:val="nil"/>
              <w:left w:val="nil"/>
              <w:bottom w:val="single" w:sz="4" w:space="0" w:color="auto"/>
              <w:right w:val="single" w:sz="4" w:space="0" w:color="auto"/>
            </w:tcBorders>
            <w:shd w:val="clear" w:color="auto" w:fill="auto"/>
            <w:noWrap/>
            <w:hideMark/>
          </w:tcPr>
          <w:p w14:paraId="5371791C" w14:textId="77777777" w:rsidR="006F0BB0" w:rsidRPr="006F0BB0" w:rsidRDefault="006F0BB0" w:rsidP="007D1DBA">
            <w:pPr>
              <w:jc w:val="right"/>
              <w:rPr>
                <w:sz w:val="18"/>
                <w:szCs w:val="18"/>
                <w:lang w:val="es-419" w:eastAsia="es-419"/>
              </w:rPr>
            </w:pPr>
            <w:r w:rsidRPr="006F0BB0">
              <w:rPr>
                <w:sz w:val="18"/>
                <w:szCs w:val="18"/>
                <w:lang w:val="es-419" w:eastAsia="es-419"/>
              </w:rPr>
              <w:t>14 020</w:t>
            </w:r>
          </w:p>
        </w:tc>
        <w:tc>
          <w:tcPr>
            <w:tcW w:w="950" w:type="dxa"/>
            <w:tcBorders>
              <w:top w:val="nil"/>
              <w:left w:val="nil"/>
              <w:bottom w:val="single" w:sz="4" w:space="0" w:color="auto"/>
              <w:right w:val="single" w:sz="4" w:space="0" w:color="auto"/>
            </w:tcBorders>
            <w:shd w:val="clear" w:color="auto" w:fill="auto"/>
            <w:noWrap/>
            <w:hideMark/>
          </w:tcPr>
          <w:p w14:paraId="4340080E" w14:textId="77777777" w:rsidR="006F0BB0" w:rsidRPr="006F0BB0" w:rsidRDefault="006F0BB0" w:rsidP="007D1DBA">
            <w:pPr>
              <w:jc w:val="right"/>
              <w:rPr>
                <w:sz w:val="18"/>
                <w:szCs w:val="18"/>
                <w:lang w:val="es-419" w:eastAsia="es-419"/>
              </w:rPr>
            </w:pPr>
            <w:r w:rsidRPr="006F0BB0">
              <w:rPr>
                <w:sz w:val="18"/>
                <w:szCs w:val="18"/>
                <w:lang w:val="es-419" w:eastAsia="es-419"/>
              </w:rPr>
              <w:t>14 441</w:t>
            </w:r>
          </w:p>
        </w:tc>
        <w:tc>
          <w:tcPr>
            <w:tcW w:w="950" w:type="dxa"/>
            <w:tcBorders>
              <w:top w:val="nil"/>
              <w:left w:val="nil"/>
              <w:bottom w:val="single" w:sz="4" w:space="0" w:color="auto"/>
              <w:right w:val="single" w:sz="4" w:space="0" w:color="auto"/>
            </w:tcBorders>
            <w:shd w:val="clear" w:color="auto" w:fill="auto"/>
            <w:noWrap/>
            <w:hideMark/>
          </w:tcPr>
          <w:p w14:paraId="0A81D59C" w14:textId="77777777" w:rsidR="006F0BB0" w:rsidRPr="006F0BB0" w:rsidRDefault="006F0BB0" w:rsidP="007D1DBA">
            <w:pPr>
              <w:jc w:val="right"/>
              <w:rPr>
                <w:sz w:val="18"/>
                <w:szCs w:val="18"/>
                <w:lang w:val="es-419" w:eastAsia="es-419"/>
              </w:rPr>
            </w:pPr>
            <w:r w:rsidRPr="006F0BB0">
              <w:rPr>
                <w:sz w:val="18"/>
                <w:szCs w:val="18"/>
                <w:lang w:val="es-419" w:eastAsia="es-419"/>
              </w:rPr>
              <w:t>14 874</w:t>
            </w:r>
          </w:p>
        </w:tc>
        <w:tc>
          <w:tcPr>
            <w:tcW w:w="950" w:type="dxa"/>
            <w:tcBorders>
              <w:top w:val="nil"/>
              <w:left w:val="nil"/>
              <w:bottom w:val="single" w:sz="4" w:space="0" w:color="auto"/>
              <w:right w:val="single" w:sz="4" w:space="0" w:color="auto"/>
            </w:tcBorders>
            <w:shd w:val="clear" w:color="auto" w:fill="auto"/>
            <w:noWrap/>
            <w:hideMark/>
          </w:tcPr>
          <w:p w14:paraId="31EC70F4" w14:textId="77777777" w:rsidR="006F0BB0" w:rsidRPr="006F0BB0" w:rsidRDefault="006F0BB0" w:rsidP="007D1DBA">
            <w:pPr>
              <w:jc w:val="right"/>
              <w:rPr>
                <w:sz w:val="18"/>
                <w:szCs w:val="18"/>
                <w:lang w:val="es-419" w:eastAsia="es-419"/>
              </w:rPr>
            </w:pPr>
            <w:r w:rsidRPr="006F0BB0">
              <w:rPr>
                <w:sz w:val="18"/>
                <w:szCs w:val="18"/>
                <w:lang w:val="es-419" w:eastAsia="es-419"/>
              </w:rPr>
              <w:t>15 320</w:t>
            </w:r>
          </w:p>
        </w:tc>
        <w:tc>
          <w:tcPr>
            <w:tcW w:w="950" w:type="dxa"/>
            <w:tcBorders>
              <w:top w:val="nil"/>
              <w:left w:val="nil"/>
              <w:bottom w:val="single" w:sz="4" w:space="0" w:color="auto"/>
              <w:right w:val="single" w:sz="4" w:space="0" w:color="auto"/>
            </w:tcBorders>
            <w:shd w:val="clear" w:color="auto" w:fill="auto"/>
            <w:noWrap/>
            <w:hideMark/>
          </w:tcPr>
          <w:p w14:paraId="56B60BB8" w14:textId="77777777" w:rsidR="006F0BB0" w:rsidRPr="006F0BB0" w:rsidRDefault="006F0BB0" w:rsidP="007D1DBA">
            <w:pPr>
              <w:jc w:val="right"/>
              <w:rPr>
                <w:sz w:val="18"/>
                <w:szCs w:val="18"/>
                <w:lang w:val="es-419" w:eastAsia="es-419"/>
              </w:rPr>
            </w:pPr>
            <w:r w:rsidRPr="006F0BB0">
              <w:rPr>
                <w:sz w:val="18"/>
                <w:szCs w:val="18"/>
                <w:lang w:val="es-419" w:eastAsia="es-419"/>
              </w:rPr>
              <w:t>15 780</w:t>
            </w:r>
          </w:p>
        </w:tc>
        <w:tc>
          <w:tcPr>
            <w:tcW w:w="950" w:type="dxa"/>
            <w:tcBorders>
              <w:top w:val="nil"/>
              <w:left w:val="nil"/>
              <w:bottom w:val="single" w:sz="4" w:space="0" w:color="auto"/>
              <w:right w:val="single" w:sz="4" w:space="0" w:color="auto"/>
            </w:tcBorders>
            <w:shd w:val="clear" w:color="auto" w:fill="auto"/>
            <w:noWrap/>
            <w:hideMark/>
          </w:tcPr>
          <w:p w14:paraId="20EC6BD6" w14:textId="77777777" w:rsidR="006F0BB0" w:rsidRPr="006F0BB0" w:rsidRDefault="006F0BB0" w:rsidP="007D1DBA">
            <w:pPr>
              <w:jc w:val="right"/>
              <w:rPr>
                <w:sz w:val="18"/>
                <w:szCs w:val="18"/>
                <w:lang w:val="es-419" w:eastAsia="es-419"/>
              </w:rPr>
            </w:pPr>
            <w:r w:rsidRPr="006F0BB0">
              <w:rPr>
                <w:sz w:val="18"/>
                <w:szCs w:val="18"/>
                <w:lang w:val="es-419" w:eastAsia="es-419"/>
              </w:rPr>
              <w:t>16 253</w:t>
            </w:r>
          </w:p>
        </w:tc>
        <w:tc>
          <w:tcPr>
            <w:tcW w:w="950" w:type="dxa"/>
            <w:tcBorders>
              <w:top w:val="nil"/>
              <w:left w:val="nil"/>
              <w:bottom w:val="single" w:sz="4" w:space="0" w:color="auto"/>
              <w:right w:val="single" w:sz="4" w:space="0" w:color="auto"/>
            </w:tcBorders>
            <w:shd w:val="clear" w:color="auto" w:fill="auto"/>
            <w:noWrap/>
            <w:hideMark/>
          </w:tcPr>
          <w:p w14:paraId="28F1A9FD" w14:textId="77777777" w:rsidR="006F0BB0" w:rsidRPr="006F0BB0" w:rsidRDefault="006F0BB0" w:rsidP="007D1DBA">
            <w:pPr>
              <w:jc w:val="right"/>
              <w:rPr>
                <w:sz w:val="18"/>
                <w:szCs w:val="18"/>
                <w:lang w:val="es-419" w:eastAsia="es-419"/>
              </w:rPr>
            </w:pPr>
            <w:r w:rsidRPr="006F0BB0">
              <w:rPr>
                <w:sz w:val="18"/>
                <w:szCs w:val="18"/>
                <w:lang w:val="es-419" w:eastAsia="es-419"/>
              </w:rPr>
              <w:t>14 878</w:t>
            </w:r>
          </w:p>
        </w:tc>
        <w:tc>
          <w:tcPr>
            <w:tcW w:w="1005" w:type="dxa"/>
            <w:tcBorders>
              <w:top w:val="nil"/>
              <w:left w:val="nil"/>
              <w:bottom w:val="single" w:sz="4" w:space="0" w:color="auto"/>
              <w:right w:val="single" w:sz="4" w:space="0" w:color="auto"/>
            </w:tcBorders>
            <w:shd w:val="clear" w:color="auto" w:fill="auto"/>
            <w:noWrap/>
            <w:hideMark/>
          </w:tcPr>
          <w:p w14:paraId="5A13200E" w14:textId="77777777" w:rsidR="006F0BB0" w:rsidRPr="006F0BB0" w:rsidRDefault="006F0BB0" w:rsidP="007D1DBA">
            <w:pPr>
              <w:jc w:val="right"/>
              <w:rPr>
                <w:sz w:val="18"/>
                <w:szCs w:val="18"/>
                <w:lang w:val="es-419" w:eastAsia="es-419"/>
              </w:rPr>
            </w:pPr>
            <w:r w:rsidRPr="006F0BB0">
              <w:rPr>
                <w:sz w:val="18"/>
                <w:szCs w:val="18"/>
                <w:lang w:val="es-419" w:eastAsia="es-419"/>
              </w:rPr>
              <w:t>17 804</w:t>
            </w:r>
          </w:p>
        </w:tc>
        <w:tc>
          <w:tcPr>
            <w:tcW w:w="1181" w:type="dxa"/>
            <w:tcBorders>
              <w:top w:val="nil"/>
              <w:left w:val="nil"/>
              <w:bottom w:val="single" w:sz="4" w:space="0" w:color="auto"/>
              <w:right w:val="single" w:sz="4" w:space="0" w:color="auto"/>
            </w:tcBorders>
            <w:shd w:val="clear" w:color="auto" w:fill="auto"/>
            <w:noWrap/>
            <w:hideMark/>
          </w:tcPr>
          <w:p w14:paraId="2AC1AE6D" w14:textId="77777777" w:rsidR="006F0BB0" w:rsidRPr="006F0BB0" w:rsidRDefault="006F0BB0" w:rsidP="007D1DBA">
            <w:pPr>
              <w:jc w:val="right"/>
              <w:rPr>
                <w:sz w:val="18"/>
                <w:szCs w:val="18"/>
                <w:lang w:val="es-419" w:eastAsia="es-419"/>
              </w:rPr>
            </w:pPr>
            <w:r w:rsidRPr="006F0BB0">
              <w:rPr>
                <w:sz w:val="18"/>
                <w:szCs w:val="18"/>
                <w:lang w:val="es-419" w:eastAsia="es-419"/>
              </w:rPr>
              <w:t>91,3%</w:t>
            </w:r>
          </w:p>
        </w:tc>
      </w:tr>
      <w:tr w:rsidR="006F0BB0" w:rsidRPr="006F0BB0" w14:paraId="6123BC2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0EAFD5" w14:textId="77777777" w:rsidR="006F0BB0" w:rsidRPr="006F0BB0" w:rsidRDefault="006F0BB0" w:rsidP="007D1DBA">
            <w:pPr>
              <w:jc w:val="left"/>
              <w:rPr>
                <w:sz w:val="18"/>
                <w:szCs w:val="18"/>
                <w:lang w:val="es-419" w:eastAsia="es-419"/>
              </w:rPr>
            </w:pPr>
            <w:r w:rsidRPr="006F0BB0">
              <w:rPr>
                <w:sz w:val="18"/>
                <w:szCs w:val="18"/>
                <w:lang w:val="es-419" w:eastAsia="es-419"/>
              </w:rPr>
              <w:t>Kiribati</w:t>
            </w:r>
          </w:p>
        </w:tc>
        <w:tc>
          <w:tcPr>
            <w:tcW w:w="950" w:type="dxa"/>
            <w:tcBorders>
              <w:top w:val="nil"/>
              <w:left w:val="nil"/>
              <w:bottom w:val="single" w:sz="4" w:space="0" w:color="auto"/>
              <w:right w:val="single" w:sz="4" w:space="0" w:color="auto"/>
            </w:tcBorders>
            <w:shd w:val="clear" w:color="auto" w:fill="auto"/>
            <w:noWrap/>
            <w:hideMark/>
          </w:tcPr>
          <w:p w14:paraId="567C3CA5" w14:textId="77777777" w:rsidR="006F0BB0" w:rsidRPr="006F0BB0" w:rsidRDefault="006F0BB0" w:rsidP="007D1DBA">
            <w:pPr>
              <w:jc w:val="right"/>
              <w:rPr>
                <w:sz w:val="18"/>
                <w:szCs w:val="18"/>
                <w:lang w:val="es-419" w:eastAsia="es-419"/>
              </w:rPr>
            </w:pPr>
            <w:r w:rsidRPr="006F0BB0">
              <w:rPr>
                <w:sz w:val="18"/>
                <w:szCs w:val="18"/>
                <w:lang w:val="es-419" w:eastAsia="es-419"/>
              </w:rPr>
              <w:t>5 572</w:t>
            </w:r>
          </w:p>
        </w:tc>
        <w:tc>
          <w:tcPr>
            <w:tcW w:w="950" w:type="dxa"/>
            <w:tcBorders>
              <w:top w:val="nil"/>
              <w:left w:val="nil"/>
              <w:bottom w:val="single" w:sz="4" w:space="0" w:color="auto"/>
              <w:right w:val="single" w:sz="4" w:space="0" w:color="auto"/>
            </w:tcBorders>
            <w:shd w:val="clear" w:color="auto" w:fill="auto"/>
            <w:noWrap/>
            <w:hideMark/>
          </w:tcPr>
          <w:p w14:paraId="772F5D9B" w14:textId="77777777" w:rsidR="006F0BB0" w:rsidRPr="006F0BB0" w:rsidRDefault="006F0BB0" w:rsidP="007D1DBA">
            <w:pPr>
              <w:jc w:val="right"/>
              <w:rPr>
                <w:sz w:val="18"/>
                <w:szCs w:val="18"/>
                <w:lang w:val="es-419" w:eastAsia="es-419"/>
              </w:rPr>
            </w:pPr>
            <w:r w:rsidRPr="006F0BB0">
              <w:rPr>
                <w:sz w:val="18"/>
                <w:szCs w:val="18"/>
                <w:lang w:val="es-419" w:eastAsia="es-419"/>
              </w:rPr>
              <w:t>5 739</w:t>
            </w:r>
          </w:p>
        </w:tc>
        <w:tc>
          <w:tcPr>
            <w:tcW w:w="950" w:type="dxa"/>
            <w:tcBorders>
              <w:top w:val="nil"/>
              <w:left w:val="nil"/>
              <w:bottom w:val="single" w:sz="4" w:space="0" w:color="auto"/>
              <w:right w:val="single" w:sz="4" w:space="0" w:color="auto"/>
            </w:tcBorders>
            <w:shd w:val="clear" w:color="auto" w:fill="auto"/>
            <w:noWrap/>
            <w:hideMark/>
          </w:tcPr>
          <w:p w14:paraId="6F26F113" w14:textId="77777777" w:rsidR="006F0BB0" w:rsidRPr="006F0BB0" w:rsidRDefault="006F0BB0" w:rsidP="007D1DBA">
            <w:pPr>
              <w:jc w:val="right"/>
              <w:rPr>
                <w:sz w:val="18"/>
                <w:szCs w:val="18"/>
                <w:lang w:val="es-419" w:eastAsia="es-419"/>
              </w:rPr>
            </w:pPr>
            <w:r w:rsidRPr="006F0BB0">
              <w:rPr>
                <w:sz w:val="18"/>
                <w:szCs w:val="18"/>
                <w:lang w:val="es-419" w:eastAsia="es-419"/>
              </w:rPr>
              <w:t>5 911</w:t>
            </w:r>
          </w:p>
        </w:tc>
        <w:tc>
          <w:tcPr>
            <w:tcW w:w="950" w:type="dxa"/>
            <w:tcBorders>
              <w:top w:val="nil"/>
              <w:left w:val="nil"/>
              <w:bottom w:val="single" w:sz="4" w:space="0" w:color="auto"/>
              <w:right w:val="single" w:sz="4" w:space="0" w:color="auto"/>
            </w:tcBorders>
            <w:shd w:val="clear" w:color="auto" w:fill="auto"/>
            <w:noWrap/>
            <w:hideMark/>
          </w:tcPr>
          <w:p w14:paraId="43FB6A27" w14:textId="77777777" w:rsidR="006F0BB0" w:rsidRPr="006F0BB0" w:rsidRDefault="006F0BB0" w:rsidP="007D1DBA">
            <w:pPr>
              <w:jc w:val="right"/>
              <w:rPr>
                <w:sz w:val="18"/>
                <w:szCs w:val="18"/>
                <w:lang w:val="es-419" w:eastAsia="es-419"/>
              </w:rPr>
            </w:pPr>
            <w:r w:rsidRPr="006F0BB0">
              <w:rPr>
                <w:sz w:val="18"/>
                <w:szCs w:val="18"/>
                <w:lang w:val="es-419" w:eastAsia="es-419"/>
              </w:rPr>
              <w:t>6 089</w:t>
            </w:r>
          </w:p>
        </w:tc>
        <w:tc>
          <w:tcPr>
            <w:tcW w:w="950" w:type="dxa"/>
            <w:tcBorders>
              <w:top w:val="nil"/>
              <w:left w:val="nil"/>
              <w:bottom w:val="single" w:sz="4" w:space="0" w:color="auto"/>
              <w:right w:val="single" w:sz="4" w:space="0" w:color="auto"/>
            </w:tcBorders>
            <w:shd w:val="clear" w:color="auto" w:fill="auto"/>
            <w:noWrap/>
            <w:hideMark/>
          </w:tcPr>
          <w:p w14:paraId="1F242493" w14:textId="77777777" w:rsidR="006F0BB0" w:rsidRPr="006F0BB0" w:rsidRDefault="006F0BB0" w:rsidP="007D1DBA">
            <w:pPr>
              <w:jc w:val="right"/>
              <w:rPr>
                <w:sz w:val="18"/>
                <w:szCs w:val="18"/>
                <w:lang w:val="es-419" w:eastAsia="es-419"/>
              </w:rPr>
            </w:pPr>
            <w:r w:rsidRPr="006F0BB0">
              <w:rPr>
                <w:sz w:val="18"/>
                <w:szCs w:val="18"/>
                <w:lang w:val="es-419" w:eastAsia="es-419"/>
              </w:rPr>
              <w:t>6 271</w:t>
            </w:r>
          </w:p>
        </w:tc>
        <w:tc>
          <w:tcPr>
            <w:tcW w:w="950" w:type="dxa"/>
            <w:tcBorders>
              <w:top w:val="nil"/>
              <w:left w:val="nil"/>
              <w:bottom w:val="single" w:sz="4" w:space="0" w:color="auto"/>
              <w:right w:val="single" w:sz="4" w:space="0" w:color="auto"/>
            </w:tcBorders>
            <w:shd w:val="clear" w:color="auto" w:fill="auto"/>
            <w:noWrap/>
            <w:hideMark/>
          </w:tcPr>
          <w:p w14:paraId="489BDD0A" w14:textId="77777777" w:rsidR="006F0BB0" w:rsidRPr="006F0BB0" w:rsidRDefault="006F0BB0" w:rsidP="007D1DBA">
            <w:pPr>
              <w:jc w:val="right"/>
              <w:rPr>
                <w:sz w:val="18"/>
                <w:szCs w:val="18"/>
                <w:lang w:val="es-419" w:eastAsia="es-419"/>
              </w:rPr>
            </w:pPr>
            <w:r w:rsidRPr="006F0BB0">
              <w:rPr>
                <w:sz w:val="18"/>
                <w:szCs w:val="18"/>
                <w:lang w:val="es-419" w:eastAsia="es-419"/>
              </w:rPr>
              <w:t>6 459</w:t>
            </w:r>
          </w:p>
        </w:tc>
        <w:tc>
          <w:tcPr>
            <w:tcW w:w="950" w:type="dxa"/>
            <w:tcBorders>
              <w:top w:val="nil"/>
              <w:left w:val="nil"/>
              <w:bottom w:val="single" w:sz="4" w:space="0" w:color="auto"/>
              <w:right w:val="single" w:sz="4" w:space="0" w:color="auto"/>
            </w:tcBorders>
            <w:shd w:val="clear" w:color="auto" w:fill="auto"/>
            <w:noWrap/>
            <w:hideMark/>
          </w:tcPr>
          <w:p w14:paraId="1E7BA6F8" w14:textId="77777777" w:rsidR="006F0BB0" w:rsidRPr="006F0BB0" w:rsidRDefault="006F0BB0" w:rsidP="007D1DBA">
            <w:pPr>
              <w:jc w:val="right"/>
              <w:rPr>
                <w:sz w:val="18"/>
                <w:szCs w:val="18"/>
                <w:lang w:val="es-419" w:eastAsia="es-419"/>
              </w:rPr>
            </w:pPr>
            <w:r w:rsidRPr="006F0BB0">
              <w:rPr>
                <w:sz w:val="18"/>
                <w:szCs w:val="18"/>
                <w:lang w:val="es-419" w:eastAsia="es-419"/>
              </w:rPr>
              <w:t>5 913</w:t>
            </w:r>
          </w:p>
        </w:tc>
        <w:tc>
          <w:tcPr>
            <w:tcW w:w="1005" w:type="dxa"/>
            <w:tcBorders>
              <w:top w:val="nil"/>
              <w:left w:val="nil"/>
              <w:bottom w:val="single" w:sz="4" w:space="0" w:color="auto"/>
              <w:right w:val="single" w:sz="4" w:space="0" w:color="auto"/>
            </w:tcBorders>
            <w:shd w:val="clear" w:color="auto" w:fill="auto"/>
            <w:noWrap/>
            <w:hideMark/>
          </w:tcPr>
          <w:p w14:paraId="08C145DF" w14:textId="77777777" w:rsidR="006F0BB0" w:rsidRPr="006F0BB0" w:rsidRDefault="006F0BB0" w:rsidP="007D1DBA">
            <w:pPr>
              <w:jc w:val="right"/>
              <w:rPr>
                <w:sz w:val="18"/>
                <w:szCs w:val="18"/>
                <w:lang w:val="es-419" w:eastAsia="es-419"/>
              </w:rPr>
            </w:pPr>
            <w:r w:rsidRPr="006F0BB0">
              <w:rPr>
                <w:sz w:val="18"/>
                <w:szCs w:val="18"/>
                <w:lang w:val="es-419" w:eastAsia="es-419"/>
              </w:rPr>
              <w:t>7 054</w:t>
            </w:r>
          </w:p>
        </w:tc>
        <w:tc>
          <w:tcPr>
            <w:tcW w:w="1181" w:type="dxa"/>
            <w:tcBorders>
              <w:top w:val="nil"/>
              <w:left w:val="nil"/>
              <w:bottom w:val="single" w:sz="4" w:space="0" w:color="auto"/>
              <w:right w:val="single" w:sz="4" w:space="0" w:color="auto"/>
            </w:tcBorders>
            <w:shd w:val="clear" w:color="auto" w:fill="auto"/>
            <w:noWrap/>
            <w:hideMark/>
          </w:tcPr>
          <w:p w14:paraId="79A24450" w14:textId="77777777" w:rsidR="006F0BB0" w:rsidRPr="006F0BB0" w:rsidRDefault="006F0BB0" w:rsidP="007D1DBA">
            <w:pPr>
              <w:jc w:val="right"/>
              <w:rPr>
                <w:sz w:val="18"/>
                <w:szCs w:val="18"/>
                <w:lang w:val="es-419" w:eastAsia="es-419"/>
              </w:rPr>
            </w:pPr>
            <w:r w:rsidRPr="006F0BB0">
              <w:rPr>
                <w:sz w:val="18"/>
                <w:szCs w:val="18"/>
                <w:lang w:val="es-419" w:eastAsia="es-419"/>
              </w:rPr>
              <w:t>91,6%</w:t>
            </w:r>
          </w:p>
        </w:tc>
      </w:tr>
      <w:tr w:rsidR="006F0BB0" w:rsidRPr="006F0BB0" w14:paraId="370EAAD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F51CA0" w14:textId="77777777" w:rsidR="006F0BB0" w:rsidRPr="006F0BB0" w:rsidRDefault="006F0BB0" w:rsidP="007D1DBA">
            <w:pPr>
              <w:jc w:val="left"/>
              <w:rPr>
                <w:sz w:val="18"/>
                <w:szCs w:val="18"/>
                <w:lang w:val="es-419" w:eastAsia="es-419"/>
              </w:rPr>
            </w:pPr>
            <w:r w:rsidRPr="006F0BB0">
              <w:rPr>
                <w:sz w:val="18"/>
                <w:szCs w:val="18"/>
                <w:lang w:val="es-419" w:eastAsia="es-419"/>
              </w:rPr>
              <w:t>Ecuador</w:t>
            </w:r>
          </w:p>
        </w:tc>
        <w:tc>
          <w:tcPr>
            <w:tcW w:w="950" w:type="dxa"/>
            <w:tcBorders>
              <w:top w:val="nil"/>
              <w:left w:val="nil"/>
              <w:bottom w:val="single" w:sz="4" w:space="0" w:color="auto"/>
              <w:right w:val="single" w:sz="4" w:space="0" w:color="auto"/>
            </w:tcBorders>
            <w:shd w:val="clear" w:color="auto" w:fill="auto"/>
            <w:noWrap/>
            <w:hideMark/>
          </w:tcPr>
          <w:p w14:paraId="0057E96A" w14:textId="77777777" w:rsidR="006F0BB0" w:rsidRPr="006F0BB0" w:rsidRDefault="006F0BB0" w:rsidP="007D1DBA">
            <w:pPr>
              <w:jc w:val="right"/>
              <w:rPr>
                <w:sz w:val="18"/>
                <w:szCs w:val="18"/>
                <w:lang w:val="es-419" w:eastAsia="es-419"/>
              </w:rPr>
            </w:pPr>
            <w:r w:rsidRPr="006F0BB0">
              <w:rPr>
                <w:sz w:val="18"/>
                <w:szCs w:val="18"/>
                <w:lang w:val="es-419" w:eastAsia="es-419"/>
              </w:rPr>
              <w:t>2 370 319</w:t>
            </w:r>
          </w:p>
        </w:tc>
        <w:tc>
          <w:tcPr>
            <w:tcW w:w="950" w:type="dxa"/>
            <w:tcBorders>
              <w:top w:val="nil"/>
              <w:left w:val="nil"/>
              <w:bottom w:val="single" w:sz="4" w:space="0" w:color="auto"/>
              <w:right w:val="single" w:sz="4" w:space="0" w:color="auto"/>
            </w:tcBorders>
            <w:shd w:val="clear" w:color="auto" w:fill="auto"/>
            <w:noWrap/>
            <w:hideMark/>
          </w:tcPr>
          <w:p w14:paraId="47A23F54" w14:textId="77777777" w:rsidR="006F0BB0" w:rsidRPr="006F0BB0" w:rsidRDefault="006F0BB0" w:rsidP="007D1DBA">
            <w:pPr>
              <w:jc w:val="right"/>
              <w:rPr>
                <w:sz w:val="18"/>
                <w:szCs w:val="18"/>
                <w:lang w:val="es-419" w:eastAsia="es-419"/>
              </w:rPr>
            </w:pPr>
            <w:r w:rsidRPr="006F0BB0">
              <w:rPr>
                <w:sz w:val="18"/>
                <w:szCs w:val="18"/>
                <w:lang w:val="es-419" w:eastAsia="es-419"/>
              </w:rPr>
              <w:t>2 441 429</w:t>
            </w:r>
          </w:p>
        </w:tc>
        <w:tc>
          <w:tcPr>
            <w:tcW w:w="950" w:type="dxa"/>
            <w:tcBorders>
              <w:top w:val="nil"/>
              <w:left w:val="nil"/>
              <w:bottom w:val="single" w:sz="4" w:space="0" w:color="auto"/>
              <w:right w:val="single" w:sz="4" w:space="0" w:color="auto"/>
            </w:tcBorders>
            <w:shd w:val="clear" w:color="auto" w:fill="auto"/>
            <w:noWrap/>
            <w:hideMark/>
          </w:tcPr>
          <w:p w14:paraId="36645FB8" w14:textId="77777777" w:rsidR="006F0BB0" w:rsidRPr="006F0BB0" w:rsidRDefault="006F0BB0" w:rsidP="007D1DBA">
            <w:pPr>
              <w:jc w:val="right"/>
              <w:rPr>
                <w:sz w:val="18"/>
                <w:szCs w:val="18"/>
                <w:lang w:val="es-419" w:eastAsia="es-419"/>
              </w:rPr>
            </w:pPr>
            <w:r w:rsidRPr="006F0BB0">
              <w:rPr>
                <w:sz w:val="18"/>
                <w:szCs w:val="18"/>
                <w:lang w:val="es-419" w:eastAsia="es-419"/>
              </w:rPr>
              <w:t>2 514 671</w:t>
            </w:r>
          </w:p>
        </w:tc>
        <w:tc>
          <w:tcPr>
            <w:tcW w:w="950" w:type="dxa"/>
            <w:tcBorders>
              <w:top w:val="nil"/>
              <w:left w:val="nil"/>
              <w:bottom w:val="single" w:sz="4" w:space="0" w:color="auto"/>
              <w:right w:val="single" w:sz="4" w:space="0" w:color="auto"/>
            </w:tcBorders>
            <w:shd w:val="clear" w:color="auto" w:fill="auto"/>
            <w:noWrap/>
            <w:hideMark/>
          </w:tcPr>
          <w:p w14:paraId="43B8F4C7" w14:textId="77777777" w:rsidR="006F0BB0" w:rsidRPr="006F0BB0" w:rsidRDefault="006F0BB0" w:rsidP="007D1DBA">
            <w:pPr>
              <w:jc w:val="right"/>
              <w:rPr>
                <w:sz w:val="18"/>
                <w:szCs w:val="18"/>
                <w:lang w:val="es-419" w:eastAsia="es-419"/>
              </w:rPr>
            </w:pPr>
            <w:r w:rsidRPr="006F0BB0">
              <w:rPr>
                <w:sz w:val="18"/>
                <w:szCs w:val="18"/>
                <w:lang w:val="es-419" w:eastAsia="es-419"/>
              </w:rPr>
              <w:t>2 590 112</w:t>
            </w:r>
          </w:p>
        </w:tc>
        <w:tc>
          <w:tcPr>
            <w:tcW w:w="950" w:type="dxa"/>
            <w:tcBorders>
              <w:top w:val="nil"/>
              <w:left w:val="nil"/>
              <w:bottom w:val="single" w:sz="4" w:space="0" w:color="auto"/>
              <w:right w:val="single" w:sz="4" w:space="0" w:color="auto"/>
            </w:tcBorders>
            <w:shd w:val="clear" w:color="auto" w:fill="auto"/>
            <w:noWrap/>
            <w:hideMark/>
          </w:tcPr>
          <w:p w14:paraId="29935574" w14:textId="77777777" w:rsidR="006F0BB0" w:rsidRPr="006F0BB0" w:rsidRDefault="006F0BB0" w:rsidP="007D1DBA">
            <w:pPr>
              <w:jc w:val="right"/>
              <w:rPr>
                <w:sz w:val="18"/>
                <w:szCs w:val="18"/>
                <w:lang w:val="es-419" w:eastAsia="es-419"/>
              </w:rPr>
            </w:pPr>
            <w:r w:rsidRPr="006F0BB0">
              <w:rPr>
                <w:sz w:val="18"/>
                <w:szCs w:val="18"/>
                <w:lang w:val="es-419" w:eastAsia="es-419"/>
              </w:rPr>
              <w:t>2 667 815</w:t>
            </w:r>
          </w:p>
        </w:tc>
        <w:tc>
          <w:tcPr>
            <w:tcW w:w="950" w:type="dxa"/>
            <w:tcBorders>
              <w:top w:val="nil"/>
              <w:left w:val="nil"/>
              <w:bottom w:val="single" w:sz="4" w:space="0" w:color="auto"/>
              <w:right w:val="single" w:sz="4" w:space="0" w:color="auto"/>
            </w:tcBorders>
            <w:shd w:val="clear" w:color="auto" w:fill="auto"/>
            <w:noWrap/>
            <w:hideMark/>
          </w:tcPr>
          <w:p w14:paraId="144210D8" w14:textId="77777777" w:rsidR="006F0BB0" w:rsidRPr="006F0BB0" w:rsidRDefault="006F0BB0" w:rsidP="007D1DBA">
            <w:pPr>
              <w:jc w:val="right"/>
              <w:rPr>
                <w:sz w:val="18"/>
                <w:szCs w:val="18"/>
                <w:lang w:val="es-419" w:eastAsia="es-419"/>
              </w:rPr>
            </w:pPr>
            <w:r w:rsidRPr="006F0BB0">
              <w:rPr>
                <w:sz w:val="18"/>
                <w:szCs w:val="18"/>
                <w:lang w:val="es-419" w:eastAsia="es-419"/>
              </w:rPr>
              <w:t>2 747 849</w:t>
            </w:r>
          </w:p>
        </w:tc>
        <w:tc>
          <w:tcPr>
            <w:tcW w:w="950" w:type="dxa"/>
            <w:tcBorders>
              <w:top w:val="nil"/>
              <w:left w:val="nil"/>
              <w:bottom w:val="single" w:sz="4" w:space="0" w:color="auto"/>
              <w:right w:val="single" w:sz="4" w:space="0" w:color="auto"/>
            </w:tcBorders>
            <w:shd w:val="clear" w:color="auto" w:fill="auto"/>
            <w:noWrap/>
            <w:hideMark/>
          </w:tcPr>
          <w:p w14:paraId="458CEFCE" w14:textId="77777777" w:rsidR="006F0BB0" w:rsidRPr="006F0BB0" w:rsidRDefault="006F0BB0" w:rsidP="007D1DBA">
            <w:pPr>
              <w:jc w:val="right"/>
              <w:rPr>
                <w:sz w:val="18"/>
                <w:szCs w:val="18"/>
                <w:lang w:val="es-419" w:eastAsia="es-419"/>
              </w:rPr>
            </w:pPr>
            <w:r w:rsidRPr="006F0BB0">
              <w:rPr>
                <w:sz w:val="18"/>
                <w:szCs w:val="18"/>
                <w:lang w:val="es-419" w:eastAsia="es-419"/>
              </w:rPr>
              <w:t>2 515 404</w:t>
            </w:r>
          </w:p>
        </w:tc>
        <w:tc>
          <w:tcPr>
            <w:tcW w:w="1005" w:type="dxa"/>
            <w:tcBorders>
              <w:top w:val="nil"/>
              <w:left w:val="nil"/>
              <w:bottom w:val="single" w:sz="4" w:space="0" w:color="auto"/>
              <w:right w:val="single" w:sz="4" w:space="0" w:color="auto"/>
            </w:tcBorders>
            <w:shd w:val="clear" w:color="auto" w:fill="auto"/>
            <w:noWrap/>
            <w:hideMark/>
          </w:tcPr>
          <w:p w14:paraId="4AD89AA9" w14:textId="77777777" w:rsidR="006F0BB0" w:rsidRPr="006F0BB0" w:rsidRDefault="006F0BB0" w:rsidP="007D1DBA">
            <w:pPr>
              <w:jc w:val="right"/>
              <w:rPr>
                <w:sz w:val="18"/>
                <w:szCs w:val="18"/>
                <w:lang w:val="es-419" w:eastAsia="es-419"/>
              </w:rPr>
            </w:pPr>
            <w:r w:rsidRPr="006F0BB0">
              <w:rPr>
                <w:sz w:val="18"/>
                <w:szCs w:val="18"/>
                <w:lang w:val="es-419" w:eastAsia="es-419"/>
              </w:rPr>
              <w:t>2 996 542</w:t>
            </w:r>
          </w:p>
        </w:tc>
        <w:tc>
          <w:tcPr>
            <w:tcW w:w="1181" w:type="dxa"/>
            <w:tcBorders>
              <w:top w:val="nil"/>
              <w:left w:val="nil"/>
              <w:bottom w:val="single" w:sz="4" w:space="0" w:color="auto"/>
              <w:right w:val="single" w:sz="4" w:space="0" w:color="auto"/>
            </w:tcBorders>
            <w:shd w:val="clear" w:color="auto" w:fill="auto"/>
            <w:noWrap/>
            <w:hideMark/>
          </w:tcPr>
          <w:p w14:paraId="72B223A7" w14:textId="77777777" w:rsidR="006F0BB0" w:rsidRPr="006F0BB0" w:rsidRDefault="006F0BB0" w:rsidP="007D1DBA">
            <w:pPr>
              <w:jc w:val="right"/>
              <w:rPr>
                <w:sz w:val="18"/>
                <w:szCs w:val="18"/>
                <w:lang w:val="es-419" w:eastAsia="es-419"/>
              </w:rPr>
            </w:pPr>
            <w:r w:rsidRPr="006F0BB0">
              <w:rPr>
                <w:sz w:val="18"/>
                <w:szCs w:val="18"/>
                <w:lang w:val="es-419" w:eastAsia="es-419"/>
              </w:rPr>
              <w:t>91,7%</w:t>
            </w:r>
          </w:p>
        </w:tc>
      </w:tr>
      <w:tr w:rsidR="006F0BB0" w:rsidRPr="006F0BB0" w14:paraId="03410C0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BCC69B" w14:textId="77777777" w:rsidR="006F0BB0" w:rsidRPr="006F0BB0" w:rsidRDefault="006F0BB0" w:rsidP="007D1DBA">
            <w:pPr>
              <w:jc w:val="left"/>
              <w:rPr>
                <w:sz w:val="18"/>
                <w:szCs w:val="18"/>
                <w:lang w:val="es-419" w:eastAsia="es-419"/>
              </w:rPr>
            </w:pPr>
            <w:r w:rsidRPr="006F0BB0">
              <w:rPr>
                <w:sz w:val="18"/>
                <w:szCs w:val="18"/>
                <w:lang w:val="es-419" w:eastAsia="es-419"/>
              </w:rPr>
              <w:t>Níger</w:t>
            </w:r>
          </w:p>
        </w:tc>
        <w:tc>
          <w:tcPr>
            <w:tcW w:w="950" w:type="dxa"/>
            <w:tcBorders>
              <w:top w:val="nil"/>
              <w:left w:val="nil"/>
              <w:bottom w:val="single" w:sz="4" w:space="0" w:color="auto"/>
              <w:right w:val="single" w:sz="4" w:space="0" w:color="auto"/>
            </w:tcBorders>
            <w:shd w:val="clear" w:color="auto" w:fill="auto"/>
            <w:noWrap/>
            <w:hideMark/>
          </w:tcPr>
          <w:p w14:paraId="0D1C139C" w14:textId="77777777" w:rsidR="006F0BB0" w:rsidRPr="006F0BB0" w:rsidRDefault="006F0BB0" w:rsidP="007D1DBA">
            <w:pPr>
              <w:jc w:val="right"/>
              <w:rPr>
                <w:sz w:val="18"/>
                <w:szCs w:val="18"/>
                <w:lang w:val="es-419" w:eastAsia="es-419"/>
              </w:rPr>
            </w:pPr>
            <w:r w:rsidRPr="006F0BB0">
              <w:rPr>
                <w:sz w:val="18"/>
                <w:szCs w:val="18"/>
                <w:lang w:val="es-419" w:eastAsia="es-419"/>
              </w:rPr>
              <w:t>1 730 118</w:t>
            </w:r>
          </w:p>
        </w:tc>
        <w:tc>
          <w:tcPr>
            <w:tcW w:w="950" w:type="dxa"/>
            <w:tcBorders>
              <w:top w:val="nil"/>
              <w:left w:val="nil"/>
              <w:bottom w:val="single" w:sz="4" w:space="0" w:color="auto"/>
              <w:right w:val="single" w:sz="4" w:space="0" w:color="auto"/>
            </w:tcBorders>
            <w:shd w:val="clear" w:color="auto" w:fill="auto"/>
            <w:noWrap/>
            <w:hideMark/>
          </w:tcPr>
          <w:p w14:paraId="0928FF59" w14:textId="77777777" w:rsidR="006F0BB0" w:rsidRPr="006F0BB0" w:rsidRDefault="006F0BB0" w:rsidP="007D1DBA">
            <w:pPr>
              <w:jc w:val="right"/>
              <w:rPr>
                <w:sz w:val="18"/>
                <w:szCs w:val="18"/>
                <w:lang w:val="es-419" w:eastAsia="es-419"/>
              </w:rPr>
            </w:pPr>
            <w:r w:rsidRPr="006F0BB0">
              <w:rPr>
                <w:sz w:val="18"/>
                <w:szCs w:val="18"/>
                <w:lang w:val="es-419" w:eastAsia="es-419"/>
              </w:rPr>
              <w:t>1 782 022</w:t>
            </w:r>
          </w:p>
        </w:tc>
        <w:tc>
          <w:tcPr>
            <w:tcW w:w="950" w:type="dxa"/>
            <w:tcBorders>
              <w:top w:val="nil"/>
              <w:left w:val="nil"/>
              <w:bottom w:val="single" w:sz="4" w:space="0" w:color="auto"/>
              <w:right w:val="single" w:sz="4" w:space="0" w:color="auto"/>
            </w:tcBorders>
            <w:shd w:val="clear" w:color="auto" w:fill="auto"/>
            <w:noWrap/>
            <w:hideMark/>
          </w:tcPr>
          <w:p w14:paraId="04D8AB3D" w14:textId="77777777" w:rsidR="006F0BB0" w:rsidRPr="006F0BB0" w:rsidRDefault="006F0BB0" w:rsidP="007D1DBA">
            <w:pPr>
              <w:jc w:val="right"/>
              <w:rPr>
                <w:sz w:val="18"/>
                <w:szCs w:val="18"/>
                <w:lang w:val="es-419" w:eastAsia="es-419"/>
              </w:rPr>
            </w:pPr>
            <w:r w:rsidRPr="006F0BB0">
              <w:rPr>
                <w:sz w:val="18"/>
                <w:szCs w:val="18"/>
                <w:lang w:val="es-419" w:eastAsia="es-419"/>
              </w:rPr>
              <w:t>1 835 482</w:t>
            </w:r>
          </w:p>
        </w:tc>
        <w:tc>
          <w:tcPr>
            <w:tcW w:w="950" w:type="dxa"/>
            <w:tcBorders>
              <w:top w:val="nil"/>
              <w:left w:val="nil"/>
              <w:bottom w:val="single" w:sz="4" w:space="0" w:color="auto"/>
              <w:right w:val="single" w:sz="4" w:space="0" w:color="auto"/>
            </w:tcBorders>
            <w:shd w:val="clear" w:color="auto" w:fill="auto"/>
            <w:noWrap/>
            <w:hideMark/>
          </w:tcPr>
          <w:p w14:paraId="072DF597" w14:textId="77777777" w:rsidR="006F0BB0" w:rsidRPr="006F0BB0" w:rsidRDefault="006F0BB0" w:rsidP="007D1DBA">
            <w:pPr>
              <w:jc w:val="right"/>
              <w:rPr>
                <w:sz w:val="18"/>
                <w:szCs w:val="18"/>
                <w:lang w:val="es-419" w:eastAsia="es-419"/>
              </w:rPr>
            </w:pPr>
            <w:r w:rsidRPr="006F0BB0">
              <w:rPr>
                <w:sz w:val="18"/>
                <w:szCs w:val="18"/>
                <w:lang w:val="es-419" w:eastAsia="es-419"/>
              </w:rPr>
              <w:t>1 890 547</w:t>
            </w:r>
          </w:p>
        </w:tc>
        <w:tc>
          <w:tcPr>
            <w:tcW w:w="950" w:type="dxa"/>
            <w:tcBorders>
              <w:top w:val="nil"/>
              <w:left w:val="nil"/>
              <w:bottom w:val="single" w:sz="4" w:space="0" w:color="auto"/>
              <w:right w:val="single" w:sz="4" w:space="0" w:color="auto"/>
            </w:tcBorders>
            <w:shd w:val="clear" w:color="auto" w:fill="auto"/>
            <w:noWrap/>
            <w:hideMark/>
          </w:tcPr>
          <w:p w14:paraId="09335EB3" w14:textId="77777777" w:rsidR="006F0BB0" w:rsidRPr="006F0BB0" w:rsidRDefault="006F0BB0" w:rsidP="007D1DBA">
            <w:pPr>
              <w:jc w:val="right"/>
              <w:rPr>
                <w:sz w:val="18"/>
                <w:szCs w:val="18"/>
                <w:lang w:val="es-419" w:eastAsia="es-419"/>
              </w:rPr>
            </w:pPr>
            <w:r w:rsidRPr="006F0BB0">
              <w:rPr>
                <w:sz w:val="18"/>
                <w:szCs w:val="18"/>
                <w:lang w:val="es-419" w:eastAsia="es-419"/>
              </w:rPr>
              <w:t>1 947 263</w:t>
            </w:r>
          </w:p>
        </w:tc>
        <w:tc>
          <w:tcPr>
            <w:tcW w:w="950" w:type="dxa"/>
            <w:tcBorders>
              <w:top w:val="nil"/>
              <w:left w:val="nil"/>
              <w:bottom w:val="single" w:sz="4" w:space="0" w:color="auto"/>
              <w:right w:val="single" w:sz="4" w:space="0" w:color="auto"/>
            </w:tcBorders>
            <w:shd w:val="clear" w:color="auto" w:fill="auto"/>
            <w:noWrap/>
            <w:hideMark/>
          </w:tcPr>
          <w:p w14:paraId="12C4BF63" w14:textId="77777777" w:rsidR="006F0BB0" w:rsidRPr="006F0BB0" w:rsidRDefault="006F0BB0" w:rsidP="007D1DBA">
            <w:pPr>
              <w:jc w:val="right"/>
              <w:rPr>
                <w:sz w:val="18"/>
                <w:szCs w:val="18"/>
                <w:lang w:val="es-419" w:eastAsia="es-419"/>
              </w:rPr>
            </w:pPr>
            <w:r w:rsidRPr="006F0BB0">
              <w:rPr>
                <w:sz w:val="18"/>
                <w:szCs w:val="18"/>
                <w:lang w:val="es-419" w:eastAsia="es-419"/>
              </w:rPr>
              <w:t>2 005 681</w:t>
            </w:r>
          </w:p>
        </w:tc>
        <w:tc>
          <w:tcPr>
            <w:tcW w:w="950" w:type="dxa"/>
            <w:tcBorders>
              <w:top w:val="nil"/>
              <w:left w:val="nil"/>
              <w:bottom w:val="single" w:sz="4" w:space="0" w:color="auto"/>
              <w:right w:val="single" w:sz="4" w:space="0" w:color="auto"/>
            </w:tcBorders>
            <w:shd w:val="clear" w:color="auto" w:fill="auto"/>
            <w:noWrap/>
            <w:hideMark/>
          </w:tcPr>
          <w:p w14:paraId="20EF01F2" w14:textId="77777777" w:rsidR="006F0BB0" w:rsidRPr="006F0BB0" w:rsidRDefault="006F0BB0" w:rsidP="007D1DBA">
            <w:pPr>
              <w:jc w:val="right"/>
              <w:rPr>
                <w:sz w:val="18"/>
                <w:szCs w:val="18"/>
                <w:lang w:val="es-419" w:eastAsia="es-419"/>
              </w:rPr>
            </w:pPr>
            <w:r w:rsidRPr="006F0BB0">
              <w:rPr>
                <w:sz w:val="18"/>
                <w:szCs w:val="18"/>
                <w:lang w:val="es-419" w:eastAsia="es-419"/>
              </w:rPr>
              <w:t>1 836 017</w:t>
            </w:r>
          </w:p>
        </w:tc>
        <w:tc>
          <w:tcPr>
            <w:tcW w:w="1005" w:type="dxa"/>
            <w:tcBorders>
              <w:top w:val="nil"/>
              <w:left w:val="nil"/>
              <w:bottom w:val="single" w:sz="4" w:space="0" w:color="auto"/>
              <w:right w:val="single" w:sz="4" w:space="0" w:color="auto"/>
            </w:tcBorders>
            <w:shd w:val="clear" w:color="auto" w:fill="auto"/>
            <w:noWrap/>
            <w:hideMark/>
          </w:tcPr>
          <w:p w14:paraId="0C2A779C" w14:textId="77777777" w:rsidR="006F0BB0" w:rsidRPr="006F0BB0" w:rsidRDefault="006F0BB0" w:rsidP="007D1DBA">
            <w:pPr>
              <w:jc w:val="right"/>
              <w:rPr>
                <w:sz w:val="18"/>
                <w:szCs w:val="18"/>
                <w:lang w:val="es-419" w:eastAsia="es-419"/>
              </w:rPr>
            </w:pPr>
            <w:r w:rsidRPr="006F0BB0">
              <w:rPr>
                <w:sz w:val="18"/>
                <w:szCs w:val="18"/>
                <w:lang w:val="es-419" w:eastAsia="es-419"/>
              </w:rPr>
              <w:t>2 177 655</w:t>
            </w:r>
          </w:p>
        </w:tc>
        <w:tc>
          <w:tcPr>
            <w:tcW w:w="1181" w:type="dxa"/>
            <w:tcBorders>
              <w:top w:val="nil"/>
              <w:left w:val="nil"/>
              <w:bottom w:val="single" w:sz="4" w:space="0" w:color="auto"/>
              <w:right w:val="single" w:sz="4" w:space="0" w:color="auto"/>
            </w:tcBorders>
            <w:shd w:val="clear" w:color="auto" w:fill="auto"/>
            <w:noWrap/>
            <w:hideMark/>
          </w:tcPr>
          <w:p w14:paraId="543B5537" w14:textId="77777777" w:rsidR="006F0BB0" w:rsidRPr="006F0BB0" w:rsidRDefault="006F0BB0" w:rsidP="007D1DBA">
            <w:pPr>
              <w:jc w:val="right"/>
              <w:rPr>
                <w:sz w:val="18"/>
                <w:szCs w:val="18"/>
                <w:lang w:val="es-419" w:eastAsia="es-419"/>
              </w:rPr>
            </w:pPr>
            <w:r w:rsidRPr="006F0BB0">
              <w:rPr>
                <w:sz w:val="18"/>
                <w:szCs w:val="18"/>
                <w:lang w:val="es-419" w:eastAsia="es-419"/>
              </w:rPr>
              <w:t>92,1%</w:t>
            </w:r>
          </w:p>
        </w:tc>
      </w:tr>
      <w:tr w:rsidR="006F0BB0" w:rsidRPr="006F0BB0" w14:paraId="0112751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7640DA" w14:textId="77777777" w:rsidR="006F0BB0" w:rsidRPr="006F0BB0" w:rsidRDefault="006F0BB0" w:rsidP="007D1DBA">
            <w:pPr>
              <w:jc w:val="left"/>
              <w:rPr>
                <w:sz w:val="18"/>
                <w:szCs w:val="18"/>
                <w:lang w:val="es-ES" w:eastAsia="es-419"/>
              </w:rPr>
            </w:pPr>
            <w:r w:rsidRPr="006F0BB0">
              <w:rPr>
                <w:sz w:val="18"/>
                <w:szCs w:val="18"/>
                <w:lang w:val="es-ES" w:eastAsia="es-419"/>
              </w:rPr>
              <w:t>San Vicente y las Granadinas</w:t>
            </w:r>
          </w:p>
        </w:tc>
        <w:tc>
          <w:tcPr>
            <w:tcW w:w="950" w:type="dxa"/>
            <w:tcBorders>
              <w:top w:val="nil"/>
              <w:left w:val="nil"/>
              <w:bottom w:val="single" w:sz="4" w:space="0" w:color="auto"/>
              <w:right w:val="single" w:sz="4" w:space="0" w:color="auto"/>
            </w:tcBorders>
            <w:shd w:val="clear" w:color="auto" w:fill="auto"/>
            <w:noWrap/>
            <w:hideMark/>
          </w:tcPr>
          <w:p w14:paraId="60A2D7C4" w14:textId="77777777" w:rsidR="006F0BB0" w:rsidRPr="006F0BB0" w:rsidRDefault="006F0BB0" w:rsidP="007D1DBA">
            <w:pPr>
              <w:jc w:val="right"/>
              <w:rPr>
                <w:sz w:val="18"/>
                <w:szCs w:val="18"/>
                <w:lang w:val="es-419" w:eastAsia="es-419"/>
              </w:rPr>
            </w:pPr>
            <w:r w:rsidRPr="006F0BB0">
              <w:rPr>
                <w:sz w:val="18"/>
                <w:szCs w:val="18"/>
                <w:lang w:val="es-419" w:eastAsia="es-419"/>
              </w:rPr>
              <w:t>30 664</w:t>
            </w:r>
          </w:p>
        </w:tc>
        <w:tc>
          <w:tcPr>
            <w:tcW w:w="950" w:type="dxa"/>
            <w:tcBorders>
              <w:top w:val="nil"/>
              <w:left w:val="nil"/>
              <w:bottom w:val="single" w:sz="4" w:space="0" w:color="auto"/>
              <w:right w:val="single" w:sz="4" w:space="0" w:color="auto"/>
            </w:tcBorders>
            <w:shd w:val="clear" w:color="auto" w:fill="auto"/>
            <w:noWrap/>
            <w:hideMark/>
          </w:tcPr>
          <w:p w14:paraId="623C729C" w14:textId="77777777" w:rsidR="006F0BB0" w:rsidRPr="006F0BB0" w:rsidRDefault="006F0BB0" w:rsidP="007D1DBA">
            <w:pPr>
              <w:jc w:val="right"/>
              <w:rPr>
                <w:sz w:val="18"/>
                <w:szCs w:val="18"/>
                <w:lang w:val="es-419" w:eastAsia="es-419"/>
              </w:rPr>
            </w:pPr>
            <w:r w:rsidRPr="006F0BB0">
              <w:rPr>
                <w:sz w:val="18"/>
                <w:szCs w:val="18"/>
                <w:lang w:val="es-419" w:eastAsia="es-419"/>
              </w:rPr>
              <w:t>31 584</w:t>
            </w:r>
          </w:p>
        </w:tc>
        <w:tc>
          <w:tcPr>
            <w:tcW w:w="950" w:type="dxa"/>
            <w:tcBorders>
              <w:top w:val="nil"/>
              <w:left w:val="nil"/>
              <w:bottom w:val="single" w:sz="4" w:space="0" w:color="auto"/>
              <w:right w:val="single" w:sz="4" w:space="0" w:color="auto"/>
            </w:tcBorders>
            <w:shd w:val="clear" w:color="auto" w:fill="auto"/>
            <w:noWrap/>
            <w:hideMark/>
          </w:tcPr>
          <w:p w14:paraId="4405C6E7" w14:textId="77777777" w:rsidR="006F0BB0" w:rsidRPr="006F0BB0" w:rsidRDefault="006F0BB0" w:rsidP="007D1DBA">
            <w:pPr>
              <w:jc w:val="right"/>
              <w:rPr>
                <w:sz w:val="18"/>
                <w:szCs w:val="18"/>
                <w:lang w:val="es-419" w:eastAsia="es-419"/>
              </w:rPr>
            </w:pPr>
            <w:r w:rsidRPr="006F0BB0">
              <w:rPr>
                <w:sz w:val="18"/>
                <w:szCs w:val="18"/>
                <w:lang w:val="es-419" w:eastAsia="es-419"/>
              </w:rPr>
              <w:t>32 531</w:t>
            </w:r>
          </w:p>
        </w:tc>
        <w:tc>
          <w:tcPr>
            <w:tcW w:w="950" w:type="dxa"/>
            <w:tcBorders>
              <w:top w:val="nil"/>
              <w:left w:val="nil"/>
              <w:bottom w:val="single" w:sz="4" w:space="0" w:color="auto"/>
              <w:right w:val="single" w:sz="4" w:space="0" w:color="auto"/>
            </w:tcBorders>
            <w:shd w:val="clear" w:color="auto" w:fill="auto"/>
            <w:noWrap/>
            <w:hideMark/>
          </w:tcPr>
          <w:p w14:paraId="2CAC6BE7" w14:textId="77777777" w:rsidR="006F0BB0" w:rsidRPr="006F0BB0" w:rsidRDefault="006F0BB0" w:rsidP="007D1DBA">
            <w:pPr>
              <w:jc w:val="right"/>
              <w:rPr>
                <w:sz w:val="18"/>
                <w:szCs w:val="18"/>
                <w:lang w:val="es-419" w:eastAsia="es-419"/>
              </w:rPr>
            </w:pPr>
            <w:r w:rsidRPr="006F0BB0">
              <w:rPr>
                <w:sz w:val="18"/>
                <w:szCs w:val="18"/>
                <w:lang w:val="es-419" w:eastAsia="es-419"/>
              </w:rPr>
              <w:t>33 507</w:t>
            </w:r>
          </w:p>
        </w:tc>
        <w:tc>
          <w:tcPr>
            <w:tcW w:w="950" w:type="dxa"/>
            <w:tcBorders>
              <w:top w:val="nil"/>
              <w:left w:val="nil"/>
              <w:bottom w:val="single" w:sz="4" w:space="0" w:color="auto"/>
              <w:right w:val="single" w:sz="4" w:space="0" w:color="auto"/>
            </w:tcBorders>
            <w:shd w:val="clear" w:color="auto" w:fill="auto"/>
            <w:noWrap/>
            <w:hideMark/>
          </w:tcPr>
          <w:p w14:paraId="6DB44A8B" w14:textId="77777777" w:rsidR="006F0BB0" w:rsidRPr="006F0BB0" w:rsidRDefault="006F0BB0" w:rsidP="007D1DBA">
            <w:pPr>
              <w:jc w:val="right"/>
              <w:rPr>
                <w:sz w:val="18"/>
                <w:szCs w:val="18"/>
                <w:lang w:val="es-419" w:eastAsia="es-419"/>
              </w:rPr>
            </w:pPr>
            <w:r w:rsidRPr="006F0BB0">
              <w:rPr>
                <w:sz w:val="18"/>
                <w:szCs w:val="18"/>
                <w:lang w:val="es-419" w:eastAsia="es-419"/>
              </w:rPr>
              <w:t>34 513</w:t>
            </w:r>
          </w:p>
        </w:tc>
        <w:tc>
          <w:tcPr>
            <w:tcW w:w="950" w:type="dxa"/>
            <w:tcBorders>
              <w:top w:val="nil"/>
              <w:left w:val="nil"/>
              <w:bottom w:val="single" w:sz="4" w:space="0" w:color="auto"/>
              <w:right w:val="single" w:sz="4" w:space="0" w:color="auto"/>
            </w:tcBorders>
            <w:shd w:val="clear" w:color="auto" w:fill="auto"/>
            <w:noWrap/>
            <w:hideMark/>
          </w:tcPr>
          <w:p w14:paraId="389C973B" w14:textId="77777777" w:rsidR="006F0BB0" w:rsidRPr="006F0BB0" w:rsidRDefault="006F0BB0" w:rsidP="007D1DBA">
            <w:pPr>
              <w:jc w:val="right"/>
              <w:rPr>
                <w:sz w:val="18"/>
                <w:szCs w:val="18"/>
                <w:lang w:val="es-419" w:eastAsia="es-419"/>
              </w:rPr>
            </w:pPr>
            <w:r w:rsidRPr="006F0BB0">
              <w:rPr>
                <w:sz w:val="18"/>
                <w:szCs w:val="18"/>
                <w:lang w:val="es-419" w:eastAsia="es-419"/>
              </w:rPr>
              <w:t>35 548</w:t>
            </w:r>
          </w:p>
        </w:tc>
        <w:tc>
          <w:tcPr>
            <w:tcW w:w="950" w:type="dxa"/>
            <w:tcBorders>
              <w:top w:val="nil"/>
              <w:left w:val="nil"/>
              <w:bottom w:val="single" w:sz="4" w:space="0" w:color="auto"/>
              <w:right w:val="single" w:sz="4" w:space="0" w:color="auto"/>
            </w:tcBorders>
            <w:shd w:val="clear" w:color="auto" w:fill="auto"/>
            <w:noWrap/>
            <w:hideMark/>
          </w:tcPr>
          <w:p w14:paraId="6A627917" w14:textId="77777777" w:rsidR="006F0BB0" w:rsidRPr="006F0BB0" w:rsidRDefault="006F0BB0" w:rsidP="007D1DBA">
            <w:pPr>
              <w:jc w:val="right"/>
              <w:rPr>
                <w:sz w:val="18"/>
                <w:szCs w:val="18"/>
                <w:lang w:val="es-419" w:eastAsia="es-419"/>
              </w:rPr>
            </w:pPr>
            <w:r w:rsidRPr="006F0BB0">
              <w:rPr>
                <w:sz w:val="18"/>
                <w:szCs w:val="18"/>
                <w:lang w:val="es-419" w:eastAsia="es-419"/>
              </w:rPr>
              <w:t>32 541</w:t>
            </w:r>
          </w:p>
        </w:tc>
        <w:tc>
          <w:tcPr>
            <w:tcW w:w="1005" w:type="dxa"/>
            <w:tcBorders>
              <w:top w:val="nil"/>
              <w:left w:val="nil"/>
              <w:bottom w:val="single" w:sz="4" w:space="0" w:color="auto"/>
              <w:right w:val="single" w:sz="4" w:space="0" w:color="auto"/>
            </w:tcBorders>
            <w:shd w:val="clear" w:color="auto" w:fill="auto"/>
            <w:noWrap/>
            <w:hideMark/>
          </w:tcPr>
          <w:p w14:paraId="5ECC4C35" w14:textId="77777777" w:rsidR="006F0BB0" w:rsidRPr="006F0BB0" w:rsidRDefault="006F0BB0" w:rsidP="007D1DBA">
            <w:pPr>
              <w:jc w:val="right"/>
              <w:rPr>
                <w:sz w:val="18"/>
                <w:szCs w:val="18"/>
                <w:lang w:val="es-419" w:eastAsia="es-419"/>
              </w:rPr>
            </w:pPr>
            <w:r w:rsidRPr="006F0BB0">
              <w:rPr>
                <w:sz w:val="18"/>
                <w:szCs w:val="18"/>
                <w:lang w:val="es-419" w:eastAsia="es-419"/>
              </w:rPr>
              <w:t>38 577</w:t>
            </w:r>
          </w:p>
        </w:tc>
        <w:tc>
          <w:tcPr>
            <w:tcW w:w="1181" w:type="dxa"/>
            <w:tcBorders>
              <w:top w:val="nil"/>
              <w:left w:val="nil"/>
              <w:bottom w:val="single" w:sz="4" w:space="0" w:color="auto"/>
              <w:right w:val="single" w:sz="4" w:space="0" w:color="auto"/>
            </w:tcBorders>
            <w:shd w:val="clear" w:color="auto" w:fill="auto"/>
            <w:noWrap/>
            <w:hideMark/>
          </w:tcPr>
          <w:p w14:paraId="5E9479D3" w14:textId="77777777" w:rsidR="006F0BB0" w:rsidRPr="006F0BB0" w:rsidRDefault="006F0BB0" w:rsidP="007D1DBA">
            <w:pPr>
              <w:jc w:val="right"/>
              <w:rPr>
                <w:sz w:val="18"/>
                <w:szCs w:val="18"/>
                <w:lang w:val="es-419" w:eastAsia="es-419"/>
              </w:rPr>
            </w:pPr>
            <w:r w:rsidRPr="006F0BB0">
              <w:rPr>
                <w:sz w:val="18"/>
                <w:szCs w:val="18"/>
                <w:lang w:val="es-419" w:eastAsia="es-419"/>
              </w:rPr>
              <w:t>92,1%</w:t>
            </w:r>
          </w:p>
        </w:tc>
      </w:tr>
      <w:tr w:rsidR="006F0BB0" w:rsidRPr="006F0BB0" w14:paraId="7D182684"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C219F62" w14:textId="77777777" w:rsidR="006F0BB0" w:rsidRPr="006F0BB0" w:rsidRDefault="006F0BB0" w:rsidP="007D1DBA">
            <w:pPr>
              <w:jc w:val="left"/>
              <w:rPr>
                <w:sz w:val="18"/>
                <w:szCs w:val="18"/>
                <w:lang w:val="es-419" w:eastAsia="es-419"/>
              </w:rPr>
            </w:pPr>
            <w:r w:rsidRPr="006F0BB0">
              <w:rPr>
                <w:sz w:val="18"/>
                <w:szCs w:val="18"/>
                <w:lang w:val="es-419" w:eastAsia="es-419"/>
              </w:rPr>
              <w:t>Uganda</w:t>
            </w:r>
          </w:p>
        </w:tc>
        <w:tc>
          <w:tcPr>
            <w:tcW w:w="950" w:type="dxa"/>
            <w:tcBorders>
              <w:top w:val="nil"/>
              <w:left w:val="nil"/>
              <w:bottom w:val="single" w:sz="4" w:space="0" w:color="auto"/>
              <w:right w:val="single" w:sz="4" w:space="0" w:color="auto"/>
            </w:tcBorders>
            <w:shd w:val="clear" w:color="auto" w:fill="auto"/>
            <w:noWrap/>
            <w:hideMark/>
          </w:tcPr>
          <w:p w14:paraId="70EC51C2" w14:textId="77777777" w:rsidR="006F0BB0" w:rsidRPr="006F0BB0" w:rsidRDefault="006F0BB0" w:rsidP="007D1DBA">
            <w:pPr>
              <w:jc w:val="right"/>
              <w:rPr>
                <w:sz w:val="18"/>
                <w:szCs w:val="18"/>
                <w:lang w:val="es-419" w:eastAsia="es-419"/>
              </w:rPr>
            </w:pPr>
            <w:r w:rsidRPr="006F0BB0">
              <w:rPr>
                <w:sz w:val="18"/>
                <w:szCs w:val="18"/>
                <w:lang w:val="es-419" w:eastAsia="es-419"/>
              </w:rPr>
              <w:t>21 480</w:t>
            </w:r>
          </w:p>
        </w:tc>
        <w:tc>
          <w:tcPr>
            <w:tcW w:w="950" w:type="dxa"/>
            <w:tcBorders>
              <w:top w:val="nil"/>
              <w:left w:val="nil"/>
              <w:bottom w:val="single" w:sz="4" w:space="0" w:color="auto"/>
              <w:right w:val="single" w:sz="4" w:space="0" w:color="auto"/>
            </w:tcBorders>
            <w:shd w:val="clear" w:color="auto" w:fill="auto"/>
            <w:noWrap/>
            <w:hideMark/>
          </w:tcPr>
          <w:p w14:paraId="35097F01" w14:textId="77777777" w:rsidR="006F0BB0" w:rsidRPr="006F0BB0" w:rsidRDefault="006F0BB0" w:rsidP="007D1DBA">
            <w:pPr>
              <w:jc w:val="right"/>
              <w:rPr>
                <w:sz w:val="18"/>
                <w:szCs w:val="18"/>
                <w:lang w:val="es-419" w:eastAsia="es-419"/>
              </w:rPr>
            </w:pPr>
            <w:r w:rsidRPr="006F0BB0">
              <w:rPr>
                <w:sz w:val="18"/>
                <w:szCs w:val="18"/>
                <w:lang w:val="es-419" w:eastAsia="es-419"/>
              </w:rPr>
              <w:t>22 124</w:t>
            </w:r>
          </w:p>
        </w:tc>
        <w:tc>
          <w:tcPr>
            <w:tcW w:w="950" w:type="dxa"/>
            <w:tcBorders>
              <w:top w:val="nil"/>
              <w:left w:val="nil"/>
              <w:bottom w:val="single" w:sz="4" w:space="0" w:color="auto"/>
              <w:right w:val="single" w:sz="4" w:space="0" w:color="auto"/>
            </w:tcBorders>
            <w:shd w:val="clear" w:color="auto" w:fill="auto"/>
            <w:noWrap/>
            <w:hideMark/>
          </w:tcPr>
          <w:p w14:paraId="485A2932" w14:textId="77777777" w:rsidR="006F0BB0" w:rsidRPr="006F0BB0" w:rsidRDefault="006F0BB0" w:rsidP="007D1DBA">
            <w:pPr>
              <w:jc w:val="right"/>
              <w:rPr>
                <w:sz w:val="18"/>
                <w:szCs w:val="18"/>
                <w:lang w:val="es-419" w:eastAsia="es-419"/>
              </w:rPr>
            </w:pPr>
            <w:r w:rsidRPr="006F0BB0">
              <w:rPr>
                <w:sz w:val="18"/>
                <w:szCs w:val="18"/>
                <w:lang w:val="es-419" w:eastAsia="es-419"/>
              </w:rPr>
              <w:t>22 788</w:t>
            </w:r>
          </w:p>
        </w:tc>
        <w:tc>
          <w:tcPr>
            <w:tcW w:w="950" w:type="dxa"/>
            <w:tcBorders>
              <w:top w:val="nil"/>
              <w:left w:val="nil"/>
              <w:bottom w:val="single" w:sz="4" w:space="0" w:color="auto"/>
              <w:right w:val="single" w:sz="4" w:space="0" w:color="auto"/>
            </w:tcBorders>
            <w:shd w:val="clear" w:color="auto" w:fill="auto"/>
            <w:noWrap/>
            <w:hideMark/>
          </w:tcPr>
          <w:p w14:paraId="45EB4937" w14:textId="77777777" w:rsidR="006F0BB0" w:rsidRPr="006F0BB0" w:rsidRDefault="006F0BB0" w:rsidP="007D1DBA">
            <w:pPr>
              <w:jc w:val="right"/>
              <w:rPr>
                <w:sz w:val="18"/>
                <w:szCs w:val="18"/>
                <w:lang w:val="es-419" w:eastAsia="es-419"/>
              </w:rPr>
            </w:pPr>
            <w:r w:rsidRPr="006F0BB0">
              <w:rPr>
                <w:sz w:val="18"/>
                <w:szCs w:val="18"/>
                <w:lang w:val="es-419" w:eastAsia="es-419"/>
              </w:rPr>
              <w:t>23 472</w:t>
            </w:r>
          </w:p>
        </w:tc>
        <w:tc>
          <w:tcPr>
            <w:tcW w:w="950" w:type="dxa"/>
            <w:tcBorders>
              <w:top w:val="nil"/>
              <w:left w:val="nil"/>
              <w:bottom w:val="single" w:sz="4" w:space="0" w:color="auto"/>
              <w:right w:val="single" w:sz="4" w:space="0" w:color="auto"/>
            </w:tcBorders>
            <w:shd w:val="clear" w:color="auto" w:fill="auto"/>
            <w:noWrap/>
            <w:hideMark/>
          </w:tcPr>
          <w:p w14:paraId="6E64ABF4" w14:textId="77777777" w:rsidR="006F0BB0" w:rsidRPr="006F0BB0" w:rsidRDefault="006F0BB0" w:rsidP="007D1DBA">
            <w:pPr>
              <w:jc w:val="right"/>
              <w:rPr>
                <w:sz w:val="18"/>
                <w:szCs w:val="18"/>
                <w:lang w:val="es-419" w:eastAsia="es-419"/>
              </w:rPr>
            </w:pPr>
            <w:r w:rsidRPr="006F0BB0">
              <w:rPr>
                <w:sz w:val="18"/>
                <w:szCs w:val="18"/>
                <w:lang w:val="es-419" w:eastAsia="es-419"/>
              </w:rPr>
              <w:t>24 176</w:t>
            </w:r>
          </w:p>
        </w:tc>
        <w:tc>
          <w:tcPr>
            <w:tcW w:w="950" w:type="dxa"/>
            <w:tcBorders>
              <w:top w:val="nil"/>
              <w:left w:val="nil"/>
              <w:bottom w:val="single" w:sz="4" w:space="0" w:color="auto"/>
              <w:right w:val="single" w:sz="4" w:space="0" w:color="auto"/>
            </w:tcBorders>
            <w:shd w:val="clear" w:color="auto" w:fill="auto"/>
            <w:noWrap/>
            <w:hideMark/>
          </w:tcPr>
          <w:p w14:paraId="27259BD7" w14:textId="77777777" w:rsidR="006F0BB0" w:rsidRPr="006F0BB0" w:rsidRDefault="006F0BB0" w:rsidP="007D1DBA">
            <w:pPr>
              <w:jc w:val="right"/>
              <w:rPr>
                <w:sz w:val="18"/>
                <w:szCs w:val="18"/>
                <w:lang w:val="es-419" w:eastAsia="es-419"/>
              </w:rPr>
            </w:pPr>
            <w:r w:rsidRPr="006F0BB0">
              <w:rPr>
                <w:sz w:val="18"/>
                <w:szCs w:val="18"/>
                <w:lang w:val="es-419" w:eastAsia="es-419"/>
              </w:rPr>
              <w:t>24 901</w:t>
            </w:r>
          </w:p>
        </w:tc>
        <w:tc>
          <w:tcPr>
            <w:tcW w:w="950" w:type="dxa"/>
            <w:tcBorders>
              <w:top w:val="nil"/>
              <w:left w:val="nil"/>
              <w:bottom w:val="single" w:sz="4" w:space="0" w:color="auto"/>
              <w:right w:val="single" w:sz="4" w:space="0" w:color="auto"/>
            </w:tcBorders>
            <w:shd w:val="clear" w:color="auto" w:fill="auto"/>
            <w:noWrap/>
            <w:hideMark/>
          </w:tcPr>
          <w:p w14:paraId="68D845AB" w14:textId="77777777" w:rsidR="006F0BB0" w:rsidRPr="006F0BB0" w:rsidRDefault="006F0BB0" w:rsidP="007D1DBA">
            <w:pPr>
              <w:jc w:val="right"/>
              <w:rPr>
                <w:sz w:val="18"/>
                <w:szCs w:val="18"/>
                <w:lang w:val="es-419" w:eastAsia="es-419"/>
              </w:rPr>
            </w:pPr>
            <w:r w:rsidRPr="006F0BB0">
              <w:rPr>
                <w:sz w:val="18"/>
                <w:szCs w:val="18"/>
                <w:lang w:val="es-419" w:eastAsia="es-419"/>
              </w:rPr>
              <w:t>22 795</w:t>
            </w:r>
          </w:p>
        </w:tc>
        <w:tc>
          <w:tcPr>
            <w:tcW w:w="1005" w:type="dxa"/>
            <w:tcBorders>
              <w:top w:val="nil"/>
              <w:left w:val="nil"/>
              <w:bottom w:val="single" w:sz="4" w:space="0" w:color="auto"/>
              <w:right w:val="single" w:sz="4" w:space="0" w:color="auto"/>
            </w:tcBorders>
            <w:shd w:val="clear" w:color="auto" w:fill="auto"/>
            <w:noWrap/>
            <w:hideMark/>
          </w:tcPr>
          <w:p w14:paraId="4BF5A4A9" w14:textId="77777777" w:rsidR="006F0BB0" w:rsidRPr="006F0BB0" w:rsidRDefault="006F0BB0" w:rsidP="007D1DBA">
            <w:pPr>
              <w:jc w:val="right"/>
              <w:rPr>
                <w:sz w:val="18"/>
                <w:szCs w:val="18"/>
                <w:lang w:val="es-419" w:eastAsia="es-419"/>
              </w:rPr>
            </w:pPr>
            <w:r w:rsidRPr="006F0BB0">
              <w:rPr>
                <w:sz w:val="18"/>
                <w:szCs w:val="18"/>
                <w:lang w:val="es-419" w:eastAsia="es-419"/>
              </w:rPr>
              <w:t>25 937</w:t>
            </w:r>
          </w:p>
        </w:tc>
        <w:tc>
          <w:tcPr>
            <w:tcW w:w="1181" w:type="dxa"/>
            <w:tcBorders>
              <w:top w:val="nil"/>
              <w:left w:val="nil"/>
              <w:bottom w:val="single" w:sz="4" w:space="0" w:color="auto"/>
              <w:right w:val="single" w:sz="4" w:space="0" w:color="auto"/>
            </w:tcBorders>
            <w:shd w:val="clear" w:color="auto" w:fill="auto"/>
            <w:noWrap/>
            <w:hideMark/>
          </w:tcPr>
          <w:p w14:paraId="29BAC4AF" w14:textId="77777777" w:rsidR="006F0BB0" w:rsidRPr="006F0BB0" w:rsidRDefault="006F0BB0" w:rsidP="007D1DBA">
            <w:pPr>
              <w:jc w:val="right"/>
              <w:rPr>
                <w:sz w:val="18"/>
                <w:szCs w:val="18"/>
                <w:lang w:val="es-419" w:eastAsia="es-419"/>
              </w:rPr>
            </w:pPr>
            <w:r w:rsidRPr="006F0BB0">
              <w:rPr>
                <w:sz w:val="18"/>
                <w:szCs w:val="18"/>
                <w:lang w:val="es-419" w:eastAsia="es-419"/>
              </w:rPr>
              <w:t>96,0%</w:t>
            </w:r>
          </w:p>
        </w:tc>
      </w:tr>
      <w:tr w:rsidR="006F0BB0" w:rsidRPr="006F0BB0" w14:paraId="1F869DE5"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28A97F5" w14:textId="77777777" w:rsidR="006F0BB0" w:rsidRPr="006F0BB0" w:rsidRDefault="006F0BB0" w:rsidP="007D1DBA">
            <w:pPr>
              <w:jc w:val="left"/>
              <w:rPr>
                <w:sz w:val="18"/>
                <w:szCs w:val="18"/>
                <w:lang w:val="es-419" w:eastAsia="es-419"/>
              </w:rPr>
            </w:pPr>
            <w:r w:rsidRPr="006F0BB0">
              <w:rPr>
                <w:sz w:val="18"/>
                <w:szCs w:val="18"/>
                <w:lang w:val="es-419" w:eastAsia="es-419"/>
              </w:rPr>
              <w:t>Bolivia (Estado Plurinacional de)</w:t>
            </w:r>
          </w:p>
        </w:tc>
        <w:tc>
          <w:tcPr>
            <w:tcW w:w="950" w:type="dxa"/>
            <w:tcBorders>
              <w:top w:val="nil"/>
              <w:left w:val="nil"/>
              <w:bottom w:val="single" w:sz="4" w:space="0" w:color="auto"/>
              <w:right w:val="single" w:sz="4" w:space="0" w:color="auto"/>
            </w:tcBorders>
            <w:shd w:val="clear" w:color="auto" w:fill="auto"/>
            <w:noWrap/>
            <w:hideMark/>
          </w:tcPr>
          <w:p w14:paraId="39F44B2D" w14:textId="77777777" w:rsidR="006F0BB0" w:rsidRPr="006F0BB0" w:rsidRDefault="006F0BB0" w:rsidP="007D1DBA">
            <w:pPr>
              <w:jc w:val="right"/>
              <w:rPr>
                <w:sz w:val="18"/>
                <w:szCs w:val="18"/>
                <w:lang w:val="es-419" w:eastAsia="es-419"/>
              </w:rPr>
            </w:pPr>
            <w:r w:rsidRPr="006F0BB0">
              <w:rPr>
                <w:sz w:val="18"/>
                <w:szCs w:val="18"/>
                <w:lang w:val="es-419" w:eastAsia="es-419"/>
              </w:rPr>
              <w:t>773 894</w:t>
            </w:r>
          </w:p>
        </w:tc>
        <w:tc>
          <w:tcPr>
            <w:tcW w:w="950" w:type="dxa"/>
            <w:tcBorders>
              <w:top w:val="nil"/>
              <w:left w:val="nil"/>
              <w:bottom w:val="single" w:sz="4" w:space="0" w:color="auto"/>
              <w:right w:val="single" w:sz="4" w:space="0" w:color="auto"/>
            </w:tcBorders>
            <w:shd w:val="clear" w:color="auto" w:fill="auto"/>
            <w:noWrap/>
            <w:hideMark/>
          </w:tcPr>
          <w:p w14:paraId="6BF4C786" w14:textId="77777777" w:rsidR="006F0BB0" w:rsidRPr="006F0BB0" w:rsidRDefault="006F0BB0" w:rsidP="007D1DBA">
            <w:pPr>
              <w:jc w:val="right"/>
              <w:rPr>
                <w:sz w:val="18"/>
                <w:szCs w:val="18"/>
                <w:lang w:val="es-419" w:eastAsia="es-419"/>
              </w:rPr>
            </w:pPr>
            <w:r w:rsidRPr="006F0BB0">
              <w:rPr>
                <w:sz w:val="18"/>
                <w:szCs w:val="18"/>
                <w:lang w:val="es-419" w:eastAsia="es-419"/>
              </w:rPr>
              <w:t>797 111</w:t>
            </w:r>
          </w:p>
        </w:tc>
        <w:tc>
          <w:tcPr>
            <w:tcW w:w="950" w:type="dxa"/>
            <w:tcBorders>
              <w:top w:val="nil"/>
              <w:left w:val="nil"/>
              <w:bottom w:val="single" w:sz="4" w:space="0" w:color="auto"/>
              <w:right w:val="single" w:sz="4" w:space="0" w:color="auto"/>
            </w:tcBorders>
            <w:shd w:val="clear" w:color="auto" w:fill="auto"/>
            <w:noWrap/>
            <w:hideMark/>
          </w:tcPr>
          <w:p w14:paraId="28975924" w14:textId="77777777" w:rsidR="006F0BB0" w:rsidRPr="006F0BB0" w:rsidRDefault="006F0BB0" w:rsidP="007D1DBA">
            <w:pPr>
              <w:jc w:val="right"/>
              <w:rPr>
                <w:sz w:val="18"/>
                <w:szCs w:val="18"/>
                <w:lang w:val="es-419" w:eastAsia="es-419"/>
              </w:rPr>
            </w:pPr>
            <w:r w:rsidRPr="006F0BB0">
              <w:rPr>
                <w:sz w:val="18"/>
                <w:szCs w:val="18"/>
                <w:lang w:val="es-419" w:eastAsia="es-419"/>
              </w:rPr>
              <w:t>821 024</w:t>
            </w:r>
          </w:p>
        </w:tc>
        <w:tc>
          <w:tcPr>
            <w:tcW w:w="950" w:type="dxa"/>
            <w:tcBorders>
              <w:top w:val="nil"/>
              <w:left w:val="nil"/>
              <w:bottom w:val="single" w:sz="4" w:space="0" w:color="auto"/>
              <w:right w:val="single" w:sz="4" w:space="0" w:color="auto"/>
            </w:tcBorders>
            <w:shd w:val="clear" w:color="auto" w:fill="auto"/>
            <w:noWrap/>
            <w:hideMark/>
          </w:tcPr>
          <w:p w14:paraId="51437E7D" w14:textId="77777777" w:rsidR="006F0BB0" w:rsidRPr="006F0BB0" w:rsidRDefault="006F0BB0" w:rsidP="007D1DBA">
            <w:pPr>
              <w:jc w:val="right"/>
              <w:rPr>
                <w:sz w:val="18"/>
                <w:szCs w:val="18"/>
                <w:lang w:val="es-419" w:eastAsia="es-419"/>
              </w:rPr>
            </w:pPr>
            <w:r w:rsidRPr="006F0BB0">
              <w:rPr>
                <w:sz w:val="18"/>
                <w:szCs w:val="18"/>
                <w:lang w:val="es-419" w:eastAsia="es-419"/>
              </w:rPr>
              <w:t>845 655</w:t>
            </w:r>
          </w:p>
        </w:tc>
        <w:tc>
          <w:tcPr>
            <w:tcW w:w="950" w:type="dxa"/>
            <w:tcBorders>
              <w:top w:val="nil"/>
              <w:left w:val="nil"/>
              <w:bottom w:val="single" w:sz="4" w:space="0" w:color="auto"/>
              <w:right w:val="single" w:sz="4" w:space="0" w:color="auto"/>
            </w:tcBorders>
            <w:shd w:val="clear" w:color="auto" w:fill="auto"/>
            <w:noWrap/>
            <w:hideMark/>
          </w:tcPr>
          <w:p w14:paraId="25585508" w14:textId="77777777" w:rsidR="006F0BB0" w:rsidRPr="006F0BB0" w:rsidRDefault="006F0BB0" w:rsidP="007D1DBA">
            <w:pPr>
              <w:jc w:val="right"/>
              <w:rPr>
                <w:sz w:val="18"/>
                <w:szCs w:val="18"/>
                <w:lang w:val="es-419" w:eastAsia="es-419"/>
              </w:rPr>
            </w:pPr>
            <w:r w:rsidRPr="006F0BB0">
              <w:rPr>
                <w:sz w:val="18"/>
                <w:szCs w:val="18"/>
                <w:lang w:val="es-419" w:eastAsia="es-419"/>
              </w:rPr>
              <w:t>871 025</w:t>
            </w:r>
          </w:p>
        </w:tc>
        <w:tc>
          <w:tcPr>
            <w:tcW w:w="950" w:type="dxa"/>
            <w:tcBorders>
              <w:top w:val="nil"/>
              <w:left w:val="nil"/>
              <w:bottom w:val="single" w:sz="4" w:space="0" w:color="auto"/>
              <w:right w:val="single" w:sz="4" w:space="0" w:color="auto"/>
            </w:tcBorders>
            <w:shd w:val="clear" w:color="auto" w:fill="auto"/>
            <w:noWrap/>
            <w:hideMark/>
          </w:tcPr>
          <w:p w14:paraId="48C2E2A8" w14:textId="77777777" w:rsidR="006F0BB0" w:rsidRPr="006F0BB0" w:rsidRDefault="006F0BB0" w:rsidP="007D1DBA">
            <w:pPr>
              <w:jc w:val="right"/>
              <w:rPr>
                <w:sz w:val="18"/>
                <w:szCs w:val="18"/>
                <w:lang w:val="es-419" w:eastAsia="es-419"/>
              </w:rPr>
            </w:pPr>
            <w:r w:rsidRPr="006F0BB0">
              <w:rPr>
                <w:sz w:val="18"/>
                <w:szCs w:val="18"/>
                <w:lang w:val="es-419" w:eastAsia="es-419"/>
              </w:rPr>
              <w:t>897 155</w:t>
            </w:r>
          </w:p>
        </w:tc>
        <w:tc>
          <w:tcPr>
            <w:tcW w:w="950" w:type="dxa"/>
            <w:tcBorders>
              <w:top w:val="nil"/>
              <w:left w:val="nil"/>
              <w:bottom w:val="single" w:sz="4" w:space="0" w:color="auto"/>
              <w:right w:val="single" w:sz="4" w:space="0" w:color="auto"/>
            </w:tcBorders>
            <w:shd w:val="clear" w:color="auto" w:fill="auto"/>
            <w:noWrap/>
            <w:hideMark/>
          </w:tcPr>
          <w:p w14:paraId="777E1D32" w14:textId="77777777" w:rsidR="006F0BB0" w:rsidRPr="006F0BB0" w:rsidRDefault="006F0BB0" w:rsidP="007D1DBA">
            <w:pPr>
              <w:jc w:val="right"/>
              <w:rPr>
                <w:sz w:val="18"/>
                <w:szCs w:val="18"/>
                <w:lang w:val="es-419" w:eastAsia="es-419"/>
              </w:rPr>
            </w:pPr>
            <w:r w:rsidRPr="006F0BB0">
              <w:rPr>
                <w:sz w:val="18"/>
                <w:szCs w:val="18"/>
                <w:lang w:val="es-419" w:eastAsia="es-419"/>
              </w:rPr>
              <w:t>821 263</w:t>
            </w:r>
          </w:p>
        </w:tc>
        <w:tc>
          <w:tcPr>
            <w:tcW w:w="1005" w:type="dxa"/>
            <w:tcBorders>
              <w:top w:val="nil"/>
              <w:left w:val="nil"/>
              <w:bottom w:val="single" w:sz="4" w:space="0" w:color="auto"/>
              <w:right w:val="single" w:sz="4" w:space="0" w:color="auto"/>
            </w:tcBorders>
            <w:shd w:val="clear" w:color="auto" w:fill="auto"/>
            <w:noWrap/>
            <w:hideMark/>
          </w:tcPr>
          <w:p w14:paraId="3C330305" w14:textId="77777777" w:rsidR="006F0BB0" w:rsidRPr="006F0BB0" w:rsidRDefault="006F0BB0" w:rsidP="007D1DBA">
            <w:pPr>
              <w:jc w:val="right"/>
              <w:rPr>
                <w:sz w:val="18"/>
                <w:szCs w:val="18"/>
                <w:lang w:val="es-419" w:eastAsia="es-419"/>
              </w:rPr>
            </w:pPr>
            <w:r w:rsidRPr="006F0BB0">
              <w:rPr>
                <w:sz w:val="18"/>
                <w:szCs w:val="18"/>
                <w:lang w:val="es-419" w:eastAsia="es-419"/>
              </w:rPr>
              <w:t>933 795</w:t>
            </w:r>
          </w:p>
        </w:tc>
        <w:tc>
          <w:tcPr>
            <w:tcW w:w="1181" w:type="dxa"/>
            <w:tcBorders>
              <w:top w:val="nil"/>
              <w:left w:val="nil"/>
              <w:bottom w:val="single" w:sz="4" w:space="0" w:color="auto"/>
              <w:right w:val="single" w:sz="4" w:space="0" w:color="auto"/>
            </w:tcBorders>
            <w:shd w:val="clear" w:color="auto" w:fill="auto"/>
            <w:noWrap/>
            <w:hideMark/>
          </w:tcPr>
          <w:p w14:paraId="0C07BA66" w14:textId="77777777" w:rsidR="006F0BB0" w:rsidRPr="006F0BB0" w:rsidRDefault="006F0BB0" w:rsidP="007D1DBA">
            <w:pPr>
              <w:jc w:val="right"/>
              <w:rPr>
                <w:sz w:val="18"/>
                <w:szCs w:val="18"/>
                <w:lang w:val="es-419" w:eastAsia="es-419"/>
              </w:rPr>
            </w:pPr>
            <w:r w:rsidRPr="006F0BB0">
              <w:rPr>
                <w:sz w:val="18"/>
                <w:szCs w:val="18"/>
                <w:lang w:val="es-419" w:eastAsia="es-419"/>
              </w:rPr>
              <w:t>96,1%</w:t>
            </w:r>
          </w:p>
        </w:tc>
      </w:tr>
      <w:tr w:rsidR="006F0BB0" w:rsidRPr="006F0BB0" w14:paraId="49966332"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640E92" w14:textId="77777777" w:rsidR="006F0BB0" w:rsidRPr="006F0BB0" w:rsidRDefault="006F0BB0" w:rsidP="007D1DBA">
            <w:pPr>
              <w:jc w:val="left"/>
              <w:rPr>
                <w:sz w:val="18"/>
                <w:szCs w:val="18"/>
                <w:lang w:val="es-419" w:eastAsia="es-419"/>
              </w:rPr>
            </w:pPr>
            <w:r w:rsidRPr="006F0BB0">
              <w:rPr>
                <w:sz w:val="18"/>
                <w:szCs w:val="18"/>
                <w:lang w:val="es-419" w:eastAsia="es-419"/>
              </w:rPr>
              <w:t>Guatemala</w:t>
            </w:r>
          </w:p>
        </w:tc>
        <w:tc>
          <w:tcPr>
            <w:tcW w:w="950" w:type="dxa"/>
            <w:tcBorders>
              <w:top w:val="nil"/>
              <w:left w:val="nil"/>
              <w:bottom w:val="single" w:sz="4" w:space="0" w:color="auto"/>
              <w:right w:val="single" w:sz="4" w:space="0" w:color="auto"/>
            </w:tcBorders>
            <w:shd w:val="clear" w:color="auto" w:fill="auto"/>
            <w:noWrap/>
            <w:hideMark/>
          </w:tcPr>
          <w:p w14:paraId="3B8FA93E" w14:textId="77777777" w:rsidR="006F0BB0" w:rsidRPr="006F0BB0" w:rsidRDefault="006F0BB0" w:rsidP="007D1DBA">
            <w:pPr>
              <w:jc w:val="right"/>
              <w:rPr>
                <w:sz w:val="18"/>
                <w:szCs w:val="18"/>
                <w:lang w:val="es-419" w:eastAsia="es-419"/>
              </w:rPr>
            </w:pPr>
            <w:r w:rsidRPr="006F0BB0">
              <w:rPr>
                <w:sz w:val="18"/>
                <w:szCs w:val="18"/>
                <w:lang w:val="es-419" w:eastAsia="es-419"/>
              </w:rPr>
              <w:t>1 169 662</w:t>
            </w:r>
          </w:p>
        </w:tc>
        <w:tc>
          <w:tcPr>
            <w:tcW w:w="950" w:type="dxa"/>
            <w:tcBorders>
              <w:top w:val="nil"/>
              <w:left w:val="nil"/>
              <w:bottom w:val="single" w:sz="4" w:space="0" w:color="auto"/>
              <w:right w:val="single" w:sz="4" w:space="0" w:color="auto"/>
            </w:tcBorders>
            <w:shd w:val="clear" w:color="auto" w:fill="auto"/>
            <w:noWrap/>
            <w:hideMark/>
          </w:tcPr>
          <w:p w14:paraId="115C7DD4" w14:textId="77777777" w:rsidR="006F0BB0" w:rsidRPr="006F0BB0" w:rsidRDefault="006F0BB0" w:rsidP="007D1DBA">
            <w:pPr>
              <w:jc w:val="right"/>
              <w:rPr>
                <w:sz w:val="18"/>
                <w:szCs w:val="18"/>
                <w:lang w:val="es-419" w:eastAsia="es-419"/>
              </w:rPr>
            </w:pPr>
            <w:r w:rsidRPr="006F0BB0">
              <w:rPr>
                <w:sz w:val="18"/>
                <w:szCs w:val="18"/>
                <w:lang w:val="es-419" w:eastAsia="es-419"/>
              </w:rPr>
              <w:t>1 204 752</w:t>
            </w:r>
          </w:p>
        </w:tc>
        <w:tc>
          <w:tcPr>
            <w:tcW w:w="950" w:type="dxa"/>
            <w:tcBorders>
              <w:top w:val="nil"/>
              <w:left w:val="nil"/>
              <w:bottom w:val="single" w:sz="4" w:space="0" w:color="auto"/>
              <w:right w:val="single" w:sz="4" w:space="0" w:color="auto"/>
            </w:tcBorders>
            <w:shd w:val="clear" w:color="auto" w:fill="auto"/>
            <w:noWrap/>
            <w:hideMark/>
          </w:tcPr>
          <w:p w14:paraId="2453DA60" w14:textId="77777777" w:rsidR="006F0BB0" w:rsidRPr="006F0BB0" w:rsidRDefault="006F0BB0" w:rsidP="007D1DBA">
            <w:pPr>
              <w:jc w:val="right"/>
              <w:rPr>
                <w:sz w:val="18"/>
                <w:szCs w:val="18"/>
                <w:lang w:val="es-419" w:eastAsia="es-419"/>
              </w:rPr>
            </w:pPr>
            <w:r w:rsidRPr="006F0BB0">
              <w:rPr>
                <w:sz w:val="18"/>
                <w:szCs w:val="18"/>
                <w:lang w:val="es-419" w:eastAsia="es-419"/>
              </w:rPr>
              <w:t>1 240 894</w:t>
            </w:r>
          </w:p>
        </w:tc>
        <w:tc>
          <w:tcPr>
            <w:tcW w:w="950" w:type="dxa"/>
            <w:tcBorders>
              <w:top w:val="nil"/>
              <w:left w:val="nil"/>
              <w:bottom w:val="single" w:sz="4" w:space="0" w:color="auto"/>
              <w:right w:val="single" w:sz="4" w:space="0" w:color="auto"/>
            </w:tcBorders>
            <w:shd w:val="clear" w:color="auto" w:fill="auto"/>
            <w:noWrap/>
            <w:hideMark/>
          </w:tcPr>
          <w:p w14:paraId="3FED5CBB" w14:textId="77777777" w:rsidR="006F0BB0" w:rsidRPr="006F0BB0" w:rsidRDefault="006F0BB0" w:rsidP="007D1DBA">
            <w:pPr>
              <w:jc w:val="right"/>
              <w:rPr>
                <w:sz w:val="18"/>
                <w:szCs w:val="18"/>
                <w:lang w:val="es-419" w:eastAsia="es-419"/>
              </w:rPr>
            </w:pPr>
            <w:r w:rsidRPr="006F0BB0">
              <w:rPr>
                <w:sz w:val="18"/>
                <w:szCs w:val="18"/>
                <w:lang w:val="es-419" w:eastAsia="es-419"/>
              </w:rPr>
              <w:t>1 278 121</w:t>
            </w:r>
          </w:p>
        </w:tc>
        <w:tc>
          <w:tcPr>
            <w:tcW w:w="950" w:type="dxa"/>
            <w:tcBorders>
              <w:top w:val="nil"/>
              <w:left w:val="nil"/>
              <w:bottom w:val="single" w:sz="4" w:space="0" w:color="auto"/>
              <w:right w:val="single" w:sz="4" w:space="0" w:color="auto"/>
            </w:tcBorders>
            <w:shd w:val="clear" w:color="auto" w:fill="auto"/>
            <w:noWrap/>
            <w:hideMark/>
          </w:tcPr>
          <w:p w14:paraId="100B5332" w14:textId="77777777" w:rsidR="006F0BB0" w:rsidRPr="006F0BB0" w:rsidRDefault="006F0BB0" w:rsidP="007D1DBA">
            <w:pPr>
              <w:jc w:val="right"/>
              <w:rPr>
                <w:sz w:val="18"/>
                <w:szCs w:val="18"/>
                <w:lang w:val="es-419" w:eastAsia="es-419"/>
              </w:rPr>
            </w:pPr>
            <w:r w:rsidRPr="006F0BB0">
              <w:rPr>
                <w:sz w:val="18"/>
                <w:szCs w:val="18"/>
                <w:lang w:val="es-419" w:eastAsia="es-419"/>
              </w:rPr>
              <w:t>1 316 465</w:t>
            </w:r>
          </w:p>
        </w:tc>
        <w:tc>
          <w:tcPr>
            <w:tcW w:w="950" w:type="dxa"/>
            <w:tcBorders>
              <w:top w:val="nil"/>
              <w:left w:val="nil"/>
              <w:bottom w:val="single" w:sz="4" w:space="0" w:color="auto"/>
              <w:right w:val="single" w:sz="4" w:space="0" w:color="auto"/>
            </w:tcBorders>
            <w:shd w:val="clear" w:color="auto" w:fill="auto"/>
            <w:noWrap/>
            <w:hideMark/>
          </w:tcPr>
          <w:p w14:paraId="1D834FCD" w14:textId="77777777" w:rsidR="006F0BB0" w:rsidRPr="006F0BB0" w:rsidRDefault="006F0BB0" w:rsidP="007D1DBA">
            <w:pPr>
              <w:jc w:val="right"/>
              <w:rPr>
                <w:sz w:val="18"/>
                <w:szCs w:val="18"/>
                <w:lang w:val="es-419" w:eastAsia="es-419"/>
              </w:rPr>
            </w:pPr>
            <w:r w:rsidRPr="006F0BB0">
              <w:rPr>
                <w:sz w:val="18"/>
                <w:szCs w:val="18"/>
                <w:lang w:val="es-419" w:eastAsia="es-419"/>
              </w:rPr>
              <w:t>1 355 959</w:t>
            </w:r>
          </w:p>
        </w:tc>
        <w:tc>
          <w:tcPr>
            <w:tcW w:w="950" w:type="dxa"/>
            <w:tcBorders>
              <w:top w:val="nil"/>
              <w:left w:val="nil"/>
              <w:bottom w:val="single" w:sz="4" w:space="0" w:color="auto"/>
              <w:right w:val="single" w:sz="4" w:space="0" w:color="auto"/>
            </w:tcBorders>
            <w:shd w:val="clear" w:color="auto" w:fill="auto"/>
            <w:noWrap/>
            <w:hideMark/>
          </w:tcPr>
          <w:p w14:paraId="51992C82" w14:textId="77777777" w:rsidR="006F0BB0" w:rsidRPr="006F0BB0" w:rsidRDefault="006F0BB0" w:rsidP="007D1DBA">
            <w:pPr>
              <w:jc w:val="right"/>
              <w:rPr>
                <w:sz w:val="18"/>
                <w:szCs w:val="18"/>
                <w:lang w:val="es-419" w:eastAsia="es-419"/>
              </w:rPr>
            </w:pPr>
            <w:r w:rsidRPr="006F0BB0">
              <w:rPr>
                <w:sz w:val="18"/>
                <w:szCs w:val="18"/>
                <w:lang w:val="es-419" w:eastAsia="es-419"/>
              </w:rPr>
              <w:t>1 241 256</w:t>
            </w:r>
          </w:p>
        </w:tc>
        <w:tc>
          <w:tcPr>
            <w:tcW w:w="1005" w:type="dxa"/>
            <w:tcBorders>
              <w:top w:val="nil"/>
              <w:left w:val="nil"/>
              <w:bottom w:val="single" w:sz="4" w:space="0" w:color="auto"/>
              <w:right w:val="single" w:sz="4" w:space="0" w:color="auto"/>
            </w:tcBorders>
            <w:shd w:val="clear" w:color="auto" w:fill="auto"/>
            <w:noWrap/>
            <w:hideMark/>
          </w:tcPr>
          <w:p w14:paraId="7C4D6A8A" w14:textId="77777777" w:rsidR="006F0BB0" w:rsidRPr="006F0BB0" w:rsidRDefault="006F0BB0" w:rsidP="007D1DBA">
            <w:pPr>
              <w:jc w:val="right"/>
              <w:rPr>
                <w:sz w:val="18"/>
                <w:szCs w:val="18"/>
                <w:lang w:val="es-419" w:eastAsia="es-419"/>
              </w:rPr>
            </w:pPr>
            <w:r w:rsidRPr="006F0BB0">
              <w:rPr>
                <w:sz w:val="18"/>
                <w:szCs w:val="18"/>
                <w:lang w:val="es-419" w:eastAsia="es-419"/>
              </w:rPr>
              <w:t>1 397 818</w:t>
            </w:r>
          </w:p>
        </w:tc>
        <w:tc>
          <w:tcPr>
            <w:tcW w:w="1181" w:type="dxa"/>
            <w:tcBorders>
              <w:top w:val="nil"/>
              <w:left w:val="nil"/>
              <w:bottom w:val="single" w:sz="4" w:space="0" w:color="auto"/>
              <w:right w:val="single" w:sz="4" w:space="0" w:color="auto"/>
            </w:tcBorders>
            <w:shd w:val="clear" w:color="auto" w:fill="auto"/>
            <w:noWrap/>
            <w:hideMark/>
          </w:tcPr>
          <w:p w14:paraId="40FD1EE1" w14:textId="77777777" w:rsidR="006F0BB0" w:rsidRPr="006F0BB0" w:rsidRDefault="006F0BB0" w:rsidP="007D1DBA">
            <w:pPr>
              <w:jc w:val="right"/>
              <w:rPr>
                <w:sz w:val="18"/>
                <w:szCs w:val="18"/>
                <w:lang w:val="es-419" w:eastAsia="es-419"/>
              </w:rPr>
            </w:pPr>
            <w:r w:rsidRPr="006F0BB0">
              <w:rPr>
                <w:sz w:val="18"/>
                <w:szCs w:val="18"/>
                <w:lang w:val="es-419" w:eastAsia="es-419"/>
              </w:rPr>
              <w:t>97,0%</w:t>
            </w:r>
          </w:p>
        </w:tc>
      </w:tr>
      <w:tr w:rsidR="006F0BB0" w:rsidRPr="006F0BB0" w14:paraId="5DBF48D0"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9685D9E" w14:textId="77777777" w:rsidR="006F0BB0" w:rsidRPr="006F0BB0" w:rsidRDefault="006F0BB0" w:rsidP="007D1DBA">
            <w:pPr>
              <w:jc w:val="left"/>
              <w:rPr>
                <w:sz w:val="18"/>
                <w:szCs w:val="18"/>
                <w:lang w:val="es-419" w:eastAsia="es-419"/>
              </w:rPr>
            </w:pPr>
            <w:r w:rsidRPr="006F0BB0">
              <w:rPr>
                <w:sz w:val="18"/>
                <w:szCs w:val="18"/>
                <w:lang w:val="es-419" w:eastAsia="es-419"/>
              </w:rPr>
              <w:t>Seychelles</w:t>
            </w:r>
          </w:p>
        </w:tc>
        <w:tc>
          <w:tcPr>
            <w:tcW w:w="950" w:type="dxa"/>
            <w:tcBorders>
              <w:top w:val="nil"/>
              <w:left w:val="nil"/>
              <w:bottom w:val="single" w:sz="4" w:space="0" w:color="auto"/>
              <w:right w:val="single" w:sz="4" w:space="0" w:color="auto"/>
            </w:tcBorders>
            <w:shd w:val="clear" w:color="auto" w:fill="auto"/>
            <w:noWrap/>
            <w:hideMark/>
          </w:tcPr>
          <w:p w14:paraId="23DC31D2" w14:textId="77777777" w:rsidR="006F0BB0" w:rsidRPr="006F0BB0" w:rsidRDefault="006F0BB0" w:rsidP="007D1DBA">
            <w:pPr>
              <w:jc w:val="right"/>
              <w:rPr>
                <w:sz w:val="18"/>
                <w:szCs w:val="18"/>
                <w:lang w:val="es-419" w:eastAsia="es-419"/>
              </w:rPr>
            </w:pPr>
            <w:r w:rsidRPr="006F0BB0">
              <w:rPr>
                <w:sz w:val="18"/>
                <w:szCs w:val="18"/>
                <w:lang w:val="es-419" w:eastAsia="es-419"/>
              </w:rPr>
              <w:t>227 367</w:t>
            </w:r>
          </w:p>
        </w:tc>
        <w:tc>
          <w:tcPr>
            <w:tcW w:w="950" w:type="dxa"/>
            <w:tcBorders>
              <w:top w:val="nil"/>
              <w:left w:val="nil"/>
              <w:bottom w:val="single" w:sz="4" w:space="0" w:color="auto"/>
              <w:right w:val="single" w:sz="4" w:space="0" w:color="auto"/>
            </w:tcBorders>
            <w:shd w:val="clear" w:color="auto" w:fill="auto"/>
            <w:noWrap/>
            <w:hideMark/>
          </w:tcPr>
          <w:p w14:paraId="516FFA56" w14:textId="77777777" w:rsidR="006F0BB0" w:rsidRPr="006F0BB0" w:rsidRDefault="006F0BB0" w:rsidP="007D1DBA">
            <w:pPr>
              <w:jc w:val="right"/>
              <w:rPr>
                <w:sz w:val="18"/>
                <w:szCs w:val="18"/>
                <w:lang w:val="es-419" w:eastAsia="es-419"/>
              </w:rPr>
            </w:pPr>
            <w:r w:rsidRPr="006F0BB0">
              <w:rPr>
                <w:sz w:val="18"/>
                <w:szCs w:val="18"/>
                <w:lang w:val="es-419" w:eastAsia="es-419"/>
              </w:rPr>
              <w:t>234 188</w:t>
            </w:r>
          </w:p>
        </w:tc>
        <w:tc>
          <w:tcPr>
            <w:tcW w:w="950" w:type="dxa"/>
            <w:tcBorders>
              <w:top w:val="nil"/>
              <w:left w:val="nil"/>
              <w:bottom w:val="single" w:sz="4" w:space="0" w:color="auto"/>
              <w:right w:val="single" w:sz="4" w:space="0" w:color="auto"/>
            </w:tcBorders>
            <w:shd w:val="clear" w:color="auto" w:fill="auto"/>
            <w:noWrap/>
            <w:hideMark/>
          </w:tcPr>
          <w:p w14:paraId="4FE3A629" w14:textId="77777777" w:rsidR="006F0BB0" w:rsidRPr="006F0BB0" w:rsidRDefault="006F0BB0" w:rsidP="007D1DBA">
            <w:pPr>
              <w:jc w:val="right"/>
              <w:rPr>
                <w:sz w:val="18"/>
                <w:szCs w:val="18"/>
                <w:lang w:val="es-419" w:eastAsia="es-419"/>
              </w:rPr>
            </w:pPr>
            <w:r w:rsidRPr="006F0BB0">
              <w:rPr>
                <w:sz w:val="18"/>
                <w:szCs w:val="18"/>
                <w:lang w:val="es-419" w:eastAsia="es-419"/>
              </w:rPr>
              <w:t>241 214</w:t>
            </w:r>
          </w:p>
        </w:tc>
        <w:tc>
          <w:tcPr>
            <w:tcW w:w="950" w:type="dxa"/>
            <w:tcBorders>
              <w:top w:val="nil"/>
              <w:left w:val="nil"/>
              <w:bottom w:val="single" w:sz="4" w:space="0" w:color="auto"/>
              <w:right w:val="single" w:sz="4" w:space="0" w:color="auto"/>
            </w:tcBorders>
            <w:shd w:val="clear" w:color="auto" w:fill="auto"/>
            <w:noWrap/>
            <w:hideMark/>
          </w:tcPr>
          <w:p w14:paraId="6B6A4277" w14:textId="77777777" w:rsidR="006F0BB0" w:rsidRPr="006F0BB0" w:rsidRDefault="006F0BB0" w:rsidP="007D1DBA">
            <w:pPr>
              <w:jc w:val="right"/>
              <w:rPr>
                <w:sz w:val="18"/>
                <w:szCs w:val="18"/>
                <w:lang w:val="es-419" w:eastAsia="es-419"/>
              </w:rPr>
            </w:pPr>
            <w:r w:rsidRPr="006F0BB0">
              <w:rPr>
                <w:sz w:val="18"/>
                <w:szCs w:val="18"/>
                <w:lang w:val="es-419" w:eastAsia="es-419"/>
              </w:rPr>
              <w:t>248 450</w:t>
            </w:r>
          </w:p>
        </w:tc>
        <w:tc>
          <w:tcPr>
            <w:tcW w:w="950" w:type="dxa"/>
            <w:tcBorders>
              <w:top w:val="nil"/>
              <w:left w:val="nil"/>
              <w:bottom w:val="single" w:sz="4" w:space="0" w:color="auto"/>
              <w:right w:val="single" w:sz="4" w:space="0" w:color="auto"/>
            </w:tcBorders>
            <w:shd w:val="clear" w:color="auto" w:fill="auto"/>
            <w:noWrap/>
            <w:hideMark/>
          </w:tcPr>
          <w:p w14:paraId="6684CBAF" w14:textId="77777777" w:rsidR="006F0BB0" w:rsidRPr="006F0BB0" w:rsidRDefault="006F0BB0" w:rsidP="007D1DBA">
            <w:pPr>
              <w:jc w:val="right"/>
              <w:rPr>
                <w:sz w:val="18"/>
                <w:szCs w:val="18"/>
                <w:lang w:val="es-419" w:eastAsia="es-419"/>
              </w:rPr>
            </w:pPr>
            <w:r w:rsidRPr="006F0BB0">
              <w:rPr>
                <w:sz w:val="18"/>
                <w:szCs w:val="18"/>
                <w:lang w:val="es-419" w:eastAsia="es-419"/>
              </w:rPr>
              <w:t>255 904</w:t>
            </w:r>
          </w:p>
        </w:tc>
        <w:tc>
          <w:tcPr>
            <w:tcW w:w="950" w:type="dxa"/>
            <w:tcBorders>
              <w:top w:val="nil"/>
              <w:left w:val="nil"/>
              <w:bottom w:val="single" w:sz="4" w:space="0" w:color="auto"/>
              <w:right w:val="single" w:sz="4" w:space="0" w:color="auto"/>
            </w:tcBorders>
            <w:shd w:val="clear" w:color="auto" w:fill="auto"/>
            <w:noWrap/>
            <w:hideMark/>
          </w:tcPr>
          <w:p w14:paraId="0F86ED8A" w14:textId="77777777" w:rsidR="006F0BB0" w:rsidRPr="006F0BB0" w:rsidRDefault="006F0BB0" w:rsidP="007D1DBA">
            <w:pPr>
              <w:jc w:val="right"/>
              <w:rPr>
                <w:sz w:val="18"/>
                <w:szCs w:val="18"/>
                <w:lang w:val="es-419" w:eastAsia="es-419"/>
              </w:rPr>
            </w:pPr>
            <w:r w:rsidRPr="006F0BB0">
              <w:rPr>
                <w:sz w:val="18"/>
                <w:szCs w:val="18"/>
                <w:lang w:val="es-419" w:eastAsia="es-419"/>
              </w:rPr>
              <w:t>263 581</w:t>
            </w:r>
          </w:p>
        </w:tc>
        <w:tc>
          <w:tcPr>
            <w:tcW w:w="950" w:type="dxa"/>
            <w:tcBorders>
              <w:top w:val="nil"/>
              <w:left w:val="nil"/>
              <w:bottom w:val="single" w:sz="4" w:space="0" w:color="auto"/>
              <w:right w:val="single" w:sz="4" w:space="0" w:color="auto"/>
            </w:tcBorders>
            <w:shd w:val="clear" w:color="auto" w:fill="auto"/>
            <w:noWrap/>
            <w:hideMark/>
          </w:tcPr>
          <w:p w14:paraId="46538F5D" w14:textId="77777777" w:rsidR="006F0BB0" w:rsidRPr="006F0BB0" w:rsidRDefault="006F0BB0" w:rsidP="007D1DBA">
            <w:pPr>
              <w:jc w:val="right"/>
              <w:rPr>
                <w:sz w:val="18"/>
                <w:szCs w:val="18"/>
                <w:lang w:val="es-419" w:eastAsia="es-419"/>
              </w:rPr>
            </w:pPr>
            <w:r w:rsidRPr="006F0BB0">
              <w:rPr>
                <w:sz w:val="18"/>
                <w:szCs w:val="18"/>
                <w:lang w:val="es-419" w:eastAsia="es-419"/>
              </w:rPr>
              <w:t>241 284</w:t>
            </w:r>
          </w:p>
        </w:tc>
        <w:tc>
          <w:tcPr>
            <w:tcW w:w="1005" w:type="dxa"/>
            <w:tcBorders>
              <w:top w:val="nil"/>
              <w:left w:val="nil"/>
              <w:bottom w:val="single" w:sz="4" w:space="0" w:color="auto"/>
              <w:right w:val="single" w:sz="4" w:space="0" w:color="auto"/>
            </w:tcBorders>
            <w:shd w:val="clear" w:color="auto" w:fill="auto"/>
            <w:noWrap/>
            <w:hideMark/>
          </w:tcPr>
          <w:p w14:paraId="0EAFC086" w14:textId="77777777" w:rsidR="006F0BB0" w:rsidRPr="006F0BB0" w:rsidRDefault="006F0BB0" w:rsidP="007D1DBA">
            <w:pPr>
              <w:jc w:val="right"/>
              <w:rPr>
                <w:sz w:val="18"/>
                <w:szCs w:val="18"/>
                <w:lang w:val="es-419" w:eastAsia="es-419"/>
              </w:rPr>
            </w:pPr>
            <w:r w:rsidRPr="006F0BB0">
              <w:rPr>
                <w:sz w:val="18"/>
                <w:szCs w:val="18"/>
                <w:lang w:val="es-419" w:eastAsia="es-419"/>
              </w:rPr>
              <w:t>270 413</w:t>
            </w:r>
          </w:p>
        </w:tc>
        <w:tc>
          <w:tcPr>
            <w:tcW w:w="1181" w:type="dxa"/>
            <w:tcBorders>
              <w:top w:val="nil"/>
              <w:left w:val="nil"/>
              <w:bottom w:val="single" w:sz="4" w:space="0" w:color="auto"/>
              <w:right w:val="single" w:sz="4" w:space="0" w:color="auto"/>
            </w:tcBorders>
            <w:shd w:val="clear" w:color="auto" w:fill="auto"/>
            <w:noWrap/>
            <w:hideMark/>
          </w:tcPr>
          <w:p w14:paraId="07799113" w14:textId="77777777" w:rsidR="006F0BB0" w:rsidRPr="006F0BB0" w:rsidRDefault="006F0BB0" w:rsidP="007D1DBA">
            <w:pPr>
              <w:jc w:val="right"/>
              <w:rPr>
                <w:sz w:val="18"/>
                <w:szCs w:val="18"/>
                <w:lang w:val="es-419" w:eastAsia="es-419"/>
              </w:rPr>
            </w:pPr>
            <w:r w:rsidRPr="006F0BB0">
              <w:rPr>
                <w:sz w:val="18"/>
                <w:szCs w:val="18"/>
                <w:lang w:val="es-419" w:eastAsia="es-419"/>
              </w:rPr>
              <w:t>97,5%</w:t>
            </w:r>
          </w:p>
        </w:tc>
      </w:tr>
      <w:tr w:rsidR="006F0BB0" w:rsidRPr="006F0BB0" w14:paraId="16280819"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E593546"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Rwanda</w:t>
            </w:r>
            <w:proofErr w:type="spellEnd"/>
          </w:p>
        </w:tc>
        <w:tc>
          <w:tcPr>
            <w:tcW w:w="950" w:type="dxa"/>
            <w:tcBorders>
              <w:top w:val="nil"/>
              <w:left w:val="nil"/>
              <w:bottom w:val="single" w:sz="4" w:space="0" w:color="auto"/>
              <w:right w:val="single" w:sz="4" w:space="0" w:color="auto"/>
            </w:tcBorders>
            <w:shd w:val="clear" w:color="auto" w:fill="auto"/>
            <w:noWrap/>
            <w:hideMark/>
          </w:tcPr>
          <w:p w14:paraId="0F5D6C84" w14:textId="77777777" w:rsidR="006F0BB0" w:rsidRPr="006F0BB0" w:rsidRDefault="006F0BB0" w:rsidP="007D1DBA">
            <w:pPr>
              <w:jc w:val="right"/>
              <w:rPr>
                <w:sz w:val="18"/>
                <w:szCs w:val="18"/>
                <w:lang w:val="es-419" w:eastAsia="es-419"/>
              </w:rPr>
            </w:pPr>
            <w:r w:rsidRPr="006F0BB0">
              <w:rPr>
                <w:sz w:val="18"/>
                <w:szCs w:val="18"/>
                <w:lang w:val="es-419" w:eastAsia="es-419"/>
              </w:rPr>
              <w:t>700 970</w:t>
            </w:r>
          </w:p>
        </w:tc>
        <w:tc>
          <w:tcPr>
            <w:tcW w:w="950" w:type="dxa"/>
            <w:tcBorders>
              <w:top w:val="nil"/>
              <w:left w:val="nil"/>
              <w:bottom w:val="single" w:sz="4" w:space="0" w:color="auto"/>
              <w:right w:val="single" w:sz="4" w:space="0" w:color="auto"/>
            </w:tcBorders>
            <w:shd w:val="clear" w:color="auto" w:fill="auto"/>
            <w:noWrap/>
            <w:hideMark/>
          </w:tcPr>
          <w:p w14:paraId="0E18AC45" w14:textId="77777777" w:rsidR="006F0BB0" w:rsidRPr="006F0BB0" w:rsidRDefault="006F0BB0" w:rsidP="007D1DBA">
            <w:pPr>
              <w:jc w:val="right"/>
              <w:rPr>
                <w:sz w:val="18"/>
                <w:szCs w:val="18"/>
                <w:lang w:val="es-419" w:eastAsia="es-419"/>
              </w:rPr>
            </w:pPr>
            <w:r w:rsidRPr="006F0BB0">
              <w:rPr>
                <w:sz w:val="18"/>
                <w:szCs w:val="18"/>
                <w:lang w:val="es-419" w:eastAsia="es-419"/>
              </w:rPr>
              <w:t>721 999</w:t>
            </w:r>
          </w:p>
        </w:tc>
        <w:tc>
          <w:tcPr>
            <w:tcW w:w="950" w:type="dxa"/>
            <w:tcBorders>
              <w:top w:val="nil"/>
              <w:left w:val="nil"/>
              <w:bottom w:val="single" w:sz="4" w:space="0" w:color="auto"/>
              <w:right w:val="single" w:sz="4" w:space="0" w:color="auto"/>
            </w:tcBorders>
            <w:shd w:val="clear" w:color="auto" w:fill="auto"/>
            <w:noWrap/>
            <w:hideMark/>
          </w:tcPr>
          <w:p w14:paraId="63957BE7" w14:textId="77777777" w:rsidR="006F0BB0" w:rsidRPr="006F0BB0" w:rsidRDefault="006F0BB0" w:rsidP="007D1DBA">
            <w:pPr>
              <w:jc w:val="right"/>
              <w:rPr>
                <w:sz w:val="18"/>
                <w:szCs w:val="18"/>
                <w:lang w:val="es-419" w:eastAsia="es-419"/>
              </w:rPr>
            </w:pPr>
            <w:r w:rsidRPr="006F0BB0">
              <w:rPr>
                <w:sz w:val="18"/>
                <w:szCs w:val="18"/>
                <w:lang w:val="es-419" w:eastAsia="es-419"/>
              </w:rPr>
              <w:t>743 659</w:t>
            </w:r>
          </w:p>
        </w:tc>
        <w:tc>
          <w:tcPr>
            <w:tcW w:w="950" w:type="dxa"/>
            <w:tcBorders>
              <w:top w:val="nil"/>
              <w:left w:val="nil"/>
              <w:bottom w:val="single" w:sz="4" w:space="0" w:color="auto"/>
              <w:right w:val="single" w:sz="4" w:space="0" w:color="auto"/>
            </w:tcBorders>
            <w:shd w:val="clear" w:color="auto" w:fill="auto"/>
            <w:noWrap/>
            <w:hideMark/>
          </w:tcPr>
          <w:p w14:paraId="78BF2687" w14:textId="77777777" w:rsidR="006F0BB0" w:rsidRPr="006F0BB0" w:rsidRDefault="006F0BB0" w:rsidP="007D1DBA">
            <w:pPr>
              <w:jc w:val="right"/>
              <w:rPr>
                <w:sz w:val="18"/>
                <w:szCs w:val="18"/>
                <w:lang w:val="es-419" w:eastAsia="es-419"/>
              </w:rPr>
            </w:pPr>
            <w:r w:rsidRPr="006F0BB0">
              <w:rPr>
                <w:sz w:val="18"/>
                <w:szCs w:val="18"/>
                <w:lang w:val="es-419" w:eastAsia="es-419"/>
              </w:rPr>
              <w:t>765 969</w:t>
            </w:r>
          </w:p>
        </w:tc>
        <w:tc>
          <w:tcPr>
            <w:tcW w:w="950" w:type="dxa"/>
            <w:tcBorders>
              <w:top w:val="nil"/>
              <w:left w:val="nil"/>
              <w:bottom w:val="single" w:sz="4" w:space="0" w:color="auto"/>
              <w:right w:val="single" w:sz="4" w:space="0" w:color="auto"/>
            </w:tcBorders>
            <w:shd w:val="clear" w:color="auto" w:fill="auto"/>
            <w:noWrap/>
            <w:hideMark/>
          </w:tcPr>
          <w:p w14:paraId="58361289" w14:textId="77777777" w:rsidR="006F0BB0" w:rsidRPr="006F0BB0" w:rsidRDefault="006F0BB0" w:rsidP="007D1DBA">
            <w:pPr>
              <w:jc w:val="right"/>
              <w:rPr>
                <w:sz w:val="18"/>
                <w:szCs w:val="18"/>
                <w:lang w:val="es-419" w:eastAsia="es-419"/>
              </w:rPr>
            </w:pPr>
            <w:r w:rsidRPr="006F0BB0">
              <w:rPr>
                <w:sz w:val="18"/>
                <w:szCs w:val="18"/>
                <w:lang w:val="es-419" w:eastAsia="es-419"/>
              </w:rPr>
              <w:t>788 948</w:t>
            </w:r>
          </w:p>
        </w:tc>
        <w:tc>
          <w:tcPr>
            <w:tcW w:w="950" w:type="dxa"/>
            <w:tcBorders>
              <w:top w:val="nil"/>
              <w:left w:val="nil"/>
              <w:bottom w:val="single" w:sz="4" w:space="0" w:color="auto"/>
              <w:right w:val="single" w:sz="4" w:space="0" w:color="auto"/>
            </w:tcBorders>
            <w:shd w:val="clear" w:color="auto" w:fill="auto"/>
            <w:noWrap/>
            <w:hideMark/>
          </w:tcPr>
          <w:p w14:paraId="2D71F799" w14:textId="77777777" w:rsidR="006F0BB0" w:rsidRPr="006F0BB0" w:rsidRDefault="006F0BB0" w:rsidP="007D1DBA">
            <w:pPr>
              <w:jc w:val="right"/>
              <w:rPr>
                <w:sz w:val="18"/>
                <w:szCs w:val="18"/>
                <w:lang w:val="es-419" w:eastAsia="es-419"/>
              </w:rPr>
            </w:pPr>
            <w:r w:rsidRPr="006F0BB0">
              <w:rPr>
                <w:sz w:val="18"/>
                <w:szCs w:val="18"/>
                <w:lang w:val="es-419" w:eastAsia="es-419"/>
              </w:rPr>
              <w:t>812 616</w:t>
            </w:r>
          </w:p>
        </w:tc>
        <w:tc>
          <w:tcPr>
            <w:tcW w:w="950" w:type="dxa"/>
            <w:tcBorders>
              <w:top w:val="nil"/>
              <w:left w:val="nil"/>
              <w:bottom w:val="single" w:sz="4" w:space="0" w:color="auto"/>
              <w:right w:val="single" w:sz="4" w:space="0" w:color="auto"/>
            </w:tcBorders>
            <w:shd w:val="clear" w:color="auto" w:fill="auto"/>
            <w:noWrap/>
            <w:hideMark/>
          </w:tcPr>
          <w:p w14:paraId="08347CA8" w14:textId="77777777" w:rsidR="006F0BB0" w:rsidRPr="006F0BB0" w:rsidRDefault="006F0BB0" w:rsidP="007D1DBA">
            <w:pPr>
              <w:jc w:val="right"/>
              <w:rPr>
                <w:sz w:val="18"/>
                <w:szCs w:val="18"/>
                <w:lang w:val="es-419" w:eastAsia="es-419"/>
              </w:rPr>
            </w:pPr>
            <w:r w:rsidRPr="006F0BB0">
              <w:rPr>
                <w:sz w:val="18"/>
                <w:szCs w:val="18"/>
                <w:lang w:val="es-419" w:eastAsia="es-419"/>
              </w:rPr>
              <w:t>743 876</w:t>
            </w:r>
          </w:p>
        </w:tc>
        <w:tc>
          <w:tcPr>
            <w:tcW w:w="1005" w:type="dxa"/>
            <w:tcBorders>
              <w:top w:val="nil"/>
              <w:left w:val="nil"/>
              <w:bottom w:val="single" w:sz="4" w:space="0" w:color="auto"/>
              <w:right w:val="single" w:sz="4" w:space="0" w:color="auto"/>
            </w:tcBorders>
            <w:shd w:val="clear" w:color="auto" w:fill="auto"/>
            <w:noWrap/>
            <w:hideMark/>
          </w:tcPr>
          <w:p w14:paraId="609EE4DD" w14:textId="77777777" w:rsidR="006F0BB0" w:rsidRPr="006F0BB0" w:rsidRDefault="006F0BB0" w:rsidP="007D1DBA">
            <w:pPr>
              <w:jc w:val="right"/>
              <w:rPr>
                <w:sz w:val="18"/>
                <w:szCs w:val="18"/>
                <w:lang w:val="es-419" w:eastAsia="es-419"/>
              </w:rPr>
            </w:pPr>
            <w:r w:rsidRPr="006F0BB0">
              <w:rPr>
                <w:sz w:val="18"/>
                <w:szCs w:val="18"/>
                <w:lang w:val="es-419" w:eastAsia="es-419"/>
              </w:rPr>
              <w:t>827 914</w:t>
            </w:r>
          </w:p>
        </w:tc>
        <w:tc>
          <w:tcPr>
            <w:tcW w:w="1181" w:type="dxa"/>
            <w:tcBorders>
              <w:top w:val="nil"/>
              <w:left w:val="nil"/>
              <w:bottom w:val="single" w:sz="4" w:space="0" w:color="auto"/>
              <w:right w:val="single" w:sz="4" w:space="0" w:color="auto"/>
            </w:tcBorders>
            <w:shd w:val="clear" w:color="auto" w:fill="auto"/>
            <w:noWrap/>
            <w:hideMark/>
          </w:tcPr>
          <w:p w14:paraId="4ABED617" w14:textId="77777777" w:rsidR="006F0BB0" w:rsidRPr="006F0BB0" w:rsidRDefault="006F0BB0" w:rsidP="007D1DBA">
            <w:pPr>
              <w:jc w:val="right"/>
              <w:rPr>
                <w:sz w:val="18"/>
                <w:szCs w:val="18"/>
                <w:lang w:val="es-419" w:eastAsia="es-419"/>
              </w:rPr>
            </w:pPr>
            <w:r w:rsidRPr="006F0BB0">
              <w:rPr>
                <w:sz w:val="18"/>
                <w:szCs w:val="18"/>
                <w:lang w:val="es-419" w:eastAsia="es-419"/>
              </w:rPr>
              <w:t>98,2%</w:t>
            </w:r>
          </w:p>
        </w:tc>
      </w:tr>
      <w:tr w:rsidR="006F0BB0" w:rsidRPr="006F0BB0" w14:paraId="0E416C97"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CB7576" w14:textId="77777777" w:rsidR="006F0BB0" w:rsidRPr="006F0BB0" w:rsidRDefault="006F0BB0" w:rsidP="007D1DBA">
            <w:pPr>
              <w:jc w:val="left"/>
              <w:rPr>
                <w:sz w:val="18"/>
                <w:szCs w:val="18"/>
                <w:lang w:val="es-419" w:eastAsia="es-419"/>
              </w:rPr>
            </w:pPr>
            <w:r w:rsidRPr="006F0BB0">
              <w:rPr>
                <w:sz w:val="18"/>
                <w:szCs w:val="18"/>
                <w:lang w:val="es-419" w:eastAsia="es-419"/>
              </w:rPr>
              <w:t>Albania</w:t>
            </w:r>
          </w:p>
        </w:tc>
        <w:tc>
          <w:tcPr>
            <w:tcW w:w="950" w:type="dxa"/>
            <w:tcBorders>
              <w:top w:val="nil"/>
              <w:left w:val="nil"/>
              <w:bottom w:val="single" w:sz="4" w:space="0" w:color="auto"/>
              <w:right w:val="single" w:sz="4" w:space="0" w:color="auto"/>
            </w:tcBorders>
            <w:shd w:val="clear" w:color="auto" w:fill="auto"/>
            <w:noWrap/>
            <w:hideMark/>
          </w:tcPr>
          <w:p w14:paraId="5065E331" w14:textId="77777777" w:rsidR="006F0BB0" w:rsidRPr="006F0BB0" w:rsidRDefault="006F0BB0" w:rsidP="007D1DBA">
            <w:pPr>
              <w:jc w:val="right"/>
              <w:rPr>
                <w:sz w:val="18"/>
                <w:szCs w:val="18"/>
                <w:lang w:val="es-419" w:eastAsia="es-419"/>
              </w:rPr>
            </w:pPr>
            <w:r w:rsidRPr="006F0BB0">
              <w:rPr>
                <w:sz w:val="18"/>
                <w:szCs w:val="18"/>
                <w:lang w:val="es-419" w:eastAsia="es-419"/>
              </w:rPr>
              <w:t>1 091 972</w:t>
            </w:r>
          </w:p>
        </w:tc>
        <w:tc>
          <w:tcPr>
            <w:tcW w:w="950" w:type="dxa"/>
            <w:tcBorders>
              <w:top w:val="nil"/>
              <w:left w:val="nil"/>
              <w:bottom w:val="single" w:sz="4" w:space="0" w:color="auto"/>
              <w:right w:val="single" w:sz="4" w:space="0" w:color="auto"/>
            </w:tcBorders>
            <w:shd w:val="clear" w:color="auto" w:fill="auto"/>
            <w:noWrap/>
            <w:hideMark/>
          </w:tcPr>
          <w:p w14:paraId="6FC9B8E6" w14:textId="77777777" w:rsidR="006F0BB0" w:rsidRPr="006F0BB0" w:rsidRDefault="006F0BB0" w:rsidP="007D1DBA">
            <w:pPr>
              <w:jc w:val="right"/>
              <w:rPr>
                <w:sz w:val="18"/>
                <w:szCs w:val="18"/>
                <w:lang w:val="es-419" w:eastAsia="es-419"/>
              </w:rPr>
            </w:pPr>
            <w:r w:rsidRPr="006F0BB0">
              <w:rPr>
                <w:sz w:val="18"/>
                <w:szCs w:val="18"/>
                <w:lang w:val="es-419" w:eastAsia="es-419"/>
              </w:rPr>
              <w:t>1 124 731</w:t>
            </w:r>
          </w:p>
        </w:tc>
        <w:tc>
          <w:tcPr>
            <w:tcW w:w="950" w:type="dxa"/>
            <w:tcBorders>
              <w:top w:val="nil"/>
              <w:left w:val="nil"/>
              <w:bottom w:val="single" w:sz="4" w:space="0" w:color="auto"/>
              <w:right w:val="single" w:sz="4" w:space="0" w:color="auto"/>
            </w:tcBorders>
            <w:shd w:val="clear" w:color="auto" w:fill="auto"/>
            <w:noWrap/>
            <w:hideMark/>
          </w:tcPr>
          <w:p w14:paraId="28C73130" w14:textId="77777777" w:rsidR="006F0BB0" w:rsidRPr="006F0BB0" w:rsidRDefault="006F0BB0" w:rsidP="007D1DBA">
            <w:pPr>
              <w:jc w:val="right"/>
              <w:rPr>
                <w:sz w:val="18"/>
                <w:szCs w:val="18"/>
                <w:lang w:val="es-419" w:eastAsia="es-419"/>
              </w:rPr>
            </w:pPr>
            <w:r w:rsidRPr="006F0BB0">
              <w:rPr>
                <w:sz w:val="18"/>
                <w:szCs w:val="18"/>
                <w:lang w:val="es-419" w:eastAsia="es-419"/>
              </w:rPr>
              <w:t>1 158 473</w:t>
            </w:r>
          </w:p>
        </w:tc>
        <w:tc>
          <w:tcPr>
            <w:tcW w:w="950" w:type="dxa"/>
            <w:tcBorders>
              <w:top w:val="nil"/>
              <w:left w:val="nil"/>
              <w:bottom w:val="single" w:sz="4" w:space="0" w:color="auto"/>
              <w:right w:val="single" w:sz="4" w:space="0" w:color="auto"/>
            </w:tcBorders>
            <w:shd w:val="clear" w:color="auto" w:fill="auto"/>
            <w:noWrap/>
            <w:hideMark/>
          </w:tcPr>
          <w:p w14:paraId="7CB6CBFC" w14:textId="77777777" w:rsidR="006F0BB0" w:rsidRPr="006F0BB0" w:rsidRDefault="006F0BB0" w:rsidP="007D1DBA">
            <w:pPr>
              <w:jc w:val="right"/>
              <w:rPr>
                <w:sz w:val="18"/>
                <w:szCs w:val="18"/>
                <w:lang w:val="es-419" w:eastAsia="es-419"/>
              </w:rPr>
            </w:pPr>
            <w:r w:rsidRPr="006F0BB0">
              <w:rPr>
                <w:sz w:val="18"/>
                <w:szCs w:val="18"/>
                <w:lang w:val="es-419" w:eastAsia="es-419"/>
              </w:rPr>
              <w:t>1 193 227</w:t>
            </w:r>
          </w:p>
        </w:tc>
        <w:tc>
          <w:tcPr>
            <w:tcW w:w="950" w:type="dxa"/>
            <w:tcBorders>
              <w:top w:val="nil"/>
              <w:left w:val="nil"/>
              <w:bottom w:val="single" w:sz="4" w:space="0" w:color="auto"/>
              <w:right w:val="single" w:sz="4" w:space="0" w:color="auto"/>
            </w:tcBorders>
            <w:shd w:val="clear" w:color="auto" w:fill="auto"/>
            <w:noWrap/>
            <w:hideMark/>
          </w:tcPr>
          <w:p w14:paraId="0BBC82AE" w14:textId="77777777" w:rsidR="006F0BB0" w:rsidRPr="006F0BB0" w:rsidRDefault="006F0BB0" w:rsidP="007D1DBA">
            <w:pPr>
              <w:jc w:val="right"/>
              <w:rPr>
                <w:sz w:val="18"/>
                <w:szCs w:val="18"/>
                <w:lang w:val="es-419" w:eastAsia="es-419"/>
              </w:rPr>
            </w:pPr>
            <w:r w:rsidRPr="006F0BB0">
              <w:rPr>
                <w:sz w:val="18"/>
                <w:szCs w:val="18"/>
                <w:lang w:val="es-419" w:eastAsia="es-419"/>
              </w:rPr>
              <w:t>1 229 024</w:t>
            </w:r>
          </w:p>
        </w:tc>
        <w:tc>
          <w:tcPr>
            <w:tcW w:w="950" w:type="dxa"/>
            <w:tcBorders>
              <w:top w:val="nil"/>
              <w:left w:val="nil"/>
              <w:bottom w:val="single" w:sz="4" w:space="0" w:color="auto"/>
              <w:right w:val="single" w:sz="4" w:space="0" w:color="auto"/>
            </w:tcBorders>
            <w:shd w:val="clear" w:color="auto" w:fill="auto"/>
            <w:noWrap/>
            <w:hideMark/>
          </w:tcPr>
          <w:p w14:paraId="59EDF1B3" w14:textId="77777777" w:rsidR="006F0BB0" w:rsidRPr="006F0BB0" w:rsidRDefault="006F0BB0" w:rsidP="007D1DBA">
            <w:pPr>
              <w:jc w:val="right"/>
              <w:rPr>
                <w:sz w:val="18"/>
                <w:szCs w:val="18"/>
                <w:lang w:val="es-419" w:eastAsia="es-419"/>
              </w:rPr>
            </w:pPr>
            <w:r w:rsidRPr="006F0BB0">
              <w:rPr>
                <w:sz w:val="18"/>
                <w:szCs w:val="18"/>
                <w:lang w:val="es-419" w:eastAsia="es-419"/>
              </w:rPr>
              <w:t>1 265 895</w:t>
            </w:r>
          </w:p>
        </w:tc>
        <w:tc>
          <w:tcPr>
            <w:tcW w:w="950" w:type="dxa"/>
            <w:tcBorders>
              <w:top w:val="nil"/>
              <w:left w:val="nil"/>
              <w:bottom w:val="single" w:sz="4" w:space="0" w:color="auto"/>
              <w:right w:val="single" w:sz="4" w:space="0" w:color="auto"/>
            </w:tcBorders>
            <w:shd w:val="clear" w:color="auto" w:fill="auto"/>
            <w:noWrap/>
            <w:hideMark/>
          </w:tcPr>
          <w:p w14:paraId="185E4B7A" w14:textId="77777777" w:rsidR="006F0BB0" w:rsidRPr="006F0BB0" w:rsidRDefault="006F0BB0" w:rsidP="007D1DBA">
            <w:pPr>
              <w:jc w:val="right"/>
              <w:rPr>
                <w:sz w:val="18"/>
                <w:szCs w:val="18"/>
                <w:lang w:val="es-419" w:eastAsia="es-419"/>
              </w:rPr>
            </w:pPr>
            <w:r w:rsidRPr="006F0BB0">
              <w:rPr>
                <w:sz w:val="18"/>
                <w:szCs w:val="18"/>
                <w:lang w:val="es-419" w:eastAsia="es-419"/>
              </w:rPr>
              <w:t>1 158 811</w:t>
            </w:r>
          </w:p>
        </w:tc>
        <w:tc>
          <w:tcPr>
            <w:tcW w:w="1005" w:type="dxa"/>
            <w:tcBorders>
              <w:top w:val="nil"/>
              <w:left w:val="nil"/>
              <w:bottom w:val="single" w:sz="4" w:space="0" w:color="auto"/>
              <w:right w:val="single" w:sz="4" w:space="0" w:color="auto"/>
            </w:tcBorders>
            <w:shd w:val="clear" w:color="auto" w:fill="auto"/>
            <w:noWrap/>
            <w:hideMark/>
          </w:tcPr>
          <w:p w14:paraId="74824CED" w14:textId="77777777" w:rsidR="006F0BB0" w:rsidRPr="006F0BB0" w:rsidRDefault="006F0BB0" w:rsidP="007D1DBA">
            <w:pPr>
              <w:jc w:val="right"/>
              <w:rPr>
                <w:sz w:val="18"/>
                <w:szCs w:val="18"/>
                <w:lang w:val="es-419" w:eastAsia="es-419"/>
              </w:rPr>
            </w:pPr>
            <w:r w:rsidRPr="006F0BB0">
              <w:rPr>
                <w:sz w:val="18"/>
                <w:szCs w:val="18"/>
                <w:lang w:val="es-419" w:eastAsia="es-419"/>
              </w:rPr>
              <w:t>1 285 899</w:t>
            </w:r>
          </w:p>
        </w:tc>
        <w:tc>
          <w:tcPr>
            <w:tcW w:w="1181" w:type="dxa"/>
            <w:tcBorders>
              <w:top w:val="nil"/>
              <w:left w:val="nil"/>
              <w:bottom w:val="single" w:sz="4" w:space="0" w:color="auto"/>
              <w:right w:val="single" w:sz="4" w:space="0" w:color="auto"/>
            </w:tcBorders>
            <w:shd w:val="clear" w:color="auto" w:fill="auto"/>
            <w:noWrap/>
            <w:hideMark/>
          </w:tcPr>
          <w:p w14:paraId="45CE167C" w14:textId="77777777" w:rsidR="006F0BB0" w:rsidRPr="006F0BB0" w:rsidRDefault="006F0BB0" w:rsidP="007D1DBA">
            <w:pPr>
              <w:jc w:val="right"/>
              <w:rPr>
                <w:sz w:val="18"/>
                <w:szCs w:val="18"/>
                <w:lang w:val="es-419" w:eastAsia="es-419"/>
              </w:rPr>
            </w:pPr>
            <w:r w:rsidRPr="006F0BB0">
              <w:rPr>
                <w:sz w:val="18"/>
                <w:szCs w:val="18"/>
                <w:lang w:val="es-419" w:eastAsia="es-419"/>
              </w:rPr>
              <w:t>98,4%</w:t>
            </w:r>
          </w:p>
        </w:tc>
      </w:tr>
      <w:tr w:rsidR="006F0BB0" w:rsidRPr="006F0BB0" w14:paraId="1FF2D9B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EF92A7" w14:textId="77777777" w:rsidR="006F0BB0" w:rsidRPr="006F0BB0" w:rsidRDefault="006F0BB0" w:rsidP="007D1DBA">
            <w:pPr>
              <w:jc w:val="left"/>
              <w:rPr>
                <w:sz w:val="18"/>
                <w:szCs w:val="18"/>
                <w:lang w:val="es-419" w:eastAsia="es-419"/>
              </w:rPr>
            </w:pPr>
            <w:r w:rsidRPr="006F0BB0">
              <w:rPr>
                <w:sz w:val="18"/>
                <w:szCs w:val="18"/>
                <w:lang w:val="es-419" w:eastAsia="es-419"/>
              </w:rPr>
              <w:t>Comoras</w:t>
            </w:r>
          </w:p>
        </w:tc>
        <w:tc>
          <w:tcPr>
            <w:tcW w:w="950" w:type="dxa"/>
            <w:tcBorders>
              <w:top w:val="nil"/>
              <w:left w:val="nil"/>
              <w:bottom w:val="single" w:sz="4" w:space="0" w:color="auto"/>
              <w:right w:val="single" w:sz="4" w:space="0" w:color="auto"/>
            </w:tcBorders>
            <w:shd w:val="clear" w:color="auto" w:fill="auto"/>
            <w:noWrap/>
            <w:hideMark/>
          </w:tcPr>
          <w:p w14:paraId="47D9FA8B" w14:textId="77777777" w:rsidR="006F0BB0" w:rsidRPr="006F0BB0" w:rsidRDefault="006F0BB0" w:rsidP="007D1DBA">
            <w:pPr>
              <w:jc w:val="right"/>
              <w:rPr>
                <w:sz w:val="18"/>
                <w:szCs w:val="18"/>
                <w:lang w:val="es-419" w:eastAsia="es-419"/>
              </w:rPr>
            </w:pPr>
            <w:r w:rsidRPr="006F0BB0">
              <w:rPr>
                <w:sz w:val="18"/>
                <w:szCs w:val="18"/>
                <w:lang w:val="es-419" w:eastAsia="es-419"/>
              </w:rPr>
              <w:t>34 149</w:t>
            </w:r>
          </w:p>
        </w:tc>
        <w:tc>
          <w:tcPr>
            <w:tcW w:w="950" w:type="dxa"/>
            <w:tcBorders>
              <w:top w:val="nil"/>
              <w:left w:val="nil"/>
              <w:bottom w:val="single" w:sz="4" w:space="0" w:color="auto"/>
              <w:right w:val="single" w:sz="4" w:space="0" w:color="auto"/>
            </w:tcBorders>
            <w:shd w:val="clear" w:color="auto" w:fill="auto"/>
            <w:noWrap/>
            <w:hideMark/>
          </w:tcPr>
          <w:p w14:paraId="106D734D" w14:textId="77777777" w:rsidR="006F0BB0" w:rsidRPr="006F0BB0" w:rsidRDefault="006F0BB0" w:rsidP="007D1DBA">
            <w:pPr>
              <w:jc w:val="right"/>
              <w:rPr>
                <w:sz w:val="18"/>
                <w:szCs w:val="18"/>
                <w:lang w:val="es-419" w:eastAsia="es-419"/>
              </w:rPr>
            </w:pPr>
            <w:r w:rsidRPr="006F0BB0">
              <w:rPr>
                <w:sz w:val="18"/>
                <w:szCs w:val="18"/>
                <w:lang w:val="es-419" w:eastAsia="es-419"/>
              </w:rPr>
              <w:t>35 173</w:t>
            </w:r>
          </w:p>
        </w:tc>
        <w:tc>
          <w:tcPr>
            <w:tcW w:w="950" w:type="dxa"/>
            <w:tcBorders>
              <w:top w:val="nil"/>
              <w:left w:val="nil"/>
              <w:bottom w:val="single" w:sz="4" w:space="0" w:color="auto"/>
              <w:right w:val="single" w:sz="4" w:space="0" w:color="auto"/>
            </w:tcBorders>
            <w:shd w:val="clear" w:color="auto" w:fill="auto"/>
            <w:noWrap/>
            <w:hideMark/>
          </w:tcPr>
          <w:p w14:paraId="51ED0B6A" w14:textId="77777777" w:rsidR="006F0BB0" w:rsidRPr="006F0BB0" w:rsidRDefault="006F0BB0" w:rsidP="007D1DBA">
            <w:pPr>
              <w:jc w:val="right"/>
              <w:rPr>
                <w:sz w:val="18"/>
                <w:szCs w:val="18"/>
                <w:lang w:val="es-419" w:eastAsia="es-419"/>
              </w:rPr>
            </w:pPr>
            <w:r w:rsidRPr="006F0BB0">
              <w:rPr>
                <w:sz w:val="18"/>
                <w:szCs w:val="18"/>
                <w:lang w:val="es-419" w:eastAsia="es-419"/>
              </w:rPr>
              <w:t>36 229</w:t>
            </w:r>
          </w:p>
        </w:tc>
        <w:tc>
          <w:tcPr>
            <w:tcW w:w="950" w:type="dxa"/>
            <w:tcBorders>
              <w:top w:val="nil"/>
              <w:left w:val="nil"/>
              <w:bottom w:val="single" w:sz="4" w:space="0" w:color="auto"/>
              <w:right w:val="single" w:sz="4" w:space="0" w:color="auto"/>
            </w:tcBorders>
            <w:shd w:val="clear" w:color="auto" w:fill="auto"/>
            <w:noWrap/>
            <w:hideMark/>
          </w:tcPr>
          <w:p w14:paraId="0DDBD56D" w14:textId="77777777" w:rsidR="006F0BB0" w:rsidRPr="006F0BB0" w:rsidRDefault="006F0BB0" w:rsidP="007D1DBA">
            <w:pPr>
              <w:jc w:val="right"/>
              <w:rPr>
                <w:sz w:val="18"/>
                <w:szCs w:val="18"/>
                <w:lang w:val="es-419" w:eastAsia="es-419"/>
              </w:rPr>
            </w:pPr>
            <w:r w:rsidRPr="006F0BB0">
              <w:rPr>
                <w:sz w:val="18"/>
                <w:szCs w:val="18"/>
                <w:lang w:val="es-419" w:eastAsia="es-419"/>
              </w:rPr>
              <w:t>37 316</w:t>
            </w:r>
          </w:p>
        </w:tc>
        <w:tc>
          <w:tcPr>
            <w:tcW w:w="950" w:type="dxa"/>
            <w:tcBorders>
              <w:top w:val="nil"/>
              <w:left w:val="nil"/>
              <w:bottom w:val="single" w:sz="4" w:space="0" w:color="auto"/>
              <w:right w:val="single" w:sz="4" w:space="0" w:color="auto"/>
            </w:tcBorders>
            <w:shd w:val="clear" w:color="auto" w:fill="auto"/>
            <w:noWrap/>
            <w:hideMark/>
          </w:tcPr>
          <w:p w14:paraId="45976A00" w14:textId="77777777" w:rsidR="006F0BB0" w:rsidRPr="006F0BB0" w:rsidRDefault="006F0BB0" w:rsidP="007D1DBA">
            <w:pPr>
              <w:jc w:val="right"/>
              <w:rPr>
                <w:sz w:val="18"/>
                <w:szCs w:val="18"/>
                <w:lang w:val="es-419" w:eastAsia="es-419"/>
              </w:rPr>
            </w:pPr>
            <w:r w:rsidRPr="006F0BB0">
              <w:rPr>
                <w:sz w:val="18"/>
                <w:szCs w:val="18"/>
                <w:lang w:val="es-419" w:eastAsia="es-419"/>
              </w:rPr>
              <w:t>38 435</w:t>
            </w:r>
          </w:p>
        </w:tc>
        <w:tc>
          <w:tcPr>
            <w:tcW w:w="950" w:type="dxa"/>
            <w:tcBorders>
              <w:top w:val="nil"/>
              <w:left w:val="nil"/>
              <w:bottom w:val="single" w:sz="4" w:space="0" w:color="auto"/>
              <w:right w:val="single" w:sz="4" w:space="0" w:color="auto"/>
            </w:tcBorders>
            <w:shd w:val="clear" w:color="auto" w:fill="auto"/>
            <w:noWrap/>
            <w:hideMark/>
          </w:tcPr>
          <w:p w14:paraId="5CCA4CB4" w14:textId="77777777" w:rsidR="006F0BB0" w:rsidRPr="006F0BB0" w:rsidRDefault="006F0BB0" w:rsidP="007D1DBA">
            <w:pPr>
              <w:jc w:val="right"/>
              <w:rPr>
                <w:sz w:val="18"/>
                <w:szCs w:val="18"/>
                <w:lang w:val="es-419" w:eastAsia="es-419"/>
              </w:rPr>
            </w:pPr>
            <w:r w:rsidRPr="006F0BB0">
              <w:rPr>
                <w:sz w:val="18"/>
                <w:szCs w:val="18"/>
                <w:lang w:val="es-419" w:eastAsia="es-419"/>
              </w:rPr>
              <w:t>39 588</w:t>
            </w:r>
          </w:p>
        </w:tc>
        <w:tc>
          <w:tcPr>
            <w:tcW w:w="950" w:type="dxa"/>
            <w:tcBorders>
              <w:top w:val="nil"/>
              <w:left w:val="nil"/>
              <w:bottom w:val="single" w:sz="4" w:space="0" w:color="auto"/>
              <w:right w:val="single" w:sz="4" w:space="0" w:color="auto"/>
            </w:tcBorders>
            <w:shd w:val="clear" w:color="auto" w:fill="auto"/>
            <w:noWrap/>
            <w:hideMark/>
          </w:tcPr>
          <w:p w14:paraId="57ED72E6" w14:textId="77777777" w:rsidR="006F0BB0" w:rsidRPr="006F0BB0" w:rsidRDefault="006F0BB0" w:rsidP="007D1DBA">
            <w:pPr>
              <w:jc w:val="right"/>
              <w:rPr>
                <w:sz w:val="18"/>
                <w:szCs w:val="18"/>
                <w:lang w:val="es-419" w:eastAsia="es-419"/>
              </w:rPr>
            </w:pPr>
            <w:r w:rsidRPr="006F0BB0">
              <w:rPr>
                <w:sz w:val="18"/>
                <w:szCs w:val="18"/>
                <w:lang w:val="es-419" w:eastAsia="es-419"/>
              </w:rPr>
              <w:t>36 239</w:t>
            </w:r>
          </w:p>
        </w:tc>
        <w:tc>
          <w:tcPr>
            <w:tcW w:w="1005" w:type="dxa"/>
            <w:tcBorders>
              <w:top w:val="nil"/>
              <w:left w:val="nil"/>
              <w:bottom w:val="single" w:sz="4" w:space="0" w:color="auto"/>
              <w:right w:val="single" w:sz="4" w:space="0" w:color="auto"/>
            </w:tcBorders>
            <w:shd w:val="clear" w:color="auto" w:fill="auto"/>
            <w:noWrap/>
            <w:hideMark/>
          </w:tcPr>
          <w:p w14:paraId="4B5DD5C5" w14:textId="77777777" w:rsidR="006F0BB0" w:rsidRPr="006F0BB0" w:rsidRDefault="006F0BB0" w:rsidP="007D1DBA">
            <w:pPr>
              <w:jc w:val="right"/>
              <w:rPr>
                <w:sz w:val="18"/>
                <w:szCs w:val="18"/>
                <w:lang w:val="es-419" w:eastAsia="es-419"/>
              </w:rPr>
            </w:pPr>
            <w:r w:rsidRPr="006F0BB0">
              <w:rPr>
                <w:sz w:val="18"/>
                <w:szCs w:val="18"/>
                <w:lang w:val="es-419" w:eastAsia="es-419"/>
              </w:rPr>
              <w:t>39 157</w:t>
            </w:r>
          </w:p>
        </w:tc>
        <w:tc>
          <w:tcPr>
            <w:tcW w:w="1181" w:type="dxa"/>
            <w:tcBorders>
              <w:top w:val="nil"/>
              <w:left w:val="nil"/>
              <w:bottom w:val="single" w:sz="4" w:space="0" w:color="auto"/>
              <w:right w:val="single" w:sz="4" w:space="0" w:color="auto"/>
            </w:tcBorders>
            <w:shd w:val="clear" w:color="auto" w:fill="auto"/>
            <w:noWrap/>
            <w:hideMark/>
          </w:tcPr>
          <w:p w14:paraId="69DEB5D7" w14:textId="77777777" w:rsidR="006F0BB0" w:rsidRPr="006F0BB0" w:rsidRDefault="006F0BB0" w:rsidP="007D1DBA">
            <w:pPr>
              <w:jc w:val="right"/>
              <w:rPr>
                <w:sz w:val="18"/>
                <w:szCs w:val="18"/>
                <w:lang w:val="es-419" w:eastAsia="es-419"/>
              </w:rPr>
            </w:pPr>
            <w:r w:rsidRPr="006F0BB0">
              <w:rPr>
                <w:sz w:val="18"/>
                <w:szCs w:val="18"/>
                <w:lang w:val="es-419" w:eastAsia="es-419"/>
              </w:rPr>
              <w:t>101,1%</w:t>
            </w:r>
          </w:p>
        </w:tc>
      </w:tr>
      <w:tr w:rsidR="006F0BB0" w:rsidRPr="006F0BB0" w14:paraId="34353CE2"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29613F2" w14:textId="77777777" w:rsidR="006F0BB0" w:rsidRPr="006F0BB0" w:rsidRDefault="006F0BB0" w:rsidP="007D1DBA">
            <w:pPr>
              <w:jc w:val="left"/>
              <w:rPr>
                <w:sz w:val="18"/>
                <w:szCs w:val="18"/>
                <w:lang w:val="es-419" w:eastAsia="es-419"/>
              </w:rPr>
            </w:pPr>
            <w:r w:rsidRPr="006F0BB0">
              <w:rPr>
                <w:sz w:val="18"/>
                <w:szCs w:val="18"/>
                <w:lang w:val="es-419" w:eastAsia="es-419"/>
              </w:rPr>
              <w:t>Qatar</w:t>
            </w:r>
          </w:p>
        </w:tc>
        <w:tc>
          <w:tcPr>
            <w:tcW w:w="950" w:type="dxa"/>
            <w:tcBorders>
              <w:top w:val="nil"/>
              <w:left w:val="nil"/>
              <w:bottom w:val="single" w:sz="4" w:space="0" w:color="auto"/>
              <w:right w:val="single" w:sz="4" w:space="0" w:color="auto"/>
            </w:tcBorders>
            <w:shd w:val="clear" w:color="auto" w:fill="auto"/>
            <w:noWrap/>
            <w:hideMark/>
          </w:tcPr>
          <w:p w14:paraId="1288110B" w14:textId="77777777" w:rsidR="006F0BB0" w:rsidRPr="006F0BB0" w:rsidRDefault="006F0BB0" w:rsidP="007D1DBA">
            <w:pPr>
              <w:jc w:val="right"/>
              <w:rPr>
                <w:sz w:val="18"/>
                <w:szCs w:val="18"/>
                <w:lang w:val="es-419" w:eastAsia="es-419"/>
              </w:rPr>
            </w:pPr>
            <w:r w:rsidRPr="006F0BB0">
              <w:rPr>
                <w:sz w:val="18"/>
                <w:szCs w:val="18"/>
                <w:lang w:val="es-419" w:eastAsia="es-419"/>
              </w:rPr>
              <w:t>21 878 613</w:t>
            </w:r>
          </w:p>
        </w:tc>
        <w:tc>
          <w:tcPr>
            <w:tcW w:w="950" w:type="dxa"/>
            <w:tcBorders>
              <w:top w:val="nil"/>
              <w:left w:val="nil"/>
              <w:bottom w:val="single" w:sz="4" w:space="0" w:color="auto"/>
              <w:right w:val="single" w:sz="4" w:space="0" w:color="auto"/>
            </w:tcBorders>
            <w:shd w:val="clear" w:color="auto" w:fill="auto"/>
            <w:noWrap/>
            <w:hideMark/>
          </w:tcPr>
          <w:p w14:paraId="09029C94" w14:textId="77777777" w:rsidR="006F0BB0" w:rsidRPr="006F0BB0" w:rsidRDefault="006F0BB0" w:rsidP="007D1DBA">
            <w:pPr>
              <w:jc w:val="right"/>
              <w:rPr>
                <w:sz w:val="18"/>
                <w:szCs w:val="18"/>
                <w:lang w:val="es-419" w:eastAsia="es-419"/>
              </w:rPr>
            </w:pPr>
            <w:r w:rsidRPr="006F0BB0">
              <w:rPr>
                <w:sz w:val="18"/>
                <w:szCs w:val="18"/>
                <w:lang w:val="es-419" w:eastAsia="es-419"/>
              </w:rPr>
              <w:t>22 534 971</w:t>
            </w:r>
          </w:p>
        </w:tc>
        <w:tc>
          <w:tcPr>
            <w:tcW w:w="950" w:type="dxa"/>
            <w:tcBorders>
              <w:top w:val="nil"/>
              <w:left w:val="nil"/>
              <w:bottom w:val="single" w:sz="4" w:space="0" w:color="auto"/>
              <w:right w:val="single" w:sz="4" w:space="0" w:color="auto"/>
            </w:tcBorders>
            <w:shd w:val="clear" w:color="auto" w:fill="auto"/>
            <w:noWrap/>
            <w:hideMark/>
          </w:tcPr>
          <w:p w14:paraId="443D9B7A" w14:textId="77777777" w:rsidR="006F0BB0" w:rsidRPr="006F0BB0" w:rsidRDefault="006F0BB0" w:rsidP="007D1DBA">
            <w:pPr>
              <w:jc w:val="right"/>
              <w:rPr>
                <w:sz w:val="18"/>
                <w:szCs w:val="18"/>
                <w:lang w:val="es-419" w:eastAsia="es-419"/>
              </w:rPr>
            </w:pPr>
            <w:r w:rsidRPr="006F0BB0">
              <w:rPr>
                <w:sz w:val="18"/>
                <w:szCs w:val="18"/>
                <w:lang w:val="es-419" w:eastAsia="es-419"/>
              </w:rPr>
              <w:t>23 211 020</w:t>
            </w:r>
          </w:p>
        </w:tc>
        <w:tc>
          <w:tcPr>
            <w:tcW w:w="950" w:type="dxa"/>
            <w:tcBorders>
              <w:top w:val="nil"/>
              <w:left w:val="nil"/>
              <w:bottom w:val="single" w:sz="4" w:space="0" w:color="auto"/>
              <w:right w:val="single" w:sz="4" w:space="0" w:color="auto"/>
            </w:tcBorders>
            <w:shd w:val="clear" w:color="auto" w:fill="auto"/>
            <w:noWrap/>
            <w:hideMark/>
          </w:tcPr>
          <w:p w14:paraId="0A827CA0" w14:textId="77777777" w:rsidR="006F0BB0" w:rsidRPr="006F0BB0" w:rsidRDefault="006F0BB0" w:rsidP="007D1DBA">
            <w:pPr>
              <w:jc w:val="right"/>
              <w:rPr>
                <w:sz w:val="18"/>
                <w:szCs w:val="18"/>
                <w:lang w:val="es-419" w:eastAsia="es-419"/>
              </w:rPr>
            </w:pPr>
            <w:r w:rsidRPr="006F0BB0">
              <w:rPr>
                <w:sz w:val="18"/>
                <w:szCs w:val="18"/>
                <w:lang w:val="es-419" w:eastAsia="es-419"/>
              </w:rPr>
              <w:t>23 907 351</w:t>
            </w:r>
          </w:p>
        </w:tc>
        <w:tc>
          <w:tcPr>
            <w:tcW w:w="950" w:type="dxa"/>
            <w:tcBorders>
              <w:top w:val="nil"/>
              <w:left w:val="nil"/>
              <w:bottom w:val="single" w:sz="4" w:space="0" w:color="auto"/>
              <w:right w:val="single" w:sz="4" w:space="0" w:color="auto"/>
            </w:tcBorders>
            <w:shd w:val="clear" w:color="auto" w:fill="auto"/>
            <w:noWrap/>
            <w:hideMark/>
          </w:tcPr>
          <w:p w14:paraId="4AF3CFC7" w14:textId="77777777" w:rsidR="006F0BB0" w:rsidRPr="006F0BB0" w:rsidRDefault="006F0BB0" w:rsidP="007D1DBA">
            <w:pPr>
              <w:jc w:val="right"/>
              <w:rPr>
                <w:sz w:val="18"/>
                <w:szCs w:val="18"/>
                <w:lang w:val="es-419" w:eastAsia="es-419"/>
              </w:rPr>
            </w:pPr>
            <w:r w:rsidRPr="006F0BB0">
              <w:rPr>
                <w:sz w:val="18"/>
                <w:szCs w:val="18"/>
                <w:lang w:val="es-419" w:eastAsia="es-419"/>
              </w:rPr>
              <w:t>24 624 571</w:t>
            </w:r>
          </w:p>
        </w:tc>
        <w:tc>
          <w:tcPr>
            <w:tcW w:w="950" w:type="dxa"/>
            <w:tcBorders>
              <w:top w:val="nil"/>
              <w:left w:val="nil"/>
              <w:bottom w:val="single" w:sz="4" w:space="0" w:color="auto"/>
              <w:right w:val="single" w:sz="4" w:space="0" w:color="auto"/>
            </w:tcBorders>
            <w:shd w:val="clear" w:color="auto" w:fill="auto"/>
            <w:noWrap/>
            <w:hideMark/>
          </w:tcPr>
          <w:p w14:paraId="0676F457" w14:textId="77777777" w:rsidR="006F0BB0" w:rsidRPr="006F0BB0" w:rsidRDefault="006F0BB0" w:rsidP="007D1DBA">
            <w:pPr>
              <w:jc w:val="right"/>
              <w:rPr>
                <w:sz w:val="18"/>
                <w:szCs w:val="18"/>
                <w:lang w:val="es-419" w:eastAsia="es-419"/>
              </w:rPr>
            </w:pPr>
            <w:r w:rsidRPr="006F0BB0">
              <w:rPr>
                <w:sz w:val="18"/>
                <w:szCs w:val="18"/>
                <w:lang w:val="es-419" w:eastAsia="es-419"/>
              </w:rPr>
              <w:t>25 363 309</w:t>
            </w:r>
          </w:p>
        </w:tc>
        <w:tc>
          <w:tcPr>
            <w:tcW w:w="950" w:type="dxa"/>
            <w:tcBorders>
              <w:top w:val="nil"/>
              <w:left w:val="nil"/>
              <w:bottom w:val="single" w:sz="4" w:space="0" w:color="auto"/>
              <w:right w:val="single" w:sz="4" w:space="0" w:color="auto"/>
            </w:tcBorders>
            <w:shd w:val="clear" w:color="auto" w:fill="auto"/>
            <w:noWrap/>
            <w:hideMark/>
          </w:tcPr>
          <w:p w14:paraId="1C88686D" w14:textId="77777777" w:rsidR="006F0BB0" w:rsidRPr="006F0BB0" w:rsidRDefault="006F0BB0" w:rsidP="007D1DBA">
            <w:pPr>
              <w:jc w:val="right"/>
              <w:rPr>
                <w:sz w:val="18"/>
                <w:szCs w:val="18"/>
                <w:lang w:val="es-419" w:eastAsia="es-419"/>
              </w:rPr>
            </w:pPr>
            <w:r w:rsidRPr="006F0BB0">
              <w:rPr>
                <w:sz w:val="18"/>
                <w:szCs w:val="18"/>
                <w:lang w:val="es-419" w:eastAsia="es-419"/>
              </w:rPr>
              <w:t>23 217 781</w:t>
            </w:r>
          </w:p>
        </w:tc>
        <w:tc>
          <w:tcPr>
            <w:tcW w:w="1005" w:type="dxa"/>
            <w:tcBorders>
              <w:top w:val="nil"/>
              <w:left w:val="nil"/>
              <w:bottom w:val="single" w:sz="4" w:space="0" w:color="auto"/>
              <w:right w:val="single" w:sz="4" w:space="0" w:color="auto"/>
            </w:tcBorders>
            <w:shd w:val="clear" w:color="auto" w:fill="auto"/>
            <w:noWrap/>
            <w:hideMark/>
          </w:tcPr>
          <w:p w14:paraId="381AE7A1" w14:textId="77777777" w:rsidR="006F0BB0" w:rsidRPr="006F0BB0" w:rsidRDefault="006F0BB0" w:rsidP="007D1DBA">
            <w:pPr>
              <w:jc w:val="right"/>
              <w:rPr>
                <w:sz w:val="18"/>
                <w:szCs w:val="18"/>
                <w:lang w:val="es-419" w:eastAsia="es-419"/>
              </w:rPr>
            </w:pPr>
            <w:r w:rsidRPr="006F0BB0">
              <w:rPr>
                <w:sz w:val="18"/>
                <w:szCs w:val="18"/>
                <w:lang w:val="es-419" w:eastAsia="es-419"/>
              </w:rPr>
              <w:t>25 085 610</w:t>
            </w:r>
          </w:p>
        </w:tc>
        <w:tc>
          <w:tcPr>
            <w:tcW w:w="1181" w:type="dxa"/>
            <w:tcBorders>
              <w:top w:val="nil"/>
              <w:left w:val="nil"/>
              <w:bottom w:val="single" w:sz="4" w:space="0" w:color="auto"/>
              <w:right w:val="single" w:sz="4" w:space="0" w:color="auto"/>
            </w:tcBorders>
            <w:shd w:val="clear" w:color="auto" w:fill="auto"/>
            <w:noWrap/>
            <w:hideMark/>
          </w:tcPr>
          <w:p w14:paraId="7B34D0A5" w14:textId="77777777" w:rsidR="006F0BB0" w:rsidRPr="006F0BB0" w:rsidRDefault="006F0BB0" w:rsidP="007D1DBA">
            <w:pPr>
              <w:jc w:val="right"/>
              <w:rPr>
                <w:sz w:val="18"/>
                <w:szCs w:val="18"/>
                <w:lang w:val="es-419" w:eastAsia="es-419"/>
              </w:rPr>
            </w:pPr>
            <w:r w:rsidRPr="006F0BB0">
              <w:rPr>
                <w:sz w:val="18"/>
                <w:szCs w:val="18"/>
                <w:lang w:val="es-419" w:eastAsia="es-419"/>
              </w:rPr>
              <w:t>101,1%</w:t>
            </w:r>
          </w:p>
        </w:tc>
      </w:tr>
      <w:tr w:rsidR="006F0BB0" w:rsidRPr="006F0BB0" w14:paraId="267F5889"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96D7627" w14:textId="77777777" w:rsidR="006F0BB0" w:rsidRPr="006F0BB0" w:rsidRDefault="006F0BB0" w:rsidP="007D1DBA">
            <w:pPr>
              <w:jc w:val="left"/>
              <w:rPr>
                <w:sz w:val="18"/>
                <w:szCs w:val="18"/>
                <w:lang w:val="es-419" w:eastAsia="es-419"/>
              </w:rPr>
            </w:pPr>
            <w:r w:rsidRPr="006F0BB0">
              <w:rPr>
                <w:sz w:val="18"/>
                <w:szCs w:val="18"/>
                <w:lang w:val="es-419" w:eastAsia="es-419"/>
              </w:rPr>
              <w:t>Montenegro</w:t>
            </w:r>
          </w:p>
        </w:tc>
        <w:tc>
          <w:tcPr>
            <w:tcW w:w="950" w:type="dxa"/>
            <w:tcBorders>
              <w:top w:val="nil"/>
              <w:left w:val="nil"/>
              <w:bottom w:val="single" w:sz="4" w:space="0" w:color="auto"/>
              <w:right w:val="single" w:sz="4" w:space="0" w:color="auto"/>
            </w:tcBorders>
            <w:shd w:val="clear" w:color="auto" w:fill="auto"/>
            <w:noWrap/>
            <w:hideMark/>
          </w:tcPr>
          <w:p w14:paraId="775A9E04" w14:textId="77777777" w:rsidR="006F0BB0" w:rsidRPr="006F0BB0" w:rsidRDefault="006F0BB0" w:rsidP="007D1DBA">
            <w:pPr>
              <w:jc w:val="right"/>
              <w:rPr>
                <w:sz w:val="18"/>
                <w:szCs w:val="18"/>
                <w:lang w:val="es-419" w:eastAsia="es-419"/>
              </w:rPr>
            </w:pPr>
            <w:r w:rsidRPr="006F0BB0">
              <w:rPr>
                <w:sz w:val="18"/>
                <w:szCs w:val="18"/>
                <w:lang w:val="es-419" w:eastAsia="es-419"/>
              </w:rPr>
              <w:t>192 898</w:t>
            </w:r>
          </w:p>
        </w:tc>
        <w:tc>
          <w:tcPr>
            <w:tcW w:w="950" w:type="dxa"/>
            <w:tcBorders>
              <w:top w:val="nil"/>
              <w:left w:val="nil"/>
              <w:bottom w:val="single" w:sz="4" w:space="0" w:color="auto"/>
              <w:right w:val="single" w:sz="4" w:space="0" w:color="auto"/>
            </w:tcBorders>
            <w:shd w:val="clear" w:color="auto" w:fill="auto"/>
            <w:noWrap/>
            <w:hideMark/>
          </w:tcPr>
          <w:p w14:paraId="6A6CF65D" w14:textId="77777777" w:rsidR="006F0BB0" w:rsidRPr="006F0BB0" w:rsidRDefault="006F0BB0" w:rsidP="007D1DBA">
            <w:pPr>
              <w:jc w:val="right"/>
              <w:rPr>
                <w:sz w:val="18"/>
                <w:szCs w:val="18"/>
                <w:lang w:val="es-419" w:eastAsia="es-419"/>
              </w:rPr>
            </w:pPr>
            <w:r w:rsidRPr="006F0BB0">
              <w:rPr>
                <w:sz w:val="18"/>
                <w:szCs w:val="18"/>
                <w:lang w:val="es-419" w:eastAsia="es-419"/>
              </w:rPr>
              <w:t>198 685</w:t>
            </w:r>
          </w:p>
        </w:tc>
        <w:tc>
          <w:tcPr>
            <w:tcW w:w="950" w:type="dxa"/>
            <w:tcBorders>
              <w:top w:val="nil"/>
              <w:left w:val="nil"/>
              <w:bottom w:val="single" w:sz="4" w:space="0" w:color="auto"/>
              <w:right w:val="single" w:sz="4" w:space="0" w:color="auto"/>
            </w:tcBorders>
            <w:shd w:val="clear" w:color="auto" w:fill="auto"/>
            <w:noWrap/>
            <w:hideMark/>
          </w:tcPr>
          <w:p w14:paraId="713431D0" w14:textId="77777777" w:rsidR="006F0BB0" w:rsidRPr="006F0BB0" w:rsidRDefault="006F0BB0" w:rsidP="007D1DBA">
            <w:pPr>
              <w:jc w:val="right"/>
              <w:rPr>
                <w:sz w:val="18"/>
                <w:szCs w:val="18"/>
                <w:lang w:val="es-419" w:eastAsia="es-419"/>
              </w:rPr>
            </w:pPr>
            <w:r w:rsidRPr="006F0BB0">
              <w:rPr>
                <w:sz w:val="18"/>
                <w:szCs w:val="18"/>
                <w:lang w:val="es-419" w:eastAsia="es-419"/>
              </w:rPr>
              <w:t>204 645</w:t>
            </w:r>
          </w:p>
        </w:tc>
        <w:tc>
          <w:tcPr>
            <w:tcW w:w="950" w:type="dxa"/>
            <w:tcBorders>
              <w:top w:val="nil"/>
              <w:left w:val="nil"/>
              <w:bottom w:val="single" w:sz="4" w:space="0" w:color="auto"/>
              <w:right w:val="single" w:sz="4" w:space="0" w:color="auto"/>
            </w:tcBorders>
            <w:shd w:val="clear" w:color="auto" w:fill="auto"/>
            <w:noWrap/>
            <w:hideMark/>
          </w:tcPr>
          <w:p w14:paraId="7A67E535" w14:textId="77777777" w:rsidR="006F0BB0" w:rsidRPr="006F0BB0" w:rsidRDefault="006F0BB0" w:rsidP="007D1DBA">
            <w:pPr>
              <w:jc w:val="right"/>
              <w:rPr>
                <w:sz w:val="18"/>
                <w:szCs w:val="18"/>
                <w:lang w:val="es-419" w:eastAsia="es-419"/>
              </w:rPr>
            </w:pPr>
            <w:r w:rsidRPr="006F0BB0">
              <w:rPr>
                <w:sz w:val="18"/>
                <w:szCs w:val="18"/>
                <w:lang w:val="es-419" w:eastAsia="es-419"/>
              </w:rPr>
              <w:t>210 785</w:t>
            </w:r>
          </w:p>
        </w:tc>
        <w:tc>
          <w:tcPr>
            <w:tcW w:w="950" w:type="dxa"/>
            <w:tcBorders>
              <w:top w:val="nil"/>
              <w:left w:val="nil"/>
              <w:bottom w:val="single" w:sz="4" w:space="0" w:color="auto"/>
              <w:right w:val="single" w:sz="4" w:space="0" w:color="auto"/>
            </w:tcBorders>
            <w:shd w:val="clear" w:color="auto" w:fill="auto"/>
            <w:noWrap/>
            <w:hideMark/>
          </w:tcPr>
          <w:p w14:paraId="7ED10AC6" w14:textId="77777777" w:rsidR="006F0BB0" w:rsidRPr="006F0BB0" w:rsidRDefault="006F0BB0" w:rsidP="007D1DBA">
            <w:pPr>
              <w:jc w:val="right"/>
              <w:rPr>
                <w:sz w:val="18"/>
                <w:szCs w:val="18"/>
                <w:lang w:val="es-419" w:eastAsia="es-419"/>
              </w:rPr>
            </w:pPr>
            <w:r w:rsidRPr="006F0BB0">
              <w:rPr>
                <w:sz w:val="18"/>
                <w:szCs w:val="18"/>
                <w:lang w:val="es-419" w:eastAsia="es-419"/>
              </w:rPr>
              <w:t>217 108</w:t>
            </w:r>
          </w:p>
        </w:tc>
        <w:tc>
          <w:tcPr>
            <w:tcW w:w="950" w:type="dxa"/>
            <w:tcBorders>
              <w:top w:val="nil"/>
              <w:left w:val="nil"/>
              <w:bottom w:val="single" w:sz="4" w:space="0" w:color="auto"/>
              <w:right w:val="single" w:sz="4" w:space="0" w:color="auto"/>
            </w:tcBorders>
            <w:shd w:val="clear" w:color="auto" w:fill="auto"/>
            <w:noWrap/>
            <w:hideMark/>
          </w:tcPr>
          <w:p w14:paraId="34975D1E" w14:textId="77777777" w:rsidR="006F0BB0" w:rsidRPr="006F0BB0" w:rsidRDefault="006F0BB0" w:rsidP="007D1DBA">
            <w:pPr>
              <w:jc w:val="right"/>
              <w:rPr>
                <w:sz w:val="18"/>
                <w:szCs w:val="18"/>
                <w:lang w:val="es-419" w:eastAsia="es-419"/>
              </w:rPr>
            </w:pPr>
            <w:r w:rsidRPr="006F0BB0">
              <w:rPr>
                <w:sz w:val="18"/>
                <w:szCs w:val="18"/>
                <w:lang w:val="es-419" w:eastAsia="es-419"/>
              </w:rPr>
              <w:t>223 622</w:t>
            </w:r>
          </w:p>
        </w:tc>
        <w:tc>
          <w:tcPr>
            <w:tcW w:w="950" w:type="dxa"/>
            <w:tcBorders>
              <w:top w:val="nil"/>
              <w:left w:val="nil"/>
              <w:bottom w:val="single" w:sz="4" w:space="0" w:color="auto"/>
              <w:right w:val="single" w:sz="4" w:space="0" w:color="auto"/>
            </w:tcBorders>
            <w:shd w:val="clear" w:color="auto" w:fill="auto"/>
            <w:noWrap/>
            <w:hideMark/>
          </w:tcPr>
          <w:p w14:paraId="2DDC263C" w14:textId="77777777" w:rsidR="006F0BB0" w:rsidRPr="006F0BB0" w:rsidRDefault="006F0BB0" w:rsidP="007D1DBA">
            <w:pPr>
              <w:jc w:val="right"/>
              <w:rPr>
                <w:sz w:val="18"/>
                <w:szCs w:val="18"/>
                <w:lang w:val="es-419" w:eastAsia="es-419"/>
              </w:rPr>
            </w:pPr>
            <w:r w:rsidRPr="006F0BB0">
              <w:rPr>
                <w:sz w:val="18"/>
                <w:szCs w:val="18"/>
                <w:lang w:val="es-419" w:eastAsia="es-419"/>
              </w:rPr>
              <w:t>204 705</w:t>
            </w:r>
          </w:p>
        </w:tc>
        <w:tc>
          <w:tcPr>
            <w:tcW w:w="1005" w:type="dxa"/>
            <w:tcBorders>
              <w:top w:val="nil"/>
              <w:left w:val="nil"/>
              <w:bottom w:val="single" w:sz="4" w:space="0" w:color="auto"/>
              <w:right w:val="single" w:sz="4" w:space="0" w:color="auto"/>
            </w:tcBorders>
            <w:shd w:val="clear" w:color="auto" w:fill="auto"/>
            <w:noWrap/>
            <w:hideMark/>
          </w:tcPr>
          <w:p w14:paraId="71B39992" w14:textId="77777777" w:rsidR="006F0BB0" w:rsidRPr="006F0BB0" w:rsidRDefault="006F0BB0" w:rsidP="007D1DBA">
            <w:pPr>
              <w:jc w:val="right"/>
              <w:rPr>
                <w:sz w:val="18"/>
                <w:szCs w:val="18"/>
                <w:lang w:val="es-419" w:eastAsia="es-419"/>
              </w:rPr>
            </w:pPr>
            <w:r w:rsidRPr="006F0BB0">
              <w:rPr>
                <w:sz w:val="18"/>
                <w:szCs w:val="18"/>
                <w:lang w:val="es-419" w:eastAsia="es-419"/>
              </w:rPr>
              <w:t>221 029</w:t>
            </w:r>
          </w:p>
        </w:tc>
        <w:tc>
          <w:tcPr>
            <w:tcW w:w="1181" w:type="dxa"/>
            <w:tcBorders>
              <w:top w:val="nil"/>
              <w:left w:val="nil"/>
              <w:bottom w:val="single" w:sz="4" w:space="0" w:color="auto"/>
              <w:right w:val="single" w:sz="4" w:space="0" w:color="auto"/>
            </w:tcBorders>
            <w:shd w:val="clear" w:color="auto" w:fill="auto"/>
            <w:noWrap/>
            <w:hideMark/>
          </w:tcPr>
          <w:p w14:paraId="121764B6" w14:textId="77777777" w:rsidR="006F0BB0" w:rsidRPr="006F0BB0" w:rsidRDefault="006F0BB0" w:rsidP="007D1DBA">
            <w:pPr>
              <w:jc w:val="right"/>
              <w:rPr>
                <w:sz w:val="18"/>
                <w:szCs w:val="18"/>
                <w:lang w:val="es-419" w:eastAsia="es-419"/>
              </w:rPr>
            </w:pPr>
            <w:r w:rsidRPr="006F0BB0">
              <w:rPr>
                <w:sz w:val="18"/>
                <w:szCs w:val="18"/>
                <w:lang w:val="es-419" w:eastAsia="es-419"/>
              </w:rPr>
              <w:t>101,2%</w:t>
            </w:r>
          </w:p>
        </w:tc>
      </w:tr>
      <w:tr w:rsidR="006F0BB0" w:rsidRPr="006F0BB0" w14:paraId="23C2918F"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743F01"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Cote </w:t>
            </w:r>
            <w:proofErr w:type="spellStart"/>
            <w:r w:rsidRPr="006F0BB0">
              <w:rPr>
                <w:sz w:val="18"/>
                <w:szCs w:val="18"/>
                <w:lang w:val="es-419" w:eastAsia="es-419"/>
              </w:rPr>
              <w:t>d'Ivoire</w:t>
            </w:r>
            <w:proofErr w:type="spellEnd"/>
          </w:p>
        </w:tc>
        <w:tc>
          <w:tcPr>
            <w:tcW w:w="950" w:type="dxa"/>
            <w:tcBorders>
              <w:top w:val="nil"/>
              <w:left w:val="nil"/>
              <w:bottom w:val="single" w:sz="4" w:space="0" w:color="auto"/>
              <w:right w:val="single" w:sz="4" w:space="0" w:color="auto"/>
            </w:tcBorders>
            <w:shd w:val="clear" w:color="auto" w:fill="auto"/>
            <w:noWrap/>
            <w:hideMark/>
          </w:tcPr>
          <w:p w14:paraId="4CA21541" w14:textId="77777777" w:rsidR="006F0BB0" w:rsidRPr="006F0BB0" w:rsidRDefault="006F0BB0" w:rsidP="007D1DBA">
            <w:pPr>
              <w:jc w:val="right"/>
              <w:rPr>
                <w:sz w:val="18"/>
                <w:szCs w:val="18"/>
                <w:lang w:val="es-419" w:eastAsia="es-419"/>
              </w:rPr>
            </w:pPr>
            <w:r w:rsidRPr="006F0BB0">
              <w:rPr>
                <w:sz w:val="18"/>
                <w:szCs w:val="18"/>
                <w:lang w:val="es-419" w:eastAsia="es-419"/>
              </w:rPr>
              <w:t>24 855 307</w:t>
            </w:r>
          </w:p>
        </w:tc>
        <w:tc>
          <w:tcPr>
            <w:tcW w:w="950" w:type="dxa"/>
            <w:tcBorders>
              <w:top w:val="nil"/>
              <w:left w:val="nil"/>
              <w:bottom w:val="single" w:sz="4" w:space="0" w:color="auto"/>
              <w:right w:val="single" w:sz="4" w:space="0" w:color="auto"/>
            </w:tcBorders>
            <w:shd w:val="clear" w:color="auto" w:fill="auto"/>
            <w:noWrap/>
            <w:hideMark/>
          </w:tcPr>
          <w:p w14:paraId="01163D40" w14:textId="77777777" w:rsidR="006F0BB0" w:rsidRPr="006F0BB0" w:rsidRDefault="006F0BB0" w:rsidP="007D1DBA">
            <w:pPr>
              <w:jc w:val="right"/>
              <w:rPr>
                <w:sz w:val="18"/>
                <w:szCs w:val="18"/>
                <w:lang w:val="es-419" w:eastAsia="es-419"/>
              </w:rPr>
            </w:pPr>
            <w:r w:rsidRPr="006F0BB0">
              <w:rPr>
                <w:sz w:val="18"/>
                <w:szCs w:val="18"/>
                <w:lang w:val="es-419" w:eastAsia="es-419"/>
              </w:rPr>
              <w:t>25 600 966</w:t>
            </w:r>
          </w:p>
        </w:tc>
        <w:tc>
          <w:tcPr>
            <w:tcW w:w="950" w:type="dxa"/>
            <w:tcBorders>
              <w:top w:val="nil"/>
              <w:left w:val="nil"/>
              <w:bottom w:val="single" w:sz="4" w:space="0" w:color="auto"/>
              <w:right w:val="single" w:sz="4" w:space="0" w:color="auto"/>
            </w:tcBorders>
            <w:shd w:val="clear" w:color="auto" w:fill="auto"/>
            <w:noWrap/>
            <w:hideMark/>
          </w:tcPr>
          <w:p w14:paraId="4D388389" w14:textId="77777777" w:rsidR="006F0BB0" w:rsidRPr="006F0BB0" w:rsidRDefault="006F0BB0" w:rsidP="007D1DBA">
            <w:pPr>
              <w:jc w:val="right"/>
              <w:rPr>
                <w:sz w:val="18"/>
                <w:szCs w:val="18"/>
                <w:lang w:val="es-419" w:eastAsia="es-419"/>
              </w:rPr>
            </w:pPr>
            <w:r w:rsidRPr="006F0BB0">
              <w:rPr>
                <w:sz w:val="18"/>
                <w:szCs w:val="18"/>
                <w:lang w:val="es-419" w:eastAsia="es-419"/>
              </w:rPr>
              <w:t>26 368 995</w:t>
            </w:r>
          </w:p>
        </w:tc>
        <w:tc>
          <w:tcPr>
            <w:tcW w:w="950" w:type="dxa"/>
            <w:tcBorders>
              <w:top w:val="nil"/>
              <w:left w:val="nil"/>
              <w:bottom w:val="single" w:sz="4" w:space="0" w:color="auto"/>
              <w:right w:val="single" w:sz="4" w:space="0" w:color="auto"/>
            </w:tcBorders>
            <w:shd w:val="clear" w:color="auto" w:fill="auto"/>
            <w:noWrap/>
            <w:hideMark/>
          </w:tcPr>
          <w:p w14:paraId="0C1AFCF6" w14:textId="77777777" w:rsidR="006F0BB0" w:rsidRPr="006F0BB0" w:rsidRDefault="006F0BB0" w:rsidP="007D1DBA">
            <w:pPr>
              <w:jc w:val="right"/>
              <w:rPr>
                <w:sz w:val="18"/>
                <w:szCs w:val="18"/>
                <w:lang w:val="es-419" w:eastAsia="es-419"/>
              </w:rPr>
            </w:pPr>
            <w:r w:rsidRPr="006F0BB0">
              <w:rPr>
                <w:sz w:val="18"/>
                <w:szCs w:val="18"/>
                <w:lang w:val="es-419" w:eastAsia="es-419"/>
              </w:rPr>
              <w:t>27 160 065</w:t>
            </w:r>
          </w:p>
        </w:tc>
        <w:tc>
          <w:tcPr>
            <w:tcW w:w="950" w:type="dxa"/>
            <w:tcBorders>
              <w:top w:val="nil"/>
              <w:left w:val="nil"/>
              <w:bottom w:val="single" w:sz="4" w:space="0" w:color="auto"/>
              <w:right w:val="single" w:sz="4" w:space="0" w:color="auto"/>
            </w:tcBorders>
            <w:shd w:val="clear" w:color="auto" w:fill="auto"/>
            <w:noWrap/>
            <w:hideMark/>
          </w:tcPr>
          <w:p w14:paraId="02670E50" w14:textId="77777777" w:rsidR="006F0BB0" w:rsidRPr="006F0BB0" w:rsidRDefault="006F0BB0" w:rsidP="007D1DBA">
            <w:pPr>
              <w:jc w:val="right"/>
              <w:rPr>
                <w:sz w:val="18"/>
                <w:szCs w:val="18"/>
                <w:lang w:val="es-419" w:eastAsia="es-419"/>
              </w:rPr>
            </w:pPr>
            <w:r w:rsidRPr="006F0BB0">
              <w:rPr>
                <w:sz w:val="18"/>
                <w:szCs w:val="18"/>
                <w:lang w:val="es-419" w:eastAsia="es-419"/>
              </w:rPr>
              <w:t>27 974 867</w:t>
            </w:r>
          </w:p>
        </w:tc>
        <w:tc>
          <w:tcPr>
            <w:tcW w:w="950" w:type="dxa"/>
            <w:tcBorders>
              <w:top w:val="nil"/>
              <w:left w:val="nil"/>
              <w:bottom w:val="single" w:sz="4" w:space="0" w:color="auto"/>
              <w:right w:val="single" w:sz="4" w:space="0" w:color="auto"/>
            </w:tcBorders>
            <w:shd w:val="clear" w:color="auto" w:fill="auto"/>
            <w:noWrap/>
            <w:hideMark/>
          </w:tcPr>
          <w:p w14:paraId="469CB53B" w14:textId="77777777" w:rsidR="006F0BB0" w:rsidRPr="006F0BB0" w:rsidRDefault="006F0BB0" w:rsidP="007D1DBA">
            <w:pPr>
              <w:jc w:val="right"/>
              <w:rPr>
                <w:sz w:val="18"/>
                <w:szCs w:val="18"/>
                <w:lang w:val="es-419" w:eastAsia="es-419"/>
              </w:rPr>
            </w:pPr>
            <w:r w:rsidRPr="006F0BB0">
              <w:rPr>
                <w:sz w:val="18"/>
                <w:szCs w:val="18"/>
                <w:lang w:val="es-419" w:eastAsia="es-419"/>
              </w:rPr>
              <w:t>28 814 113</w:t>
            </w:r>
          </w:p>
        </w:tc>
        <w:tc>
          <w:tcPr>
            <w:tcW w:w="950" w:type="dxa"/>
            <w:tcBorders>
              <w:top w:val="nil"/>
              <w:left w:val="nil"/>
              <w:bottom w:val="single" w:sz="4" w:space="0" w:color="auto"/>
              <w:right w:val="single" w:sz="4" w:space="0" w:color="auto"/>
            </w:tcBorders>
            <w:shd w:val="clear" w:color="auto" w:fill="auto"/>
            <w:noWrap/>
            <w:hideMark/>
          </w:tcPr>
          <w:p w14:paraId="04E16BAF" w14:textId="77777777" w:rsidR="006F0BB0" w:rsidRPr="006F0BB0" w:rsidRDefault="006F0BB0" w:rsidP="007D1DBA">
            <w:pPr>
              <w:jc w:val="right"/>
              <w:rPr>
                <w:sz w:val="18"/>
                <w:szCs w:val="18"/>
                <w:lang w:val="es-419" w:eastAsia="es-419"/>
              </w:rPr>
            </w:pPr>
            <w:r w:rsidRPr="006F0BB0">
              <w:rPr>
                <w:sz w:val="18"/>
                <w:szCs w:val="18"/>
                <w:lang w:val="es-419" w:eastAsia="es-419"/>
              </w:rPr>
              <w:t>26 376 675</w:t>
            </w:r>
          </w:p>
        </w:tc>
        <w:tc>
          <w:tcPr>
            <w:tcW w:w="1005" w:type="dxa"/>
            <w:tcBorders>
              <w:top w:val="nil"/>
              <w:left w:val="nil"/>
              <w:bottom w:val="single" w:sz="4" w:space="0" w:color="auto"/>
              <w:right w:val="single" w:sz="4" w:space="0" w:color="auto"/>
            </w:tcBorders>
            <w:shd w:val="clear" w:color="auto" w:fill="auto"/>
            <w:noWrap/>
            <w:hideMark/>
          </w:tcPr>
          <w:p w14:paraId="56ECDB7C" w14:textId="77777777" w:rsidR="006F0BB0" w:rsidRPr="006F0BB0" w:rsidRDefault="006F0BB0" w:rsidP="007D1DBA">
            <w:pPr>
              <w:jc w:val="right"/>
              <w:rPr>
                <w:sz w:val="18"/>
                <w:szCs w:val="18"/>
                <w:lang w:val="es-419" w:eastAsia="es-419"/>
              </w:rPr>
            </w:pPr>
            <w:r w:rsidRPr="006F0BB0">
              <w:rPr>
                <w:sz w:val="18"/>
                <w:szCs w:val="18"/>
                <w:lang w:val="es-419" w:eastAsia="es-419"/>
              </w:rPr>
              <w:t>27 740 592</w:t>
            </w:r>
          </w:p>
        </w:tc>
        <w:tc>
          <w:tcPr>
            <w:tcW w:w="1181" w:type="dxa"/>
            <w:tcBorders>
              <w:top w:val="nil"/>
              <w:left w:val="nil"/>
              <w:bottom w:val="single" w:sz="4" w:space="0" w:color="auto"/>
              <w:right w:val="single" w:sz="4" w:space="0" w:color="auto"/>
            </w:tcBorders>
            <w:shd w:val="clear" w:color="auto" w:fill="auto"/>
            <w:noWrap/>
            <w:hideMark/>
          </w:tcPr>
          <w:p w14:paraId="57AD05C1" w14:textId="77777777" w:rsidR="006F0BB0" w:rsidRPr="006F0BB0" w:rsidRDefault="006F0BB0" w:rsidP="007D1DBA">
            <w:pPr>
              <w:jc w:val="right"/>
              <w:rPr>
                <w:sz w:val="18"/>
                <w:szCs w:val="18"/>
                <w:lang w:val="es-419" w:eastAsia="es-419"/>
              </w:rPr>
            </w:pPr>
            <w:r w:rsidRPr="006F0BB0">
              <w:rPr>
                <w:sz w:val="18"/>
                <w:szCs w:val="18"/>
                <w:lang w:val="es-419" w:eastAsia="es-419"/>
              </w:rPr>
              <w:t>103,9%</w:t>
            </w:r>
          </w:p>
        </w:tc>
      </w:tr>
      <w:tr w:rsidR="006F0BB0" w:rsidRPr="006F0BB0" w14:paraId="328B5F21"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A56E99F" w14:textId="77777777" w:rsidR="006F0BB0" w:rsidRPr="006F0BB0" w:rsidRDefault="006F0BB0" w:rsidP="007D1DBA">
            <w:pPr>
              <w:jc w:val="left"/>
              <w:rPr>
                <w:sz w:val="18"/>
                <w:szCs w:val="18"/>
                <w:lang w:val="es-419" w:eastAsia="es-419"/>
              </w:rPr>
            </w:pPr>
            <w:r w:rsidRPr="006F0BB0">
              <w:rPr>
                <w:sz w:val="18"/>
                <w:szCs w:val="18"/>
                <w:lang w:val="es-419" w:eastAsia="es-419"/>
              </w:rPr>
              <w:t>Guinea-Bissau</w:t>
            </w:r>
          </w:p>
        </w:tc>
        <w:tc>
          <w:tcPr>
            <w:tcW w:w="950" w:type="dxa"/>
            <w:tcBorders>
              <w:top w:val="nil"/>
              <w:left w:val="nil"/>
              <w:bottom w:val="single" w:sz="4" w:space="0" w:color="auto"/>
              <w:right w:val="single" w:sz="4" w:space="0" w:color="auto"/>
            </w:tcBorders>
            <w:shd w:val="clear" w:color="auto" w:fill="auto"/>
            <w:noWrap/>
            <w:hideMark/>
          </w:tcPr>
          <w:p w14:paraId="734D6E52" w14:textId="77777777" w:rsidR="006F0BB0" w:rsidRPr="006F0BB0" w:rsidRDefault="006F0BB0" w:rsidP="007D1DBA">
            <w:pPr>
              <w:jc w:val="right"/>
              <w:rPr>
                <w:sz w:val="18"/>
                <w:szCs w:val="18"/>
                <w:lang w:val="es-419" w:eastAsia="es-419"/>
              </w:rPr>
            </w:pPr>
            <w:r w:rsidRPr="006F0BB0">
              <w:rPr>
                <w:sz w:val="18"/>
                <w:szCs w:val="18"/>
                <w:lang w:val="es-419" w:eastAsia="es-419"/>
              </w:rPr>
              <w:t>1 391 073</w:t>
            </w:r>
          </w:p>
        </w:tc>
        <w:tc>
          <w:tcPr>
            <w:tcW w:w="950" w:type="dxa"/>
            <w:tcBorders>
              <w:top w:val="nil"/>
              <w:left w:val="nil"/>
              <w:bottom w:val="single" w:sz="4" w:space="0" w:color="auto"/>
              <w:right w:val="single" w:sz="4" w:space="0" w:color="auto"/>
            </w:tcBorders>
            <w:shd w:val="clear" w:color="auto" w:fill="auto"/>
            <w:noWrap/>
            <w:hideMark/>
          </w:tcPr>
          <w:p w14:paraId="7C8E3FD7" w14:textId="77777777" w:rsidR="006F0BB0" w:rsidRPr="006F0BB0" w:rsidRDefault="006F0BB0" w:rsidP="007D1DBA">
            <w:pPr>
              <w:jc w:val="right"/>
              <w:rPr>
                <w:sz w:val="18"/>
                <w:szCs w:val="18"/>
                <w:lang w:val="es-419" w:eastAsia="es-419"/>
              </w:rPr>
            </w:pPr>
            <w:r w:rsidRPr="006F0BB0">
              <w:rPr>
                <w:sz w:val="18"/>
                <w:szCs w:val="18"/>
                <w:lang w:val="es-419" w:eastAsia="es-419"/>
              </w:rPr>
              <w:t>1 432 805</w:t>
            </w:r>
          </w:p>
        </w:tc>
        <w:tc>
          <w:tcPr>
            <w:tcW w:w="950" w:type="dxa"/>
            <w:tcBorders>
              <w:top w:val="nil"/>
              <w:left w:val="nil"/>
              <w:bottom w:val="single" w:sz="4" w:space="0" w:color="auto"/>
              <w:right w:val="single" w:sz="4" w:space="0" w:color="auto"/>
            </w:tcBorders>
            <w:shd w:val="clear" w:color="auto" w:fill="auto"/>
            <w:noWrap/>
            <w:hideMark/>
          </w:tcPr>
          <w:p w14:paraId="78340547" w14:textId="77777777" w:rsidR="006F0BB0" w:rsidRPr="006F0BB0" w:rsidRDefault="006F0BB0" w:rsidP="007D1DBA">
            <w:pPr>
              <w:jc w:val="right"/>
              <w:rPr>
                <w:sz w:val="18"/>
                <w:szCs w:val="18"/>
                <w:lang w:val="es-419" w:eastAsia="es-419"/>
              </w:rPr>
            </w:pPr>
            <w:r w:rsidRPr="006F0BB0">
              <w:rPr>
                <w:sz w:val="18"/>
                <w:szCs w:val="18"/>
                <w:lang w:val="es-419" w:eastAsia="es-419"/>
              </w:rPr>
              <w:t>1 475 789</w:t>
            </w:r>
          </w:p>
        </w:tc>
        <w:tc>
          <w:tcPr>
            <w:tcW w:w="950" w:type="dxa"/>
            <w:tcBorders>
              <w:top w:val="nil"/>
              <w:left w:val="nil"/>
              <w:bottom w:val="single" w:sz="4" w:space="0" w:color="auto"/>
              <w:right w:val="single" w:sz="4" w:space="0" w:color="auto"/>
            </w:tcBorders>
            <w:shd w:val="clear" w:color="auto" w:fill="auto"/>
            <w:noWrap/>
            <w:hideMark/>
          </w:tcPr>
          <w:p w14:paraId="7EBB5D77" w14:textId="77777777" w:rsidR="006F0BB0" w:rsidRPr="006F0BB0" w:rsidRDefault="006F0BB0" w:rsidP="007D1DBA">
            <w:pPr>
              <w:jc w:val="right"/>
              <w:rPr>
                <w:sz w:val="18"/>
                <w:szCs w:val="18"/>
                <w:lang w:val="es-419" w:eastAsia="es-419"/>
              </w:rPr>
            </w:pPr>
            <w:r w:rsidRPr="006F0BB0">
              <w:rPr>
                <w:sz w:val="18"/>
                <w:szCs w:val="18"/>
                <w:lang w:val="es-419" w:eastAsia="es-419"/>
              </w:rPr>
              <w:t>1 520 063</w:t>
            </w:r>
          </w:p>
        </w:tc>
        <w:tc>
          <w:tcPr>
            <w:tcW w:w="950" w:type="dxa"/>
            <w:tcBorders>
              <w:top w:val="nil"/>
              <w:left w:val="nil"/>
              <w:bottom w:val="single" w:sz="4" w:space="0" w:color="auto"/>
              <w:right w:val="single" w:sz="4" w:space="0" w:color="auto"/>
            </w:tcBorders>
            <w:shd w:val="clear" w:color="auto" w:fill="auto"/>
            <w:noWrap/>
            <w:hideMark/>
          </w:tcPr>
          <w:p w14:paraId="74FD94FD" w14:textId="77777777" w:rsidR="006F0BB0" w:rsidRPr="006F0BB0" w:rsidRDefault="006F0BB0" w:rsidP="007D1DBA">
            <w:pPr>
              <w:jc w:val="right"/>
              <w:rPr>
                <w:sz w:val="18"/>
                <w:szCs w:val="18"/>
                <w:lang w:val="es-419" w:eastAsia="es-419"/>
              </w:rPr>
            </w:pPr>
            <w:r w:rsidRPr="006F0BB0">
              <w:rPr>
                <w:sz w:val="18"/>
                <w:szCs w:val="18"/>
                <w:lang w:val="es-419" w:eastAsia="es-419"/>
              </w:rPr>
              <w:t>1 565 665</w:t>
            </w:r>
          </w:p>
        </w:tc>
        <w:tc>
          <w:tcPr>
            <w:tcW w:w="950" w:type="dxa"/>
            <w:tcBorders>
              <w:top w:val="nil"/>
              <w:left w:val="nil"/>
              <w:bottom w:val="single" w:sz="4" w:space="0" w:color="auto"/>
              <w:right w:val="single" w:sz="4" w:space="0" w:color="auto"/>
            </w:tcBorders>
            <w:shd w:val="clear" w:color="auto" w:fill="auto"/>
            <w:noWrap/>
            <w:hideMark/>
          </w:tcPr>
          <w:p w14:paraId="3F49AA5E" w14:textId="77777777" w:rsidR="006F0BB0" w:rsidRPr="006F0BB0" w:rsidRDefault="006F0BB0" w:rsidP="007D1DBA">
            <w:pPr>
              <w:jc w:val="right"/>
              <w:rPr>
                <w:sz w:val="18"/>
                <w:szCs w:val="18"/>
                <w:lang w:val="es-419" w:eastAsia="es-419"/>
              </w:rPr>
            </w:pPr>
            <w:r w:rsidRPr="006F0BB0">
              <w:rPr>
                <w:sz w:val="18"/>
                <w:szCs w:val="18"/>
                <w:lang w:val="es-419" w:eastAsia="es-419"/>
              </w:rPr>
              <w:t>1 612 635</w:t>
            </w:r>
          </w:p>
        </w:tc>
        <w:tc>
          <w:tcPr>
            <w:tcW w:w="950" w:type="dxa"/>
            <w:tcBorders>
              <w:top w:val="nil"/>
              <w:left w:val="nil"/>
              <w:bottom w:val="single" w:sz="4" w:space="0" w:color="auto"/>
              <w:right w:val="single" w:sz="4" w:space="0" w:color="auto"/>
            </w:tcBorders>
            <w:shd w:val="clear" w:color="auto" w:fill="auto"/>
            <w:noWrap/>
            <w:hideMark/>
          </w:tcPr>
          <w:p w14:paraId="0819A6C1" w14:textId="77777777" w:rsidR="006F0BB0" w:rsidRPr="006F0BB0" w:rsidRDefault="006F0BB0" w:rsidP="007D1DBA">
            <w:pPr>
              <w:jc w:val="right"/>
              <w:rPr>
                <w:sz w:val="18"/>
                <w:szCs w:val="18"/>
                <w:lang w:val="es-419" w:eastAsia="es-419"/>
              </w:rPr>
            </w:pPr>
            <w:r w:rsidRPr="006F0BB0">
              <w:rPr>
                <w:sz w:val="18"/>
                <w:szCs w:val="18"/>
                <w:lang w:val="es-419" w:eastAsia="es-419"/>
              </w:rPr>
              <w:t>1 476 219</w:t>
            </w:r>
          </w:p>
        </w:tc>
        <w:tc>
          <w:tcPr>
            <w:tcW w:w="1005" w:type="dxa"/>
            <w:tcBorders>
              <w:top w:val="nil"/>
              <w:left w:val="nil"/>
              <w:bottom w:val="single" w:sz="4" w:space="0" w:color="auto"/>
              <w:right w:val="single" w:sz="4" w:space="0" w:color="auto"/>
            </w:tcBorders>
            <w:shd w:val="clear" w:color="auto" w:fill="auto"/>
            <w:noWrap/>
            <w:hideMark/>
          </w:tcPr>
          <w:p w14:paraId="5B1EDBFB" w14:textId="77777777" w:rsidR="006F0BB0" w:rsidRPr="006F0BB0" w:rsidRDefault="006F0BB0" w:rsidP="007D1DBA">
            <w:pPr>
              <w:jc w:val="right"/>
              <w:rPr>
                <w:sz w:val="18"/>
                <w:szCs w:val="18"/>
                <w:lang w:val="es-419" w:eastAsia="es-419"/>
              </w:rPr>
            </w:pPr>
            <w:r w:rsidRPr="006F0BB0">
              <w:rPr>
                <w:sz w:val="18"/>
                <w:szCs w:val="18"/>
                <w:lang w:val="es-419" w:eastAsia="es-419"/>
              </w:rPr>
              <w:t>1 536 221</w:t>
            </w:r>
          </w:p>
        </w:tc>
        <w:tc>
          <w:tcPr>
            <w:tcW w:w="1181" w:type="dxa"/>
            <w:tcBorders>
              <w:top w:val="nil"/>
              <w:left w:val="nil"/>
              <w:bottom w:val="single" w:sz="4" w:space="0" w:color="auto"/>
              <w:right w:val="single" w:sz="4" w:space="0" w:color="auto"/>
            </w:tcBorders>
            <w:shd w:val="clear" w:color="auto" w:fill="auto"/>
            <w:noWrap/>
            <w:hideMark/>
          </w:tcPr>
          <w:p w14:paraId="49EA09EB" w14:textId="77777777" w:rsidR="006F0BB0" w:rsidRPr="006F0BB0" w:rsidRDefault="006F0BB0" w:rsidP="007D1DBA">
            <w:pPr>
              <w:jc w:val="right"/>
              <w:rPr>
                <w:sz w:val="18"/>
                <w:szCs w:val="18"/>
                <w:lang w:val="es-419" w:eastAsia="es-419"/>
              </w:rPr>
            </w:pPr>
            <w:r w:rsidRPr="006F0BB0">
              <w:rPr>
                <w:sz w:val="18"/>
                <w:szCs w:val="18"/>
                <w:lang w:val="es-419" w:eastAsia="es-419"/>
              </w:rPr>
              <w:t>105,0%</w:t>
            </w:r>
          </w:p>
        </w:tc>
      </w:tr>
      <w:tr w:rsidR="006F0BB0" w:rsidRPr="006F0BB0" w14:paraId="5F32922F"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7CD37E7" w14:textId="77777777" w:rsidR="006F0BB0" w:rsidRPr="006F0BB0" w:rsidRDefault="006F0BB0" w:rsidP="007D1DBA">
            <w:pPr>
              <w:jc w:val="left"/>
              <w:rPr>
                <w:sz w:val="18"/>
                <w:szCs w:val="18"/>
                <w:lang w:val="es-419" w:eastAsia="es-419"/>
              </w:rPr>
            </w:pPr>
            <w:r w:rsidRPr="006F0BB0">
              <w:rPr>
                <w:sz w:val="18"/>
                <w:szCs w:val="18"/>
                <w:lang w:val="es-419" w:eastAsia="es-419"/>
              </w:rPr>
              <w:lastRenderedPageBreak/>
              <w:t>Chad</w:t>
            </w:r>
          </w:p>
        </w:tc>
        <w:tc>
          <w:tcPr>
            <w:tcW w:w="950" w:type="dxa"/>
            <w:tcBorders>
              <w:top w:val="nil"/>
              <w:left w:val="nil"/>
              <w:bottom w:val="single" w:sz="4" w:space="0" w:color="auto"/>
              <w:right w:val="single" w:sz="4" w:space="0" w:color="auto"/>
            </w:tcBorders>
            <w:shd w:val="clear" w:color="auto" w:fill="auto"/>
            <w:noWrap/>
            <w:hideMark/>
          </w:tcPr>
          <w:p w14:paraId="06E65444" w14:textId="77777777" w:rsidR="006F0BB0" w:rsidRPr="006F0BB0" w:rsidRDefault="006F0BB0" w:rsidP="007D1DBA">
            <w:pPr>
              <w:jc w:val="right"/>
              <w:rPr>
                <w:sz w:val="18"/>
                <w:szCs w:val="18"/>
                <w:lang w:val="es-419" w:eastAsia="es-419"/>
              </w:rPr>
            </w:pPr>
            <w:r w:rsidRPr="006F0BB0">
              <w:rPr>
                <w:sz w:val="18"/>
                <w:szCs w:val="18"/>
                <w:lang w:val="es-419" w:eastAsia="es-419"/>
              </w:rPr>
              <w:t>22 341 189</w:t>
            </w:r>
          </w:p>
        </w:tc>
        <w:tc>
          <w:tcPr>
            <w:tcW w:w="950" w:type="dxa"/>
            <w:tcBorders>
              <w:top w:val="nil"/>
              <w:left w:val="nil"/>
              <w:bottom w:val="single" w:sz="4" w:space="0" w:color="auto"/>
              <w:right w:val="single" w:sz="4" w:space="0" w:color="auto"/>
            </w:tcBorders>
            <w:shd w:val="clear" w:color="auto" w:fill="auto"/>
            <w:noWrap/>
            <w:hideMark/>
          </w:tcPr>
          <w:p w14:paraId="4D3B62C9" w14:textId="77777777" w:rsidR="006F0BB0" w:rsidRPr="006F0BB0" w:rsidRDefault="006F0BB0" w:rsidP="007D1DBA">
            <w:pPr>
              <w:jc w:val="right"/>
              <w:rPr>
                <w:sz w:val="18"/>
                <w:szCs w:val="18"/>
                <w:lang w:val="es-419" w:eastAsia="es-419"/>
              </w:rPr>
            </w:pPr>
            <w:r w:rsidRPr="006F0BB0">
              <w:rPr>
                <w:sz w:val="18"/>
                <w:szCs w:val="18"/>
                <w:lang w:val="es-419" w:eastAsia="es-419"/>
              </w:rPr>
              <w:t>23 011 425</w:t>
            </w:r>
          </w:p>
        </w:tc>
        <w:tc>
          <w:tcPr>
            <w:tcW w:w="950" w:type="dxa"/>
            <w:tcBorders>
              <w:top w:val="nil"/>
              <w:left w:val="nil"/>
              <w:bottom w:val="single" w:sz="4" w:space="0" w:color="auto"/>
              <w:right w:val="single" w:sz="4" w:space="0" w:color="auto"/>
            </w:tcBorders>
            <w:shd w:val="clear" w:color="auto" w:fill="auto"/>
            <w:noWrap/>
            <w:hideMark/>
          </w:tcPr>
          <w:p w14:paraId="7A4987B1" w14:textId="77777777" w:rsidR="006F0BB0" w:rsidRPr="006F0BB0" w:rsidRDefault="006F0BB0" w:rsidP="007D1DBA">
            <w:pPr>
              <w:jc w:val="right"/>
              <w:rPr>
                <w:sz w:val="18"/>
                <w:szCs w:val="18"/>
                <w:lang w:val="es-419" w:eastAsia="es-419"/>
              </w:rPr>
            </w:pPr>
            <w:r w:rsidRPr="006F0BB0">
              <w:rPr>
                <w:sz w:val="18"/>
                <w:szCs w:val="18"/>
                <w:lang w:val="es-419" w:eastAsia="es-419"/>
              </w:rPr>
              <w:t>23 701 767</w:t>
            </w:r>
          </w:p>
        </w:tc>
        <w:tc>
          <w:tcPr>
            <w:tcW w:w="950" w:type="dxa"/>
            <w:tcBorders>
              <w:top w:val="nil"/>
              <w:left w:val="nil"/>
              <w:bottom w:val="single" w:sz="4" w:space="0" w:color="auto"/>
              <w:right w:val="single" w:sz="4" w:space="0" w:color="auto"/>
            </w:tcBorders>
            <w:shd w:val="clear" w:color="auto" w:fill="auto"/>
            <w:noWrap/>
            <w:hideMark/>
          </w:tcPr>
          <w:p w14:paraId="71E786DC" w14:textId="77777777" w:rsidR="006F0BB0" w:rsidRPr="006F0BB0" w:rsidRDefault="006F0BB0" w:rsidP="007D1DBA">
            <w:pPr>
              <w:jc w:val="right"/>
              <w:rPr>
                <w:sz w:val="18"/>
                <w:szCs w:val="18"/>
                <w:lang w:val="es-419" w:eastAsia="es-419"/>
              </w:rPr>
            </w:pPr>
            <w:r w:rsidRPr="006F0BB0">
              <w:rPr>
                <w:sz w:val="18"/>
                <w:szCs w:val="18"/>
                <w:lang w:val="es-419" w:eastAsia="es-419"/>
              </w:rPr>
              <w:t>24 412 820</w:t>
            </w:r>
          </w:p>
        </w:tc>
        <w:tc>
          <w:tcPr>
            <w:tcW w:w="950" w:type="dxa"/>
            <w:tcBorders>
              <w:top w:val="nil"/>
              <w:left w:val="nil"/>
              <w:bottom w:val="single" w:sz="4" w:space="0" w:color="auto"/>
              <w:right w:val="single" w:sz="4" w:space="0" w:color="auto"/>
            </w:tcBorders>
            <w:shd w:val="clear" w:color="auto" w:fill="auto"/>
            <w:noWrap/>
            <w:hideMark/>
          </w:tcPr>
          <w:p w14:paraId="5A2DA5F9" w14:textId="77777777" w:rsidR="006F0BB0" w:rsidRPr="006F0BB0" w:rsidRDefault="006F0BB0" w:rsidP="007D1DBA">
            <w:pPr>
              <w:jc w:val="right"/>
              <w:rPr>
                <w:sz w:val="18"/>
                <w:szCs w:val="18"/>
                <w:lang w:val="es-419" w:eastAsia="es-419"/>
              </w:rPr>
            </w:pPr>
            <w:r w:rsidRPr="006F0BB0">
              <w:rPr>
                <w:sz w:val="18"/>
                <w:szCs w:val="18"/>
                <w:lang w:val="es-419" w:eastAsia="es-419"/>
              </w:rPr>
              <w:t>25 145 205</w:t>
            </w:r>
          </w:p>
        </w:tc>
        <w:tc>
          <w:tcPr>
            <w:tcW w:w="950" w:type="dxa"/>
            <w:tcBorders>
              <w:top w:val="nil"/>
              <w:left w:val="nil"/>
              <w:bottom w:val="single" w:sz="4" w:space="0" w:color="auto"/>
              <w:right w:val="single" w:sz="4" w:space="0" w:color="auto"/>
            </w:tcBorders>
            <w:shd w:val="clear" w:color="auto" w:fill="auto"/>
            <w:noWrap/>
            <w:hideMark/>
          </w:tcPr>
          <w:p w14:paraId="24452BA2" w14:textId="77777777" w:rsidR="006F0BB0" w:rsidRPr="006F0BB0" w:rsidRDefault="006F0BB0" w:rsidP="007D1DBA">
            <w:pPr>
              <w:jc w:val="right"/>
              <w:rPr>
                <w:sz w:val="18"/>
                <w:szCs w:val="18"/>
                <w:lang w:val="es-419" w:eastAsia="es-419"/>
              </w:rPr>
            </w:pPr>
            <w:r w:rsidRPr="006F0BB0">
              <w:rPr>
                <w:sz w:val="18"/>
                <w:szCs w:val="18"/>
                <w:lang w:val="es-419" w:eastAsia="es-419"/>
              </w:rPr>
              <w:t>25 899 561</w:t>
            </w:r>
          </w:p>
        </w:tc>
        <w:tc>
          <w:tcPr>
            <w:tcW w:w="950" w:type="dxa"/>
            <w:tcBorders>
              <w:top w:val="nil"/>
              <w:left w:val="nil"/>
              <w:bottom w:val="single" w:sz="4" w:space="0" w:color="auto"/>
              <w:right w:val="single" w:sz="4" w:space="0" w:color="auto"/>
            </w:tcBorders>
            <w:shd w:val="clear" w:color="auto" w:fill="auto"/>
            <w:noWrap/>
            <w:hideMark/>
          </w:tcPr>
          <w:p w14:paraId="0CA7A817" w14:textId="77777777" w:rsidR="006F0BB0" w:rsidRPr="006F0BB0" w:rsidRDefault="006F0BB0" w:rsidP="007D1DBA">
            <w:pPr>
              <w:jc w:val="right"/>
              <w:rPr>
                <w:sz w:val="18"/>
                <w:szCs w:val="18"/>
                <w:lang w:val="es-419" w:eastAsia="es-419"/>
              </w:rPr>
            </w:pPr>
            <w:r w:rsidRPr="006F0BB0">
              <w:rPr>
                <w:sz w:val="18"/>
                <w:szCs w:val="18"/>
                <w:lang w:val="es-419" w:eastAsia="es-419"/>
              </w:rPr>
              <w:t>23 708 671</w:t>
            </w:r>
          </w:p>
        </w:tc>
        <w:tc>
          <w:tcPr>
            <w:tcW w:w="1005" w:type="dxa"/>
            <w:tcBorders>
              <w:top w:val="nil"/>
              <w:left w:val="nil"/>
              <w:bottom w:val="single" w:sz="4" w:space="0" w:color="auto"/>
              <w:right w:val="single" w:sz="4" w:space="0" w:color="auto"/>
            </w:tcBorders>
            <w:shd w:val="clear" w:color="auto" w:fill="auto"/>
            <w:noWrap/>
            <w:hideMark/>
          </w:tcPr>
          <w:p w14:paraId="16E843B7" w14:textId="77777777" w:rsidR="006F0BB0" w:rsidRPr="006F0BB0" w:rsidRDefault="006F0BB0" w:rsidP="007D1DBA">
            <w:pPr>
              <w:jc w:val="right"/>
              <w:rPr>
                <w:sz w:val="18"/>
                <w:szCs w:val="18"/>
                <w:lang w:val="es-419" w:eastAsia="es-419"/>
              </w:rPr>
            </w:pPr>
            <w:r w:rsidRPr="006F0BB0">
              <w:rPr>
                <w:sz w:val="18"/>
                <w:szCs w:val="18"/>
                <w:lang w:val="es-419" w:eastAsia="es-419"/>
              </w:rPr>
              <w:t>24 053 032</w:t>
            </w:r>
          </w:p>
        </w:tc>
        <w:tc>
          <w:tcPr>
            <w:tcW w:w="1181" w:type="dxa"/>
            <w:tcBorders>
              <w:top w:val="nil"/>
              <w:left w:val="nil"/>
              <w:bottom w:val="single" w:sz="4" w:space="0" w:color="auto"/>
              <w:right w:val="single" w:sz="4" w:space="0" w:color="auto"/>
            </w:tcBorders>
            <w:shd w:val="clear" w:color="auto" w:fill="auto"/>
            <w:noWrap/>
            <w:hideMark/>
          </w:tcPr>
          <w:p w14:paraId="677A7049" w14:textId="77777777" w:rsidR="006F0BB0" w:rsidRPr="006F0BB0" w:rsidRDefault="006F0BB0" w:rsidP="007D1DBA">
            <w:pPr>
              <w:jc w:val="right"/>
              <w:rPr>
                <w:sz w:val="18"/>
                <w:szCs w:val="18"/>
                <w:lang w:val="es-419" w:eastAsia="es-419"/>
              </w:rPr>
            </w:pPr>
            <w:r w:rsidRPr="006F0BB0">
              <w:rPr>
                <w:sz w:val="18"/>
                <w:szCs w:val="18"/>
                <w:lang w:val="es-419" w:eastAsia="es-419"/>
              </w:rPr>
              <w:t>107,7%</w:t>
            </w:r>
          </w:p>
        </w:tc>
      </w:tr>
      <w:tr w:rsidR="006F0BB0" w:rsidRPr="006F0BB0" w14:paraId="059A6318" w14:textId="77777777" w:rsidTr="007D1DBA">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1F03F8" w14:textId="77777777" w:rsidR="006F0BB0" w:rsidRPr="006F0BB0" w:rsidRDefault="006F0BB0" w:rsidP="007D1DBA">
            <w:pPr>
              <w:jc w:val="left"/>
              <w:rPr>
                <w:sz w:val="18"/>
                <w:szCs w:val="18"/>
                <w:lang w:val="es-419" w:eastAsia="es-419"/>
              </w:rPr>
            </w:pPr>
            <w:r w:rsidRPr="006F0BB0">
              <w:rPr>
                <w:sz w:val="18"/>
                <w:szCs w:val="18"/>
                <w:lang w:val="es-419" w:eastAsia="es-419"/>
              </w:rPr>
              <w:t>Cabo Verde</w:t>
            </w:r>
          </w:p>
        </w:tc>
        <w:tc>
          <w:tcPr>
            <w:tcW w:w="950" w:type="dxa"/>
            <w:tcBorders>
              <w:top w:val="nil"/>
              <w:left w:val="nil"/>
              <w:bottom w:val="single" w:sz="4" w:space="0" w:color="auto"/>
              <w:right w:val="single" w:sz="4" w:space="0" w:color="auto"/>
            </w:tcBorders>
            <w:shd w:val="clear" w:color="auto" w:fill="auto"/>
            <w:noWrap/>
            <w:hideMark/>
          </w:tcPr>
          <w:p w14:paraId="6AE81456" w14:textId="77777777" w:rsidR="006F0BB0" w:rsidRPr="006F0BB0" w:rsidRDefault="006F0BB0" w:rsidP="007D1DBA">
            <w:pPr>
              <w:jc w:val="right"/>
              <w:rPr>
                <w:sz w:val="18"/>
                <w:szCs w:val="18"/>
                <w:lang w:val="es-419" w:eastAsia="es-419"/>
              </w:rPr>
            </w:pPr>
            <w:r w:rsidRPr="006F0BB0">
              <w:rPr>
                <w:sz w:val="18"/>
                <w:szCs w:val="18"/>
                <w:lang w:val="es-419" w:eastAsia="es-419"/>
              </w:rPr>
              <w:t>3 498 447</w:t>
            </w:r>
          </w:p>
        </w:tc>
        <w:tc>
          <w:tcPr>
            <w:tcW w:w="950" w:type="dxa"/>
            <w:tcBorders>
              <w:top w:val="nil"/>
              <w:left w:val="nil"/>
              <w:bottom w:val="single" w:sz="4" w:space="0" w:color="auto"/>
              <w:right w:val="single" w:sz="4" w:space="0" w:color="auto"/>
            </w:tcBorders>
            <w:shd w:val="clear" w:color="auto" w:fill="auto"/>
            <w:noWrap/>
            <w:hideMark/>
          </w:tcPr>
          <w:p w14:paraId="64611FE0" w14:textId="77777777" w:rsidR="006F0BB0" w:rsidRPr="006F0BB0" w:rsidRDefault="006F0BB0" w:rsidP="007D1DBA">
            <w:pPr>
              <w:jc w:val="right"/>
              <w:rPr>
                <w:sz w:val="18"/>
                <w:szCs w:val="18"/>
                <w:lang w:val="es-419" w:eastAsia="es-419"/>
              </w:rPr>
            </w:pPr>
            <w:r w:rsidRPr="006F0BB0">
              <w:rPr>
                <w:sz w:val="18"/>
                <w:szCs w:val="18"/>
                <w:lang w:val="es-419" w:eastAsia="es-419"/>
              </w:rPr>
              <w:t>3 603 401</w:t>
            </w:r>
          </w:p>
        </w:tc>
        <w:tc>
          <w:tcPr>
            <w:tcW w:w="950" w:type="dxa"/>
            <w:tcBorders>
              <w:top w:val="nil"/>
              <w:left w:val="nil"/>
              <w:bottom w:val="single" w:sz="4" w:space="0" w:color="auto"/>
              <w:right w:val="single" w:sz="4" w:space="0" w:color="auto"/>
            </w:tcBorders>
            <w:shd w:val="clear" w:color="auto" w:fill="auto"/>
            <w:noWrap/>
            <w:hideMark/>
          </w:tcPr>
          <w:p w14:paraId="7D10BF4B" w14:textId="77777777" w:rsidR="006F0BB0" w:rsidRPr="006F0BB0" w:rsidRDefault="006F0BB0" w:rsidP="007D1DBA">
            <w:pPr>
              <w:jc w:val="right"/>
              <w:rPr>
                <w:sz w:val="18"/>
                <w:szCs w:val="18"/>
                <w:lang w:val="es-419" w:eastAsia="es-419"/>
              </w:rPr>
            </w:pPr>
            <w:r w:rsidRPr="006F0BB0">
              <w:rPr>
                <w:sz w:val="18"/>
                <w:szCs w:val="18"/>
                <w:lang w:val="es-419" w:eastAsia="es-419"/>
              </w:rPr>
              <w:t>3 711 503</w:t>
            </w:r>
          </w:p>
        </w:tc>
        <w:tc>
          <w:tcPr>
            <w:tcW w:w="950" w:type="dxa"/>
            <w:tcBorders>
              <w:top w:val="nil"/>
              <w:left w:val="nil"/>
              <w:bottom w:val="single" w:sz="4" w:space="0" w:color="auto"/>
              <w:right w:val="single" w:sz="4" w:space="0" w:color="auto"/>
            </w:tcBorders>
            <w:shd w:val="clear" w:color="auto" w:fill="auto"/>
            <w:noWrap/>
            <w:hideMark/>
          </w:tcPr>
          <w:p w14:paraId="0687A82B" w14:textId="77777777" w:rsidR="006F0BB0" w:rsidRPr="006F0BB0" w:rsidRDefault="006F0BB0" w:rsidP="007D1DBA">
            <w:pPr>
              <w:jc w:val="right"/>
              <w:rPr>
                <w:sz w:val="18"/>
                <w:szCs w:val="18"/>
                <w:lang w:val="es-419" w:eastAsia="es-419"/>
              </w:rPr>
            </w:pPr>
            <w:r w:rsidRPr="006F0BB0">
              <w:rPr>
                <w:sz w:val="18"/>
                <w:szCs w:val="18"/>
                <w:lang w:val="es-419" w:eastAsia="es-419"/>
              </w:rPr>
              <w:t>3 822 848</w:t>
            </w:r>
          </w:p>
        </w:tc>
        <w:tc>
          <w:tcPr>
            <w:tcW w:w="950" w:type="dxa"/>
            <w:tcBorders>
              <w:top w:val="nil"/>
              <w:left w:val="nil"/>
              <w:bottom w:val="single" w:sz="4" w:space="0" w:color="auto"/>
              <w:right w:val="single" w:sz="4" w:space="0" w:color="auto"/>
            </w:tcBorders>
            <w:shd w:val="clear" w:color="auto" w:fill="auto"/>
            <w:noWrap/>
            <w:hideMark/>
          </w:tcPr>
          <w:p w14:paraId="1D4B4048" w14:textId="77777777" w:rsidR="006F0BB0" w:rsidRPr="006F0BB0" w:rsidRDefault="006F0BB0" w:rsidP="007D1DBA">
            <w:pPr>
              <w:jc w:val="right"/>
              <w:rPr>
                <w:sz w:val="18"/>
                <w:szCs w:val="18"/>
                <w:lang w:val="es-419" w:eastAsia="es-419"/>
              </w:rPr>
            </w:pPr>
            <w:r w:rsidRPr="006F0BB0">
              <w:rPr>
                <w:sz w:val="18"/>
                <w:szCs w:val="18"/>
                <w:lang w:val="es-419" w:eastAsia="es-419"/>
              </w:rPr>
              <w:t>3 937 533</w:t>
            </w:r>
          </w:p>
        </w:tc>
        <w:tc>
          <w:tcPr>
            <w:tcW w:w="950" w:type="dxa"/>
            <w:tcBorders>
              <w:top w:val="nil"/>
              <w:left w:val="nil"/>
              <w:bottom w:val="single" w:sz="4" w:space="0" w:color="auto"/>
              <w:right w:val="single" w:sz="4" w:space="0" w:color="auto"/>
            </w:tcBorders>
            <w:shd w:val="clear" w:color="auto" w:fill="auto"/>
            <w:noWrap/>
            <w:hideMark/>
          </w:tcPr>
          <w:p w14:paraId="6AEDC8A5" w14:textId="77777777" w:rsidR="006F0BB0" w:rsidRPr="006F0BB0" w:rsidRDefault="006F0BB0" w:rsidP="007D1DBA">
            <w:pPr>
              <w:jc w:val="right"/>
              <w:rPr>
                <w:sz w:val="18"/>
                <w:szCs w:val="18"/>
                <w:lang w:val="es-419" w:eastAsia="es-419"/>
              </w:rPr>
            </w:pPr>
            <w:r w:rsidRPr="006F0BB0">
              <w:rPr>
                <w:sz w:val="18"/>
                <w:szCs w:val="18"/>
                <w:lang w:val="es-419" w:eastAsia="es-419"/>
              </w:rPr>
              <w:t>4 055 659</w:t>
            </w:r>
          </w:p>
        </w:tc>
        <w:tc>
          <w:tcPr>
            <w:tcW w:w="950" w:type="dxa"/>
            <w:tcBorders>
              <w:top w:val="nil"/>
              <w:left w:val="nil"/>
              <w:bottom w:val="single" w:sz="4" w:space="0" w:color="auto"/>
              <w:right w:val="single" w:sz="4" w:space="0" w:color="auto"/>
            </w:tcBorders>
            <w:shd w:val="clear" w:color="auto" w:fill="auto"/>
            <w:noWrap/>
            <w:hideMark/>
          </w:tcPr>
          <w:p w14:paraId="3F374E83" w14:textId="77777777" w:rsidR="006F0BB0" w:rsidRPr="006F0BB0" w:rsidRDefault="006F0BB0" w:rsidP="007D1DBA">
            <w:pPr>
              <w:jc w:val="right"/>
              <w:rPr>
                <w:sz w:val="18"/>
                <w:szCs w:val="18"/>
                <w:lang w:val="es-419" w:eastAsia="es-419"/>
              </w:rPr>
            </w:pPr>
            <w:r w:rsidRPr="006F0BB0">
              <w:rPr>
                <w:sz w:val="18"/>
                <w:szCs w:val="18"/>
                <w:lang w:val="es-419" w:eastAsia="es-419"/>
              </w:rPr>
              <w:t>3 712 584</w:t>
            </w:r>
          </w:p>
        </w:tc>
        <w:tc>
          <w:tcPr>
            <w:tcW w:w="1005" w:type="dxa"/>
            <w:tcBorders>
              <w:top w:val="nil"/>
              <w:left w:val="nil"/>
              <w:bottom w:val="single" w:sz="4" w:space="0" w:color="auto"/>
              <w:right w:val="single" w:sz="4" w:space="0" w:color="auto"/>
            </w:tcBorders>
            <w:shd w:val="clear" w:color="auto" w:fill="auto"/>
            <w:noWrap/>
            <w:hideMark/>
          </w:tcPr>
          <w:p w14:paraId="47CBD912" w14:textId="77777777" w:rsidR="006F0BB0" w:rsidRPr="006F0BB0" w:rsidRDefault="006F0BB0" w:rsidP="007D1DBA">
            <w:pPr>
              <w:jc w:val="right"/>
              <w:rPr>
                <w:sz w:val="18"/>
                <w:szCs w:val="18"/>
                <w:lang w:val="es-419" w:eastAsia="es-419"/>
              </w:rPr>
            </w:pPr>
            <w:r w:rsidRPr="006F0BB0">
              <w:rPr>
                <w:sz w:val="18"/>
                <w:szCs w:val="18"/>
                <w:lang w:val="es-419" w:eastAsia="es-419"/>
              </w:rPr>
              <w:t>3 734 349</w:t>
            </w:r>
          </w:p>
        </w:tc>
        <w:tc>
          <w:tcPr>
            <w:tcW w:w="1181" w:type="dxa"/>
            <w:tcBorders>
              <w:top w:val="nil"/>
              <w:left w:val="nil"/>
              <w:bottom w:val="single" w:sz="4" w:space="0" w:color="auto"/>
              <w:right w:val="single" w:sz="4" w:space="0" w:color="auto"/>
            </w:tcBorders>
            <w:shd w:val="clear" w:color="auto" w:fill="auto"/>
            <w:noWrap/>
            <w:hideMark/>
          </w:tcPr>
          <w:p w14:paraId="72536D70" w14:textId="77777777" w:rsidR="006F0BB0" w:rsidRPr="006F0BB0" w:rsidRDefault="006F0BB0" w:rsidP="007D1DBA">
            <w:pPr>
              <w:jc w:val="right"/>
              <w:rPr>
                <w:sz w:val="18"/>
                <w:szCs w:val="18"/>
                <w:lang w:val="es-419" w:eastAsia="es-419"/>
              </w:rPr>
            </w:pPr>
            <w:r w:rsidRPr="006F0BB0">
              <w:rPr>
                <w:sz w:val="18"/>
                <w:szCs w:val="18"/>
                <w:lang w:val="es-419" w:eastAsia="es-419"/>
              </w:rPr>
              <w:t>108,6%</w:t>
            </w:r>
          </w:p>
        </w:tc>
      </w:tr>
    </w:tbl>
    <w:p w14:paraId="0ED83782" w14:textId="77777777" w:rsidR="006F0BB0" w:rsidRPr="006F0BB0" w:rsidRDefault="006F0BB0" w:rsidP="006F0BB0">
      <w:pPr>
        <w:pStyle w:val="StyleHeader4Para4Left0Firstline0"/>
        <w:numPr>
          <w:ilvl w:val="0"/>
          <w:numId w:val="0"/>
        </w:numPr>
        <w:spacing w:after="0"/>
        <w:jc w:val="left"/>
        <w:rPr>
          <w:sz w:val="22"/>
        </w:rPr>
      </w:pPr>
    </w:p>
    <w:p w14:paraId="17D63B03" w14:textId="77777777" w:rsidR="006F0BB0" w:rsidRPr="006F0BB0" w:rsidRDefault="006F0BB0" w:rsidP="006F0BB0">
      <w:pPr>
        <w:jc w:val="left"/>
      </w:pPr>
      <w:r w:rsidRPr="006F0BB0">
        <w:br w:type="page"/>
      </w:r>
    </w:p>
    <w:p w14:paraId="10A2B231" w14:textId="77777777" w:rsidR="006F0BB0" w:rsidRPr="006F0BB0" w:rsidRDefault="006F0BB0" w:rsidP="006F0BB0">
      <w:pPr>
        <w:pStyle w:val="StyleHeader4Para4Left0Firstline0"/>
        <w:numPr>
          <w:ilvl w:val="0"/>
          <w:numId w:val="0"/>
        </w:numPr>
        <w:spacing w:after="0"/>
        <w:jc w:val="left"/>
        <w:rPr>
          <w:szCs w:val="20"/>
          <w:lang w:val="es-ES"/>
        </w:rPr>
      </w:pPr>
      <w:r w:rsidRPr="006F0BB0">
        <w:rPr>
          <w:b/>
          <w:szCs w:val="20"/>
          <w:lang w:val="es-ES"/>
        </w:rPr>
        <w:lastRenderedPageBreak/>
        <w:t>Hipótesis:</w:t>
      </w:r>
      <w:r w:rsidRPr="006F0BB0">
        <w:rPr>
          <w:szCs w:val="20"/>
          <w:lang w:val="es-ES"/>
        </w:rPr>
        <w:t xml:space="preserve"> Tasa de crecimiento anual = 10 %</w:t>
      </w:r>
    </w:p>
    <w:p w14:paraId="4C9ABBF2" w14:textId="77777777" w:rsidR="006F0BB0" w:rsidRPr="006F0BB0" w:rsidRDefault="006F0BB0" w:rsidP="006F0BB0">
      <w:pPr>
        <w:pStyle w:val="StyleHeader4Para4Left0Firstline0"/>
        <w:numPr>
          <w:ilvl w:val="0"/>
          <w:numId w:val="0"/>
        </w:numPr>
        <w:spacing w:after="0"/>
        <w:jc w:val="left"/>
        <w:rPr>
          <w:szCs w:val="20"/>
          <w:lang w:val="es-ES"/>
        </w:rPr>
      </w:pPr>
      <w:r w:rsidRPr="006F0BB0">
        <w:rPr>
          <w:b/>
          <w:szCs w:val="20"/>
          <w:lang w:val="es-ES"/>
        </w:rPr>
        <w:t>Unidades</w:t>
      </w:r>
      <w:r w:rsidRPr="006F0BB0">
        <w:rPr>
          <w:szCs w:val="20"/>
          <w:lang w:val="es-ES"/>
        </w:rPr>
        <w:t xml:space="preserve">: </w:t>
      </w:r>
      <w:proofErr w:type="spellStart"/>
      <w:r w:rsidRPr="006F0BB0">
        <w:rPr>
          <w:szCs w:val="20"/>
          <w:lang w:val="es-ES"/>
        </w:rPr>
        <w:t>tm</w:t>
      </w:r>
      <w:proofErr w:type="spellEnd"/>
      <w:r w:rsidRPr="006F0BB0">
        <w:rPr>
          <w:szCs w:val="20"/>
          <w:lang w:val="es-ES"/>
        </w:rPr>
        <w:t xml:space="preserve"> </w:t>
      </w:r>
      <w:proofErr w:type="spellStart"/>
      <w:r w:rsidRPr="006F0BB0">
        <w:rPr>
          <w:szCs w:val="20"/>
          <w:lang w:val="es-ES"/>
        </w:rPr>
        <w:t>eq</w:t>
      </w:r>
      <w:proofErr w:type="spellEnd"/>
      <w:r w:rsidRPr="006F0BB0">
        <w:rPr>
          <w:szCs w:val="20"/>
          <w:lang w:val="es-ES"/>
        </w:rPr>
        <w:t>. de CO</w:t>
      </w:r>
      <w:r w:rsidRPr="006F0BB0">
        <w:rPr>
          <w:szCs w:val="20"/>
          <w:vertAlign w:val="subscript"/>
          <w:lang w:val="es-ES"/>
        </w:rPr>
        <w:t>2</w:t>
      </w:r>
    </w:p>
    <w:p w14:paraId="67290AF4" w14:textId="77777777" w:rsidR="006F0BB0" w:rsidRPr="006F0BB0" w:rsidRDefault="006F0BB0" w:rsidP="006F0BB0">
      <w:pPr>
        <w:pStyle w:val="StyleHeader4Para4Left0Firstline0"/>
        <w:numPr>
          <w:ilvl w:val="0"/>
          <w:numId w:val="0"/>
        </w:numPr>
        <w:spacing w:after="0"/>
        <w:jc w:val="left"/>
        <w:rPr>
          <w:szCs w:val="20"/>
          <w:lang w:val="es-ES"/>
        </w:rPr>
      </w:pPr>
      <w:r w:rsidRPr="006F0BB0">
        <w:rPr>
          <w:szCs w:val="20"/>
          <w:lang w:val="es-ES"/>
        </w:rPr>
        <w:t>Los países se ordenan según el posible riesgo de incumplimiento, sobre la base de los datos que figuran en la columna “Consumo en 2024/nivel básico de HFC), desde los de menor riesgo a los de mayor riesgo. Cuando el valor supera el 100 %, el consumo estimado en 2024 es mayor que el nivel básico estimado de HFC (que incluye el componente de HCFC) (47 países)</w:t>
      </w:r>
    </w:p>
    <w:p w14:paraId="2C961CE4" w14:textId="77777777" w:rsidR="006F0BB0" w:rsidRPr="006F0BB0" w:rsidRDefault="006F0BB0" w:rsidP="006F0BB0">
      <w:pPr>
        <w:pStyle w:val="StyleHeader4Para4Left0Firstline0"/>
        <w:numPr>
          <w:ilvl w:val="0"/>
          <w:numId w:val="0"/>
        </w:numPr>
        <w:spacing w:after="0"/>
        <w:jc w:val="left"/>
        <w:rPr>
          <w:sz w:val="22"/>
          <w:lang w:val="es-ES"/>
        </w:rPr>
      </w:pPr>
    </w:p>
    <w:tbl>
      <w:tblPr>
        <w:tblW w:w="10208" w:type="dxa"/>
        <w:tblInd w:w="-432" w:type="dxa"/>
        <w:tblLayout w:type="fixed"/>
        <w:tblLook w:val="04A0" w:firstRow="1" w:lastRow="0" w:firstColumn="1" w:lastColumn="0" w:noHBand="0" w:noVBand="1"/>
      </w:tblPr>
      <w:tblGrid>
        <w:gridCol w:w="1507"/>
        <w:gridCol w:w="951"/>
        <w:gridCol w:w="952"/>
        <w:gridCol w:w="951"/>
        <w:gridCol w:w="952"/>
        <w:gridCol w:w="952"/>
        <w:gridCol w:w="951"/>
        <w:gridCol w:w="952"/>
        <w:gridCol w:w="952"/>
        <w:gridCol w:w="1088"/>
      </w:tblGrid>
      <w:tr w:rsidR="006F0BB0" w:rsidRPr="00EB2CAE" w14:paraId="0397ECC2" w14:textId="77777777" w:rsidTr="007D1DBA">
        <w:trPr>
          <w:tblHeader/>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2009" w14:textId="77777777" w:rsidR="006F0BB0" w:rsidRPr="006F0BB0" w:rsidRDefault="006F0BB0" w:rsidP="007D1DBA">
            <w:pPr>
              <w:jc w:val="left"/>
              <w:rPr>
                <w:b/>
                <w:bCs/>
                <w:sz w:val="18"/>
                <w:szCs w:val="18"/>
                <w:lang w:val="en-CA" w:eastAsia="en-CA"/>
              </w:rPr>
            </w:pPr>
            <w:r w:rsidRPr="006F0BB0">
              <w:rPr>
                <w:b/>
                <w:bCs/>
                <w:sz w:val="18"/>
                <w:szCs w:val="18"/>
                <w:lang w:val="en-CA" w:eastAsia="en-CA"/>
              </w:rPr>
              <w:t>País</w:t>
            </w:r>
          </w:p>
        </w:tc>
        <w:tc>
          <w:tcPr>
            <w:tcW w:w="951"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BDCBE81" w14:textId="77777777" w:rsidR="006F0BB0" w:rsidRPr="006F0BB0" w:rsidRDefault="006F0BB0" w:rsidP="007D1DBA">
            <w:pPr>
              <w:jc w:val="center"/>
              <w:rPr>
                <w:b/>
                <w:bCs/>
                <w:sz w:val="18"/>
                <w:szCs w:val="18"/>
                <w:lang w:val="en-CA" w:eastAsia="en-CA"/>
              </w:rPr>
            </w:pPr>
            <w:r w:rsidRPr="006F0BB0">
              <w:rPr>
                <w:b/>
                <w:bCs/>
                <w:sz w:val="18"/>
                <w:szCs w:val="18"/>
                <w:lang w:val="en-CA" w:eastAsia="en-CA"/>
              </w:rPr>
              <w:t>2019</w:t>
            </w:r>
          </w:p>
        </w:tc>
        <w:tc>
          <w:tcPr>
            <w:tcW w:w="95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E852E68" w14:textId="77777777" w:rsidR="006F0BB0" w:rsidRPr="006F0BB0" w:rsidRDefault="006F0BB0" w:rsidP="007D1DBA">
            <w:pPr>
              <w:jc w:val="center"/>
              <w:rPr>
                <w:b/>
                <w:bCs/>
                <w:sz w:val="18"/>
                <w:szCs w:val="18"/>
                <w:lang w:val="en-CA" w:eastAsia="en-CA"/>
              </w:rPr>
            </w:pPr>
            <w:r w:rsidRPr="006F0BB0">
              <w:rPr>
                <w:b/>
                <w:bCs/>
                <w:sz w:val="18"/>
                <w:szCs w:val="18"/>
                <w:lang w:val="en-CA" w:eastAsia="en-CA"/>
              </w:rPr>
              <w:t>2020</w:t>
            </w:r>
          </w:p>
        </w:tc>
        <w:tc>
          <w:tcPr>
            <w:tcW w:w="951"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65239EC" w14:textId="77777777" w:rsidR="006F0BB0" w:rsidRPr="006F0BB0" w:rsidRDefault="006F0BB0" w:rsidP="007D1DBA">
            <w:pPr>
              <w:jc w:val="center"/>
              <w:rPr>
                <w:b/>
                <w:bCs/>
                <w:sz w:val="18"/>
                <w:szCs w:val="18"/>
                <w:lang w:val="en-CA" w:eastAsia="en-CA"/>
              </w:rPr>
            </w:pPr>
            <w:r w:rsidRPr="006F0BB0">
              <w:rPr>
                <w:b/>
                <w:bCs/>
                <w:sz w:val="18"/>
                <w:szCs w:val="18"/>
                <w:lang w:val="en-CA" w:eastAsia="en-CA"/>
              </w:rPr>
              <w:t>2021</w:t>
            </w:r>
          </w:p>
        </w:tc>
        <w:tc>
          <w:tcPr>
            <w:tcW w:w="95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B851362" w14:textId="77777777" w:rsidR="006F0BB0" w:rsidRPr="006F0BB0" w:rsidRDefault="006F0BB0" w:rsidP="007D1DBA">
            <w:pPr>
              <w:jc w:val="center"/>
              <w:rPr>
                <w:b/>
                <w:bCs/>
                <w:sz w:val="18"/>
                <w:szCs w:val="18"/>
                <w:lang w:val="en-CA" w:eastAsia="en-CA"/>
              </w:rPr>
            </w:pPr>
            <w:r w:rsidRPr="006F0BB0">
              <w:rPr>
                <w:b/>
                <w:bCs/>
                <w:sz w:val="18"/>
                <w:szCs w:val="18"/>
                <w:lang w:val="en-CA" w:eastAsia="en-CA"/>
              </w:rPr>
              <w:t>2022</w:t>
            </w:r>
          </w:p>
        </w:tc>
        <w:tc>
          <w:tcPr>
            <w:tcW w:w="95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B459216" w14:textId="77777777" w:rsidR="006F0BB0" w:rsidRPr="006F0BB0" w:rsidRDefault="006F0BB0" w:rsidP="007D1DBA">
            <w:pPr>
              <w:jc w:val="center"/>
              <w:rPr>
                <w:b/>
                <w:bCs/>
                <w:sz w:val="18"/>
                <w:szCs w:val="18"/>
                <w:lang w:val="en-CA" w:eastAsia="en-CA"/>
              </w:rPr>
            </w:pPr>
            <w:r w:rsidRPr="006F0BB0">
              <w:rPr>
                <w:b/>
                <w:bCs/>
                <w:sz w:val="18"/>
                <w:szCs w:val="18"/>
                <w:lang w:val="en-CA" w:eastAsia="en-CA"/>
              </w:rPr>
              <w:t>2023</w:t>
            </w:r>
          </w:p>
        </w:tc>
        <w:tc>
          <w:tcPr>
            <w:tcW w:w="951"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70216A7" w14:textId="77777777" w:rsidR="006F0BB0" w:rsidRPr="006F0BB0" w:rsidRDefault="006F0BB0" w:rsidP="007D1DBA">
            <w:pPr>
              <w:jc w:val="center"/>
              <w:rPr>
                <w:b/>
                <w:bCs/>
                <w:sz w:val="18"/>
                <w:szCs w:val="18"/>
                <w:lang w:val="en-CA" w:eastAsia="en-CA"/>
              </w:rPr>
            </w:pPr>
            <w:r w:rsidRPr="006F0BB0">
              <w:rPr>
                <w:b/>
                <w:bCs/>
                <w:sz w:val="18"/>
                <w:szCs w:val="18"/>
                <w:lang w:val="en-CA" w:eastAsia="en-CA"/>
              </w:rPr>
              <w:t>2024</w:t>
            </w:r>
          </w:p>
        </w:tc>
        <w:tc>
          <w:tcPr>
            <w:tcW w:w="95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62BFB82" w14:textId="77777777" w:rsidR="006F0BB0" w:rsidRPr="006F0BB0" w:rsidRDefault="006F0BB0" w:rsidP="007D1DBA">
            <w:pPr>
              <w:ind w:left="-79" w:right="-101"/>
              <w:jc w:val="center"/>
              <w:rPr>
                <w:b/>
                <w:bCs/>
                <w:sz w:val="18"/>
                <w:szCs w:val="18"/>
                <w:lang w:val="es-419" w:eastAsia="es-419"/>
              </w:rPr>
            </w:pPr>
            <w:r w:rsidRPr="006F0BB0">
              <w:rPr>
                <w:b/>
                <w:bCs/>
                <w:sz w:val="18"/>
                <w:szCs w:val="18"/>
                <w:lang w:val="es-419" w:eastAsia="es-419"/>
              </w:rPr>
              <w:t xml:space="preserve">Promedio </w:t>
            </w:r>
          </w:p>
          <w:p w14:paraId="005C6101" w14:textId="77777777" w:rsidR="006F0BB0" w:rsidRPr="006F0BB0" w:rsidRDefault="006F0BB0" w:rsidP="007D1DBA">
            <w:pPr>
              <w:ind w:left="-79" w:right="-101"/>
              <w:jc w:val="center"/>
              <w:rPr>
                <w:b/>
                <w:bCs/>
                <w:sz w:val="18"/>
                <w:szCs w:val="18"/>
                <w:lang w:val="es-419" w:eastAsia="es-419"/>
              </w:rPr>
            </w:pPr>
            <w:r w:rsidRPr="006F0BB0">
              <w:rPr>
                <w:b/>
                <w:bCs/>
                <w:sz w:val="18"/>
                <w:szCs w:val="18"/>
                <w:lang w:val="es-419" w:eastAsia="es-419"/>
              </w:rPr>
              <w:t xml:space="preserve">de HFC  </w:t>
            </w:r>
          </w:p>
          <w:p w14:paraId="73020E5F" w14:textId="77777777" w:rsidR="006F0BB0" w:rsidRPr="006F0BB0" w:rsidRDefault="006F0BB0" w:rsidP="007D1DBA">
            <w:pPr>
              <w:jc w:val="center"/>
              <w:rPr>
                <w:b/>
                <w:bCs/>
                <w:sz w:val="18"/>
                <w:szCs w:val="18"/>
                <w:lang w:val="en-CA" w:eastAsia="en-CA"/>
              </w:rPr>
            </w:pPr>
            <w:r w:rsidRPr="006F0BB0">
              <w:rPr>
                <w:b/>
                <w:bCs/>
                <w:sz w:val="18"/>
                <w:szCs w:val="18"/>
                <w:lang w:val="es-419" w:eastAsia="es-419"/>
              </w:rPr>
              <w:t>(2020-2024)</w:t>
            </w:r>
          </w:p>
        </w:tc>
        <w:tc>
          <w:tcPr>
            <w:tcW w:w="95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BC005EE" w14:textId="382E1A69" w:rsidR="006F0BB0" w:rsidRPr="006F0BB0" w:rsidRDefault="006F0BB0" w:rsidP="007D1DBA">
            <w:pPr>
              <w:jc w:val="center"/>
              <w:rPr>
                <w:b/>
                <w:bCs/>
                <w:sz w:val="18"/>
                <w:szCs w:val="18"/>
                <w:lang w:val="es-419" w:eastAsia="en-CA"/>
              </w:rPr>
            </w:pPr>
            <w:r w:rsidRPr="006F0BB0">
              <w:rPr>
                <w:b/>
                <w:bCs/>
                <w:sz w:val="18"/>
                <w:szCs w:val="18"/>
                <w:lang w:val="es-419" w:eastAsia="es-419"/>
              </w:rPr>
              <w:t>Nivel básico completo de HFC</w:t>
            </w:r>
          </w:p>
        </w:tc>
        <w:tc>
          <w:tcPr>
            <w:tcW w:w="108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0B0396E" w14:textId="069F9E78" w:rsidR="006F0BB0" w:rsidRPr="006F0BB0" w:rsidRDefault="006F0BB0" w:rsidP="007D1DBA">
            <w:pPr>
              <w:jc w:val="center"/>
              <w:rPr>
                <w:b/>
                <w:bCs/>
                <w:sz w:val="18"/>
                <w:szCs w:val="18"/>
                <w:lang w:val="es-419" w:eastAsia="en-CA"/>
              </w:rPr>
            </w:pPr>
            <w:r w:rsidRPr="006F0BB0">
              <w:rPr>
                <w:b/>
                <w:bCs/>
                <w:sz w:val="18"/>
                <w:szCs w:val="18"/>
                <w:lang w:val="es-419" w:eastAsia="es-419"/>
              </w:rPr>
              <w:t>Consumo en 2024 / Nivel básico de HFC</w:t>
            </w:r>
          </w:p>
        </w:tc>
      </w:tr>
      <w:tr w:rsidR="006F0BB0" w:rsidRPr="006F0BB0" w14:paraId="63B88FC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6628001"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Líbano</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BD58E2C" w14:textId="77777777" w:rsidR="006F0BB0" w:rsidRPr="006F0BB0" w:rsidRDefault="006F0BB0" w:rsidP="007D1DBA">
            <w:pPr>
              <w:jc w:val="right"/>
              <w:rPr>
                <w:sz w:val="18"/>
                <w:szCs w:val="18"/>
                <w:lang w:val="en-CA" w:eastAsia="en-CA"/>
              </w:rPr>
            </w:pPr>
            <w:r w:rsidRPr="006F0BB0">
              <w:rPr>
                <w:sz w:val="18"/>
                <w:szCs w:val="18"/>
              </w:rPr>
              <w:t>30 069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ABC067A" w14:textId="77777777" w:rsidR="006F0BB0" w:rsidRPr="006F0BB0" w:rsidRDefault="006F0BB0" w:rsidP="007D1DBA">
            <w:pPr>
              <w:jc w:val="right"/>
              <w:rPr>
                <w:sz w:val="18"/>
                <w:szCs w:val="18"/>
                <w:lang w:val="en-CA" w:eastAsia="en-CA"/>
              </w:rPr>
            </w:pPr>
            <w:r w:rsidRPr="006F0BB0">
              <w:rPr>
                <w:sz w:val="18"/>
                <w:szCs w:val="18"/>
              </w:rPr>
              <w:t>33 075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A513DA6" w14:textId="77777777" w:rsidR="006F0BB0" w:rsidRPr="006F0BB0" w:rsidRDefault="006F0BB0" w:rsidP="007D1DBA">
            <w:pPr>
              <w:jc w:val="right"/>
              <w:rPr>
                <w:sz w:val="18"/>
                <w:szCs w:val="18"/>
                <w:lang w:val="en-CA" w:eastAsia="en-CA"/>
              </w:rPr>
            </w:pPr>
            <w:r w:rsidRPr="006F0BB0">
              <w:rPr>
                <w:sz w:val="18"/>
                <w:szCs w:val="18"/>
              </w:rPr>
              <w:t>36 383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9B70682" w14:textId="77777777" w:rsidR="006F0BB0" w:rsidRPr="006F0BB0" w:rsidRDefault="006F0BB0" w:rsidP="007D1DBA">
            <w:pPr>
              <w:jc w:val="right"/>
              <w:rPr>
                <w:sz w:val="18"/>
                <w:szCs w:val="18"/>
                <w:lang w:val="en-CA" w:eastAsia="en-CA"/>
              </w:rPr>
            </w:pPr>
            <w:r w:rsidRPr="006F0BB0">
              <w:rPr>
                <w:sz w:val="18"/>
                <w:szCs w:val="18"/>
              </w:rPr>
              <w:t>40 021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819713" w14:textId="77777777" w:rsidR="006F0BB0" w:rsidRPr="006F0BB0" w:rsidRDefault="006F0BB0" w:rsidP="007D1DBA">
            <w:pPr>
              <w:jc w:val="right"/>
              <w:rPr>
                <w:sz w:val="18"/>
                <w:szCs w:val="18"/>
                <w:lang w:val="en-CA" w:eastAsia="en-CA"/>
              </w:rPr>
            </w:pPr>
            <w:r w:rsidRPr="006F0BB0">
              <w:rPr>
                <w:sz w:val="18"/>
                <w:szCs w:val="18"/>
              </w:rPr>
              <w:t>44 023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F8D7251" w14:textId="77777777" w:rsidR="006F0BB0" w:rsidRPr="006F0BB0" w:rsidRDefault="006F0BB0" w:rsidP="007D1DBA">
            <w:pPr>
              <w:jc w:val="right"/>
              <w:rPr>
                <w:sz w:val="18"/>
                <w:szCs w:val="18"/>
                <w:lang w:val="en-CA" w:eastAsia="en-CA"/>
              </w:rPr>
            </w:pPr>
            <w:r w:rsidRPr="006F0BB0">
              <w:rPr>
                <w:sz w:val="18"/>
                <w:szCs w:val="18"/>
              </w:rPr>
              <w:t>48 426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0677308" w14:textId="77777777" w:rsidR="006F0BB0" w:rsidRPr="006F0BB0" w:rsidRDefault="006F0BB0" w:rsidP="007D1DBA">
            <w:pPr>
              <w:jc w:val="right"/>
              <w:rPr>
                <w:sz w:val="18"/>
                <w:szCs w:val="18"/>
                <w:lang w:val="en-CA" w:eastAsia="en-CA"/>
              </w:rPr>
            </w:pPr>
            <w:r w:rsidRPr="006F0BB0">
              <w:rPr>
                <w:sz w:val="18"/>
                <w:szCs w:val="18"/>
              </w:rPr>
              <w:t>36 493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BB4B913" w14:textId="77777777" w:rsidR="006F0BB0" w:rsidRPr="006F0BB0" w:rsidRDefault="006F0BB0" w:rsidP="007D1DBA">
            <w:pPr>
              <w:jc w:val="right"/>
              <w:rPr>
                <w:sz w:val="18"/>
                <w:szCs w:val="18"/>
                <w:lang w:val="en-CA" w:eastAsia="en-CA"/>
              </w:rPr>
            </w:pPr>
            <w:r w:rsidRPr="006F0BB0">
              <w:rPr>
                <w:sz w:val="18"/>
                <w:szCs w:val="18"/>
              </w:rPr>
              <w:t>966 177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F2CC61A" w14:textId="77777777" w:rsidR="006F0BB0" w:rsidRPr="006F0BB0" w:rsidRDefault="006F0BB0" w:rsidP="007D1DBA">
            <w:pPr>
              <w:jc w:val="right"/>
              <w:rPr>
                <w:sz w:val="18"/>
                <w:szCs w:val="18"/>
                <w:lang w:val="en-CA" w:eastAsia="en-CA"/>
              </w:rPr>
            </w:pPr>
            <w:r w:rsidRPr="006F0BB0">
              <w:rPr>
                <w:sz w:val="18"/>
                <w:szCs w:val="18"/>
              </w:rPr>
              <w:t>5,0%</w:t>
            </w:r>
          </w:p>
        </w:tc>
      </w:tr>
      <w:tr w:rsidR="006F0BB0" w:rsidRPr="006F0BB0" w14:paraId="4F136CBE"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A700E25" w14:textId="77777777" w:rsidR="006F0BB0" w:rsidRPr="006F0BB0" w:rsidRDefault="006F0BB0" w:rsidP="007D1DBA">
            <w:pPr>
              <w:jc w:val="left"/>
              <w:rPr>
                <w:sz w:val="18"/>
                <w:szCs w:val="18"/>
                <w:lang w:val="en-CA" w:eastAsia="en-CA"/>
              </w:rPr>
            </w:pPr>
            <w:r w:rsidRPr="006F0BB0">
              <w:rPr>
                <w:sz w:val="18"/>
                <w:szCs w:val="18"/>
                <w:lang w:val="es-419" w:eastAsia="es-419"/>
              </w:rPr>
              <w:t>Venezuela (República Bolivariana de)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7DB8744" w14:textId="77777777" w:rsidR="006F0BB0" w:rsidRPr="006F0BB0" w:rsidRDefault="006F0BB0" w:rsidP="007D1DBA">
            <w:pPr>
              <w:jc w:val="right"/>
              <w:rPr>
                <w:sz w:val="18"/>
                <w:szCs w:val="18"/>
                <w:lang w:val="en-CA" w:eastAsia="en-CA"/>
              </w:rPr>
            </w:pPr>
            <w:r w:rsidRPr="006F0BB0">
              <w:rPr>
                <w:sz w:val="18"/>
                <w:szCs w:val="18"/>
              </w:rPr>
              <w:t>240 541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BE13623" w14:textId="77777777" w:rsidR="006F0BB0" w:rsidRPr="006F0BB0" w:rsidRDefault="006F0BB0" w:rsidP="007D1DBA">
            <w:pPr>
              <w:jc w:val="right"/>
              <w:rPr>
                <w:sz w:val="18"/>
                <w:szCs w:val="18"/>
                <w:lang w:val="en-CA" w:eastAsia="en-CA"/>
              </w:rPr>
            </w:pPr>
            <w:r w:rsidRPr="006F0BB0">
              <w:rPr>
                <w:sz w:val="18"/>
                <w:szCs w:val="18"/>
              </w:rPr>
              <w:t>264 595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9E6AF10" w14:textId="77777777" w:rsidR="006F0BB0" w:rsidRPr="006F0BB0" w:rsidRDefault="006F0BB0" w:rsidP="007D1DBA">
            <w:pPr>
              <w:jc w:val="right"/>
              <w:rPr>
                <w:sz w:val="18"/>
                <w:szCs w:val="18"/>
                <w:lang w:val="en-CA" w:eastAsia="en-CA"/>
              </w:rPr>
            </w:pPr>
            <w:r w:rsidRPr="006F0BB0">
              <w:rPr>
                <w:sz w:val="18"/>
                <w:szCs w:val="18"/>
              </w:rPr>
              <w:t>291 055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1D6C431" w14:textId="77777777" w:rsidR="006F0BB0" w:rsidRPr="006F0BB0" w:rsidRDefault="006F0BB0" w:rsidP="007D1DBA">
            <w:pPr>
              <w:jc w:val="right"/>
              <w:rPr>
                <w:sz w:val="18"/>
                <w:szCs w:val="18"/>
                <w:lang w:val="en-CA" w:eastAsia="en-CA"/>
              </w:rPr>
            </w:pPr>
            <w:r w:rsidRPr="006F0BB0">
              <w:rPr>
                <w:sz w:val="18"/>
                <w:szCs w:val="18"/>
              </w:rPr>
              <w:t>320 160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7315B4D" w14:textId="77777777" w:rsidR="006F0BB0" w:rsidRPr="006F0BB0" w:rsidRDefault="006F0BB0" w:rsidP="007D1DBA">
            <w:pPr>
              <w:jc w:val="right"/>
              <w:rPr>
                <w:sz w:val="18"/>
                <w:szCs w:val="18"/>
                <w:lang w:val="en-CA" w:eastAsia="en-CA"/>
              </w:rPr>
            </w:pPr>
            <w:r w:rsidRPr="006F0BB0">
              <w:rPr>
                <w:sz w:val="18"/>
                <w:szCs w:val="18"/>
              </w:rPr>
              <w:t>352 176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B886818" w14:textId="77777777" w:rsidR="006F0BB0" w:rsidRPr="006F0BB0" w:rsidRDefault="006F0BB0" w:rsidP="007D1DBA">
            <w:pPr>
              <w:jc w:val="right"/>
              <w:rPr>
                <w:sz w:val="18"/>
                <w:szCs w:val="18"/>
                <w:lang w:val="en-CA" w:eastAsia="en-CA"/>
              </w:rPr>
            </w:pPr>
            <w:r w:rsidRPr="006F0BB0">
              <w:rPr>
                <w:sz w:val="18"/>
                <w:szCs w:val="18"/>
              </w:rPr>
              <w:t>387 394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B0E59BB" w14:textId="77777777" w:rsidR="006F0BB0" w:rsidRPr="006F0BB0" w:rsidRDefault="006F0BB0" w:rsidP="007D1DBA">
            <w:pPr>
              <w:jc w:val="right"/>
              <w:rPr>
                <w:sz w:val="18"/>
                <w:szCs w:val="18"/>
                <w:lang w:val="en-CA" w:eastAsia="en-CA"/>
              </w:rPr>
            </w:pPr>
            <w:r w:rsidRPr="006F0BB0">
              <w:rPr>
                <w:sz w:val="18"/>
                <w:szCs w:val="18"/>
              </w:rPr>
              <w:t>291 937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0951BD3" w14:textId="77777777" w:rsidR="006F0BB0" w:rsidRPr="006F0BB0" w:rsidRDefault="006F0BB0" w:rsidP="007D1DBA">
            <w:pPr>
              <w:jc w:val="right"/>
              <w:rPr>
                <w:sz w:val="18"/>
                <w:szCs w:val="18"/>
                <w:lang w:val="en-CA" w:eastAsia="en-CA"/>
              </w:rPr>
            </w:pPr>
            <w:r w:rsidRPr="006F0BB0">
              <w:rPr>
                <w:sz w:val="18"/>
                <w:szCs w:val="18"/>
              </w:rPr>
              <w:t>4 050 101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3592CAB" w14:textId="77777777" w:rsidR="006F0BB0" w:rsidRPr="006F0BB0" w:rsidRDefault="006F0BB0" w:rsidP="007D1DBA">
            <w:pPr>
              <w:jc w:val="right"/>
              <w:rPr>
                <w:sz w:val="18"/>
                <w:szCs w:val="18"/>
                <w:lang w:val="en-CA" w:eastAsia="en-CA"/>
              </w:rPr>
            </w:pPr>
            <w:r w:rsidRPr="006F0BB0">
              <w:rPr>
                <w:sz w:val="18"/>
                <w:szCs w:val="18"/>
              </w:rPr>
              <w:t>9,6%</w:t>
            </w:r>
          </w:p>
        </w:tc>
      </w:tr>
      <w:tr w:rsidR="006F0BB0" w:rsidRPr="006F0BB0" w14:paraId="1243F00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73F9FF2" w14:textId="77777777" w:rsidR="006F0BB0" w:rsidRPr="006F0BB0" w:rsidRDefault="006F0BB0" w:rsidP="007D1DBA">
            <w:pPr>
              <w:jc w:val="left"/>
              <w:rPr>
                <w:sz w:val="18"/>
                <w:szCs w:val="18"/>
                <w:lang w:val="en-CA" w:eastAsia="en-CA"/>
              </w:rPr>
            </w:pPr>
            <w:r w:rsidRPr="006F0BB0">
              <w:rPr>
                <w:sz w:val="18"/>
                <w:szCs w:val="18"/>
                <w:lang w:val="en-CA" w:eastAsia="en-CA"/>
              </w:rPr>
              <w:t>Liberia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EE7E879" w14:textId="77777777" w:rsidR="006F0BB0" w:rsidRPr="006F0BB0" w:rsidRDefault="006F0BB0" w:rsidP="007D1DBA">
            <w:pPr>
              <w:jc w:val="right"/>
              <w:rPr>
                <w:sz w:val="18"/>
                <w:szCs w:val="18"/>
                <w:lang w:val="en-CA" w:eastAsia="en-CA"/>
              </w:rPr>
            </w:pPr>
            <w:r w:rsidRPr="006F0BB0">
              <w:rPr>
                <w:sz w:val="18"/>
                <w:szCs w:val="18"/>
              </w:rPr>
              <w:t>12 169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1CE3077" w14:textId="77777777" w:rsidR="006F0BB0" w:rsidRPr="006F0BB0" w:rsidRDefault="006F0BB0" w:rsidP="007D1DBA">
            <w:pPr>
              <w:jc w:val="right"/>
              <w:rPr>
                <w:sz w:val="18"/>
                <w:szCs w:val="18"/>
                <w:lang w:val="en-CA" w:eastAsia="en-CA"/>
              </w:rPr>
            </w:pPr>
            <w:r w:rsidRPr="006F0BB0">
              <w:rPr>
                <w:sz w:val="18"/>
                <w:szCs w:val="18"/>
              </w:rPr>
              <w:t>13 386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E261C26" w14:textId="77777777" w:rsidR="006F0BB0" w:rsidRPr="006F0BB0" w:rsidRDefault="006F0BB0" w:rsidP="007D1DBA">
            <w:pPr>
              <w:jc w:val="right"/>
              <w:rPr>
                <w:sz w:val="18"/>
                <w:szCs w:val="18"/>
                <w:lang w:val="en-CA" w:eastAsia="en-CA"/>
              </w:rPr>
            </w:pPr>
            <w:r w:rsidRPr="006F0BB0">
              <w:rPr>
                <w:sz w:val="18"/>
                <w:szCs w:val="18"/>
              </w:rPr>
              <w:t>14 724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712AC41" w14:textId="77777777" w:rsidR="006F0BB0" w:rsidRPr="006F0BB0" w:rsidRDefault="006F0BB0" w:rsidP="007D1DBA">
            <w:pPr>
              <w:jc w:val="right"/>
              <w:rPr>
                <w:sz w:val="18"/>
                <w:szCs w:val="18"/>
                <w:lang w:val="en-CA" w:eastAsia="en-CA"/>
              </w:rPr>
            </w:pPr>
            <w:r w:rsidRPr="006F0BB0">
              <w:rPr>
                <w:sz w:val="18"/>
                <w:szCs w:val="18"/>
              </w:rPr>
              <w:t>16 197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2671A45" w14:textId="77777777" w:rsidR="006F0BB0" w:rsidRPr="006F0BB0" w:rsidRDefault="006F0BB0" w:rsidP="007D1DBA">
            <w:pPr>
              <w:jc w:val="right"/>
              <w:rPr>
                <w:sz w:val="18"/>
                <w:szCs w:val="18"/>
                <w:lang w:val="en-CA" w:eastAsia="en-CA"/>
              </w:rPr>
            </w:pPr>
            <w:r w:rsidRPr="006F0BB0">
              <w:rPr>
                <w:sz w:val="18"/>
                <w:szCs w:val="18"/>
              </w:rPr>
              <w:t>17 817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867AF0C" w14:textId="77777777" w:rsidR="006F0BB0" w:rsidRPr="006F0BB0" w:rsidRDefault="006F0BB0" w:rsidP="007D1DBA">
            <w:pPr>
              <w:jc w:val="right"/>
              <w:rPr>
                <w:sz w:val="18"/>
                <w:szCs w:val="18"/>
                <w:lang w:val="en-CA" w:eastAsia="en-CA"/>
              </w:rPr>
            </w:pPr>
            <w:r w:rsidRPr="006F0BB0">
              <w:rPr>
                <w:sz w:val="18"/>
                <w:szCs w:val="18"/>
              </w:rPr>
              <w:t>19 598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CB31B01" w14:textId="77777777" w:rsidR="006F0BB0" w:rsidRPr="006F0BB0" w:rsidRDefault="006F0BB0" w:rsidP="007D1DBA">
            <w:pPr>
              <w:jc w:val="right"/>
              <w:rPr>
                <w:sz w:val="18"/>
                <w:szCs w:val="18"/>
                <w:lang w:val="en-CA" w:eastAsia="en-CA"/>
              </w:rPr>
            </w:pPr>
            <w:r w:rsidRPr="006F0BB0">
              <w:rPr>
                <w:sz w:val="18"/>
                <w:szCs w:val="18"/>
              </w:rPr>
              <w:t>14 769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E1FBF51" w14:textId="77777777" w:rsidR="006F0BB0" w:rsidRPr="006F0BB0" w:rsidRDefault="006F0BB0" w:rsidP="007D1DBA">
            <w:pPr>
              <w:jc w:val="right"/>
              <w:rPr>
                <w:sz w:val="18"/>
                <w:szCs w:val="18"/>
                <w:lang w:val="en-CA" w:eastAsia="en-CA"/>
              </w:rPr>
            </w:pPr>
            <w:r w:rsidRPr="006F0BB0">
              <w:rPr>
                <w:sz w:val="18"/>
                <w:szCs w:val="18"/>
              </w:rPr>
              <w:t>127 066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52FB6AFB" w14:textId="77777777" w:rsidR="006F0BB0" w:rsidRPr="006F0BB0" w:rsidRDefault="006F0BB0" w:rsidP="007D1DBA">
            <w:pPr>
              <w:jc w:val="right"/>
              <w:rPr>
                <w:sz w:val="18"/>
                <w:szCs w:val="18"/>
                <w:lang w:val="en-CA" w:eastAsia="en-CA"/>
              </w:rPr>
            </w:pPr>
            <w:r w:rsidRPr="006F0BB0">
              <w:rPr>
                <w:sz w:val="18"/>
                <w:szCs w:val="18"/>
              </w:rPr>
              <w:t>15,4%</w:t>
            </w:r>
          </w:p>
        </w:tc>
      </w:tr>
      <w:tr w:rsidR="006F0BB0" w:rsidRPr="006F0BB0" w14:paraId="025561F7"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35C3C5F" w14:textId="77777777" w:rsidR="006F0BB0" w:rsidRPr="006F0BB0" w:rsidRDefault="006F0BB0" w:rsidP="007D1DBA">
            <w:pPr>
              <w:jc w:val="left"/>
              <w:rPr>
                <w:sz w:val="18"/>
                <w:szCs w:val="18"/>
                <w:lang w:val="en-CA" w:eastAsia="en-CA"/>
              </w:rPr>
            </w:pPr>
            <w:r w:rsidRPr="006F0BB0">
              <w:rPr>
                <w:sz w:val="18"/>
                <w:szCs w:val="18"/>
                <w:lang w:val="en-CA" w:eastAsia="en-CA"/>
              </w:rPr>
              <w:t>Nigeria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484DDB5" w14:textId="77777777" w:rsidR="006F0BB0" w:rsidRPr="006F0BB0" w:rsidRDefault="006F0BB0" w:rsidP="007D1DBA">
            <w:pPr>
              <w:jc w:val="right"/>
              <w:rPr>
                <w:sz w:val="18"/>
                <w:szCs w:val="18"/>
                <w:lang w:val="en-CA" w:eastAsia="en-CA"/>
              </w:rPr>
            </w:pPr>
            <w:r w:rsidRPr="006F0BB0">
              <w:rPr>
                <w:sz w:val="18"/>
                <w:szCs w:val="18"/>
              </w:rPr>
              <w:t>807 493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83A3063" w14:textId="77777777" w:rsidR="006F0BB0" w:rsidRPr="006F0BB0" w:rsidRDefault="006F0BB0" w:rsidP="007D1DBA">
            <w:pPr>
              <w:jc w:val="right"/>
              <w:rPr>
                <w:sz w:val="18"/>
                <w:szCs w:val="18"/>
                <w:lang w:val="en-CA" w:eastAsia="en-CA"/>
              </w:rPr>
            </w:pPr>
            <w:r w:rsidRPr="006F0BB0">
              <w:rPr>
                <w:sz w:val="18"/>
                <w:szCs w:val="18"/>
              </w:rPr>
              <w:t>888 242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B5F1250" w14:textId="77777777" w:rsidR="006F0BB0" w:rsidRPr="006F0BB0" w:rsidRDefault="006F0BB0" w:rsidP="007D1DBA">
            <w:pPr>
              <w:jc w:val="right"/>
              <w:rPr>
                <w:sz w:val="18"/>
                <w:szCs w:val="18"/>
                <w:lang w:val="en-CA" w:eastAsia="en-CA"/>
              </w:rPr>
            </w:pPr>
            <w:r w:rsidRPr="006F0BB0">
              <w:rPr>
                <w:sz w:val="18"/>
                <w:szCs w:val="18"/>
              </w:rPr>
              <w:t>977 066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94E8ACA" w14:textId="77777777" w:rsidR="006F0BB0" w:rsidRPr="006F0BB0" w:rsidRDefault="006F0BB0" w:rsidP="007D1DBA">
            <w:pPr>
              <w:jc w:val="right"/>
              <w:rPr>
                <w:sz w:val="18"/>
                <w:szCs w:val="18"/>
                <w:lang w:val="en-CA" w:eastAsia="en-CA"/>
              </w:rPr>
            </w:pPr>
            <w:r w:rsidRPr="006F0BB0">
              <w:rPr>
                <w:sz w:val="18"/>
                <w:szCs w:val="18"/>
              </w:rPr>
              <w:t>1 074 773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52F2773" w14:textId="77777777" w:rsidR="006F0BB0" w:rsidRPr="006F0BB0" w:rsidRDefault="006F0BB0" w:rsidP="007D1DBA">
            <w:pPr>
              <w:jc w:val="right"/>
              <w:rPr>
                <w:sz w:val="18"/>
                <w:szCs w:val="18"/>
                <w:lang w:val="en-CA" w:eastAsia="en-CA"/>
              </w:rPr>
            </w:pPr>
            <w:r w:rsidRPr="006F0BB0">
              <w:rPr>
                <w:sz w:val="18"/>
                <w:szCs w:val="18"/>
              </w:rPr>
              <w:t>1 182 250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D0925DF" w14:textId="77777777" w:rsidR="006F0BB0" w:rsidRPr="006F0BB0" w:rsidRDefault="006F0BB0" w:rsidP="007D1DBA">
            <w:pPr>
              <w:jc w:val="right"/>
              <w:rPr>
                <w:sz w:val="18"/>
                <w:szCs w:val="18"/>
                <w:lang w:val="en-CA" w:eastAsia="en-CA"/>
              </w:rPr>
            </w:pPr>
            <w:r w:rsidRPr="006F0BB0">
              <w:rPr>
                <w:sz w:val="18"/>
                <w:szCs w:val="18"/>
              </w:rPr>
              <w:t>1 300 475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FE8D3E" w14:textId="77777777" w:rsidR="006F0BB0" w:rsidRPr="006F0BB0" w:rsidRDefault="006F0BB0" w:rsidP="007D1DBA">
            <w:pPr>
              <w:jc w:val="right"/>
              <w:rPr>
                <w:sz w:val="18"/>
                <w:szCs w:val="18"/>
                <w:lang w:val="en-CA" w:eastAsia="en-CA"/>
              </w:rPr>
            </w:pPr>
            <w:r w:rsidRPr="006F0BB0">
              <w:rPr>
                <w:sz w:val="18"/>
                <w:szCs w:val="18"/>
              </w:rPr>
              <w:t>980 027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7D43F5" w14:textId="77777777" w:rsidR="006F0BB0" w:rsidRPr="006F0BB0" w:rsidRDefault="006F0BB0" w:rsidP="007D1DBA">
            <w:pPr>
              <w:jc w:val="right"/>
              <w:rPr>
                <w:sz w:val="18"/>
                <w:szCs w:val="18"/>
                <w:lang w:val="en-CA" w:eastAsia="en-CA"/>
              </w:rPr>
            </w:pPr>
            <w:r w:rsidRPr="006F0BB0">
              <w:rPr>
                <w:sz w:val="18"/>
                <w:szCs w:val="18"/>
              </w:rPr>
              <w:t>6 709 128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2A5164D" w14:textId="77777777" w:rsidR="006F0BB0" w:rsidRPr="006F0BB0" w:rsidRDefault="006F0BB0" w:rsidP="007D1DBA">
            <w:pPr>
              <w:jc w:val="right"/>
              <w:rPr>
                <w:sz w:val="18"/>
                <w:szCs w:val="18"/>
                <w:lang w:val="en-CA" w:eastAsia="en-CA"/>
              </w:rPr>
            </w:pPr>
            <w:r w:rsidRPr="006F0BB0">
              <w:rPr>
                <w:sz w:val="18"/>
                <w:szCs w:val="18"/>
              </w:rPr>
              <w:t>19,4%</w:t>
            </w:r>
          </w:p>
        </w:tc>
      </w:tr>
      <w:tr w:rsidR="006F0BB0" w:rsidRPr="006F0BB0" w14:paraId="29BA1CF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09BF9FA"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Camboya</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AD1BCF9" w14:textId="77777777" w:rsidR="006F0BB0" w:rsidRPr="006F0BB0" w:rsidRDefault="006F0BB0" w:rsidP="007D1DBA">
            <w:pPr>
              <w:jc w:val="right"/>
              <w:rPr>
                <w:sz w:val="18"/>
                <w:szCs w:val="18"/>
                <w:lang w:val="en-CA" w:eastAsia="en-CA"/>
              </w:rPr>
            </w:pPr>
            <w:r w:rsidRPr="006F0BB0">
              <w:rPr>
                <w:sz w:val="18"/>
                <w:szCs w:val="18"/>
              </w:rPr>
              <w:t>70 072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4B5C11" w14:textId="77777777" w:rsidR="006F0BB0" w:rsidRPr="006F0BB0" w:rsidRDefault="006F0BB0" w:rsidP="007D1DBA">
            <w:pPr>
              <w:jc w:val="right"/>
              <w:rPr>
                <w:sz w:val="18"/>
                <w:szCs w:val="18"/>
                <w:lang w:val="en-CA" w:eastAsia="en-CA"/>
              </w:rPr>
            </w:pPr>
            <w:r w:rsidRPr="006F0BB0">
              <w:rPr>
                <w:sz w:val="18"/>
                <w:szCs w:val="18"/>
              </w:rPr>
              <w:t>77 079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518008C" w14:textId="77777777" w:rsidR="006F0BB0" w:rsidRPr="006F0BB0" w:rsidRDefault="006F0BB0" w:rsidP="007D1DBA">
            <w:pPr>
              <w:jc w:val="right"/>
              <w:rPr>
                <w:sz w:val="18"/>
                <w:szCs w:val="18"/>
                <w:lang w:val="en-CA" w:eastAsia="en-CA"/>
              </w:rPr>
            </w:pPr>
            <w:r w:rsidRPr="006F0BB0">
              <w:rPr>
                <w:sz w:val="18"/>
                <w:szCs w:val="18"/>
              </w:rPr>
              <w:t>84 787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4D9C4D0" w14:textId="77777777" w:rsidR="006F0BB0" w:rsidRPr="006F0BB0" w:rsidRDefault="006F0BB0" w:rsidP="007D1DBA">
            <w:pPr>
              <w:jc w:val="right"/>
              <w:rPr>
                <w:sz w:val="18"/>
                <w:szCs w:val="18"/>
                <w:lang w:val="en-CA" w:eastAsia="en-CA"/>
              </w:rPr>
            </w:pPr>
            <w:r w:rsidRPr="006F0BB0">
              <w:rPr>
                <w:sz w:val="18"/>
                <w:szCs w:val="18"/>
              </w:rPr>
              <w:t>93 266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160441E" w14:textId="77777777" w:rsidR="006F0BB0" w:rsidRPr="006F0BB0" w:rsidRDefault="006F0BB0" w:rsidP="007D1DBA">
            <w:pPr>
              <w:jc w:val="right"/>
              <w:rPr>
                <w:sz w:val="18"/>
                <w:szCs w:val="18"/>
                <w:lang w:val="en-CA" w:eastAsia="en-CA"/>
              </w:rPr>
            </w:pPr>
            <w:r w:rsidRPr="006F0BB0">
              <w:rPr>
                <w:sz w:val="18"/>
                <w:szCs w:val="18"/>
              </w:rPr>
              <w:t>102 592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5220399" w14:textId="77777777" w:rsidR="006F0BB0" w:rsidRPr="006F0BB0" w:rsidRDefault="006F0BB0" w:rsidP="007D1DBA">
            <w:pPr>
              <w:jc w:val="right"/>
              <w:rPr>
                <w:sz w:val="18"/>
                <w:szCs w:val="18"/>
                <w:lang w:val="en-CA" w:eastAsia="en-CA"/>
              </w:rPr>
            </w:pPr>
            <w:r w:rsidRPr="006F0BB0">
              <w:rPr>
                <w:sz w:val="18"/>
                <w:szCs w:val="18"/>
              </w:rPr>
              <w:t>112 852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4F0D01D" w14:textId="77777777" w:rsidR="006F0BB0" w:rsidRPr="006F0BB0" w:rsidRDefault="006F0BB0" w:rsidP="007D1DBA">
            <w:pPr>
              <w:jc w:val="right"/>
              <w:rPr>
                <w:sz w:val="18"/>
                <w:szCs w:val="18"/>
                <w:lang w:val="en-CA" w:eastAsia="en-CA"/>
              </w:rPr>
            </w:pPr>
            <w:r w:rsidRPr="006F0BB0">
              <w:rPr>
                <w:sz w:val="18"/>
                <w:szCs w:val="18"/>
              </w:rPr>
              <w:t>85 044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56C9F9C" w14:textId="77777777" w:rsidR="006F0BB0" w:rsidRPr="006F0BB0" w:rsidRDefault="006F0BB0" w:rsidP="007D1DBA">
            <w:pPr>
              <w:jc w:val="right"/>
              <w:rPr>
                <w:sz w:val="18"/>
                <w:szCs w:val="18"/>
                <w:lang w:val="en-CA" w:eastAsia="en-CA"/>
              </w:rPr>
            </w:pPr>
            <w:r w:rsidRPr="006F0BB0">
              <w:rPr>
                <w:sz w:val="18"/>
                <w:szCs w:val="18"/>
              </w:rPr>
              <w:t>405 293</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333EA8D" w14:textId="77777777" w:rsidR="006F0BB0" w:rsidRPr="006F0BB0" w:rsidRDefault="006F0BB0" w:rsidP="007D1DBA">
            <w:pPr>
              <w:jc w:val="right"/>
              <w:rPr>
                <w:sz w:val="18"/>
                <w:szCs w:val="18"/>
                <w:lang w:val="en-CA" w:eastAsia="en-CA"/>
              </w:rPr>
            </w:pPr>
            <w:r w:rsidRPr="006F0BB0">
              <w:rPr>
                <w:sz w:val="18"/>
                <w:szCs w:val="18"/>
              </w:rPr>
              <w:t>27,8%</w:t>
            </w:r>
          </w:p>
        </w:tc>
      </w:tr>
      <w:tr w:rsidR="006F0BB0" w:rsidRPr="006F0BB0" w14:paraId="3A5AC0D4"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3F6A977"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Camerún</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8D023BC" w14:textId="77777777" w:rsidR="006F0BB0" w:rsidRPr="006F0BB0" w:rsidRDefault="006F0BB0" w:rsidP="007D1DBA">
            <w:pPr>
              <w:jc w:val="right"/>
              <w:rPr>
                <w:sz w:val="18"/>
                <w:szCs w:val="18"/>
                <w:lang w:val="en-CA" w:eastAsia="en-CA"/>
              </w:rPr>
            </w:pPr>
            <w:r w:rsidRPr="006F0BB0">
              <w:rPr>
                <w:sz w:val="18"/>
                <w:szCs w:val="18"/>
              </w:rPr>
              <w:t>344 326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3F78D2F" w14:textId="77777777" w:rsidR="006F0BB0" w:rsidRPr="006F0BB0" w:rsidRDefault="006F0BB0" w:rsidP="007D1DBA">
            <w:pPr>
              <w:jc w:val="right"/>
              <w:rPr>
                <w:sz w:val="18"/>
                <w:szCs w:val="18"/>
                <w:lang w:val="en-CA" w:eastAsia="en-CA"/>
              </w:rPr>
            </w:pPr>
            <w:r w:rsidRPr="006F0BB0">
              <w:rPr>
                <w:sz w:val="18"/>
                <w:szCs w:val="18"/>
              </w:rPr>
              <w:t>378 759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AF00C28" w14:textId="77777777" w:rsidR="006F0BB0" w:rsidRPr="006F0BB0" w:rsidRDefault="006F0BB0" w:rsidP="007D1DBA">
            <w:pPr>
              <w:jc w:val="right"/>
              <w:rPr>
                <w:sz w:val="18"/>
                <w:szCs w:val="18"/>
                <w:lang w:val="en-CA" w:eastAsia="en-CA"/>
              </w:rPr>
            </w:pPr>
            <w:r w:rsidRPr="006F0BB0">
              <w:rPr>
                <w:sz w:val="18"/>
                <w:szCs w:val="18"/>
              </w:rPr>
              <w:t>416 634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60F2A55" w14:textId="77777777" w:rsidR="006F0BB0" w:rsidRPr="006F0BB0" w:rsidRDefault="006F0BB0" w:rsidP="007D1DBA">
            <w:pPr>
              <w:jc w:val="right"/>
              <w:rPr>
                <w:sz w:val="18"/>
                <w:szCs w:val="18"/>
                <w:lang w:val="en-CA" w:eastAsia="en-CA"/>
              </w:rPr>
            </w:pPr>
            <w:r w:rsidRPr="006F0BB0">
              <w:rPr>
                <w:sz w:val="18"/>
                <w:szCs w:val="18"/>
              </w:rPr>
              <w:t>458 298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ED7C384" w14:textId="77777777" w:rsidR="006F0BB0" w:rsidRPr="006F0BB0" w:rsidRDefault="006F0BB0" w:rsidP="007D1DBA">
            <w:pPr>
              <w:jc w:val="right"/>
              <w:rPr>
                <w:sz w:val="18"/>
                <w:szCs w:val="18"/>
                <w:lang w:val="en-CA" w:eastAsia="en-CA"/>
              </w:rPr>
            </w:pPr>
            <w:r w:rsidRPr="006F0BB0">
              <w:rPr>
                <w:sz w:val="18"/>
                <w:szCs w:val="18"/>
              </w:rPr>
              <w:t>504 128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674611E" w14:textId="77777777" w:rsidR="006F0BB0" w:rsidRPr="006F0BB0" w:rsidRDefault="006F0BB0" w:rsidP="007D1DBA">
            <w:pPr>
              <w:jc w:val="right"/>
              <w:rPr>
                <w:sz w:val="18"/>
                <w:szCs w:val="18"/>
                <w:lang w:val="en-CA" w:eastAsia="en-CA"/>
              </w:rPr>
            </w:pPr>
            <w:r w:rsidRPr="006F0BB0">
              <w:rPr>
                <w:sz w:val="18"/>
                <w:szCs w:val="18"/>
              </w:rPr>
              <w:t>554 540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9BE7E49" w14:textId="77777777" w:rsidR="006F0BB0" w:rsidRPr="006F0BB0" w:rsidRDefault="006F0BB0" w:rsidP="007D1DBA">
            <w:pPr>
              <w:jc w:val="right"/>
              <w:rPr>
                <w:sz w:val="18"/>
                <w:szCs w:val="18"/>
                <w:lang w:val="en-CA" w:eastAsia="en-CA"/>
              </w:rPr>
            </w:pPr>
            <w:r w:rsidRPr="006F0BB0">
              <w:rPr>
                <w:sz w:val="18"/>
                <w:szCs w:val="18"/>
              </w:rPr>
              <w:t>417 897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FF8DCF" w14:textId="77777777" w:rsidR="006F0BB0" w:rsidRPr="006F0BB0" w:rsidRDefault="006F0BB0" w:rsidP="007D1DBA">
            <w:pPr>
              <w:jc w:val="right"/>
              <w:rPr>
                <w:sz w:val="18"/>
                <w:szCs w:val="18"/>
                <w:lang w:val="en-CA" w:eastAsia="en-CA"/>
              </w:rPr>
            </w:pPr>
            <w:r w:rsidRPr="006F0BB0">
              <w:rPr>
                <w:sz w:val="18"/>
                <w:szCs w:val="18"/>
              </w:rPr>
              <w:t>1 940 407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5F02F7E" w14:textId="77777777" w:rsidR="006F0BB0" w:rsidRPr="006F0BB0" w:rsidRDefault="006F0BB0" w:rsidP="007D1DBA">
            <w:pPr>
              <w:jc w:val="right"/>
              <w:rPr>
                <w:sz w:val="18"/>
                <w:szCs w:val="18"/>
                <w:lang w:val="en-CA" w:eastAsia="en-CA"/>
              </w:rPr>
            </w:pPr>
            <w:r w:rsidRPr="006F0BB0">
              <w:rPr>
                <w:sz w:val="18"/>
                <w:szCs w:val="18"/>
              </w:rPr>
              <w:t>28,6%</w:t>
            </w:r>
          </w:p>
        </w:tc>
      </w:tr>
      <w:tr w:rsidR="006F0BB0" w:rsidRPr="006F0BB0" w14:paraId="76F014A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6A44681" w14:textId="77777777" w:rsidR="006F0BB0" w:rsidRPr="006F0BB0" w:rsidRDefault="006F0BB0" w:rsidP="007D1DBA">
            <w:pPr>
              <w:jc w:val="left"/>
              <w:rPr>
                <w:sz w:val="18"/>
                <w:szCs w:val="18"/>
                <w:lang w:val="en-CA" w:eastAsia="en-CA"/>
              </w:rPr>
            </w:pPr>
            <w:r w:rsidRPr="006F0BB0">
              <w:rPr>
                <w:sz w:val="18"/>
                <w:szCs w:val="18"/>
                <w:lang w:val="en-CA" w:eastAsia="en-CA"/>
              </w:rPr>
              <w:t xml:space="preserve">Guinea </w:t>
            </w:r>
            <w:proofErr w:type="spellStart"/>
            <w:r w:rsidRPr="006F0BB0">
              <w:rPr>
                <w:sz w:val="18"/>
                <w:szCs w:val="18"/>
                <w:lang w:val="en-CA" w:eastAsia="en-CA"/>
              </w:rPr>
              <w:t>Ecuatorial</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7319343" w14:textId="77777777" w:rsidR="006F0BB0" w:rsidRPr="006F0BB0" w:rsidRDefault="006F0BB0" w:rsidP="007D1DBA">
            <w:pPr>
              <w:jc w:val="right"/>
              <w:rPr>
                <w:sz w:val="18"/>
                <w:szCs w:val="18"/>
                <w:lang w:val="en-CA" w:eastAsia="en-CA"/>
              </w:rPr>
            </w:pPr>
            <w:r w:rsidRPr="006F0BB0">
              <w:rPr>
                <w:sz w:val="18"/>
                <w:szCs w:val="18"/>
              </w:rPr>
              <w:t>39 686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3EB475C" w14:textId="77777777" w:rsidR="006F0BB0" w:rsidRPr="006F0BB0" w:rsidRDefault="006F0BB0" w:rsidP="007D1DBA">
            <w:pPr>
              <w:jc w:val="right"/>
              <w:rPr>
                <w:sz w:val="18"/>
                <w:szCs w:val="18"/>
                <w:lang w:val="en-CA" w:eastAsia="en-CA"/>
              </w:rPr>
            </w:pPr>
            <w:r w:rsidRPr="006F0BB0">
              <w:rPr>
                <w:sz w:val="18"/>
                <w:szCs w:val="18"/>
              </w:rPr>
              <w:t>43 655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41D5BFA" w14:textId="77777777" w:rsidR="006F0BB0" w:rsidRPr="006F0BB0" w:rsidRDefault="006F0BB0" w:rsidP="007D1DBA">
            <w:pPr>
              <w:jc w:val="right"/>
              <w:rPr>
                <w:sz w:val="18"/>
                <w:szCs w:val="18"/>
                <w:lang w:val="en-CA" w:eastAsia="en-CA"/>
              </w:rPr>
            </w:pPr>
            <w:r w:rsidRPr="006F0BB0">
              <w:rPr>
                <w:sz w:val="18"/>
                <w:szCs w:val="18"/>
              </w:rPr>
              <w:t>48 020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55E7191" w14:textId="77777777" w:rsidR="006F0BB0" w:rsidRPr="006F0BB0" w:rsidRDefault="006F0BB0" w:rsidP="007D1DBA">
            <w:pPr>
              <w:jc w:val="right"/>
              <w:rPr>
                <w:sz w:val="18"/>
                <w:szCs w:val="18"/>
                <w:lang w:val="en-CA" w:eastAsia="en-CA"/>
              </w:rPr>
            </w:pPr>
            <w:r w:rsidRPr="006F0BB0">
              <w:rPr>
                <w:sz w:val="18"/>
                <w:szCs w:val="18"/>
              </w:rPr>
              <w:t>52 822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337A929" w14:textId="77777777" w:rsidR="006F0BB0" w:rsidRPr="006F0BB0" w:rsidRDefault="006F0BB0" w:rsidP="007D1DBA">
            <w:pPr>
              <w:jc w:val="right"/>
              <w:rPr>
                <w:sz w:val="18"/>
                <w:szCs w:val="18"/>
                <w:lang w:val="en-CA" w:eastAsia="en-CA"/>
              </w:rPr>
            </w:pPr>
            <w:r w:rsidRPr="006F0BB0">
              <w:rPr>
                <w:sz w:val="18"/>
                <w:szCs w:val="18"/>
              </w:rPr>
              <w:t>58 104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961496F" w14:textId="77777777" w:rsidR="006F0BB0" w:rsidRPr="006F0BB0" w:rsidRDefault="006F0BB0" w:rsidP="007D1DBA">
            <w:pPr>
              <w:jc w:val="right"/>
              <w:rPr>
                <w:sz w:val="18"/>
                <w:szCs w:val="18"/>
                <w:lang w:val="en-CA" w:eastAsia="en-CA"/>
              </w:rPr>
            </w:pPr>
            <w:r w:rsidRPr="006F0BB0">
              <w:rPr>
                <w:sz w:val="18"/>
                <w:szCs w:val="18"/>
              </w:rPr>
              <w:t>63 915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44B025D" w14:textId="77777777" w:rsidR="006F0BB0" w:rsidRPr="006F0BB0" w:rsidRDefault="006F0BB0" w:rsidP="007D1DBA">
            <w:pPr>
              <w:jc w:val="right"/>
              <w:rPr>
                <w:sz w:val="18"/>
                <w:szCs w:val="18"/>
                <w:lang w:val="en-CA" w:eastAsia="en-CA"/>
              </w:rPr>
            </w:pPr>
            <w:r w:rsidRPr="006F0BB0">
              <w:rPr>
                <w:sz w:val="18"/>
                <w:szCs w:val="18"/>
              </w:rPr>
              <w:t>48 166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CA677DD" w14:textId="77777777" w:rsidR="006F0BB0" w:rsidRPr="006F0BB0" w:rsidRDefault="006F0BB0" w:rsidP="007D1DBA">
            <w:pPr>
              <w:jc w:val="right"/>
              <w:rPr>
                <w:sz w:val="18"/>
                <w:szCs w:val="18"/>
                <w:lang w:val="en-CA" w:eastAsia="en-CA"/>
              </w:rPr>
            </w:pPr>
            <w:r w:rsidRPr="006F0BB0">
              <w:rPr>
                <w:sz w:val="18"/>
                <w:szCs w:val="18"/>
              </w:rPr>
              <w:t>182 704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951171A" w14:textId="77777777" w:rsidR="006F0BB0" w:rsidRPr="006F0BB0" w:rsidRDefault="006F0BB0" w:rsidP="007D1DBA">
            <w:pPr>
              <w:jc w:val="right"/>
              <w:rPr>
                <w:sz w:val="18"/>
                <w:szCs w:val="18"/>
                <w:lang w:val="en-CA" w:eastAsia="en-CA"/>
              </w:rPr>
            </w:pPr>
            <w:r w:rsidRPr="006F0BB0">
              <w:rPr>
                <w:sz w:val="18"/>
                <w:szCs w:val="18"/>
              </w:rPr>
              <w:t>35,0%</w:t>
            </w:r>
          </w:p>
        </w:tc>
      </w:tr>
      <w:tr w:rsidR="006F0BB0" w:rsidRPr="006F0BB0" w14:paraId="64917A4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3559DE3" w14:textId="77777777" w:rsidR="006F0BB0" w:rsidRPr="006F0BB0" w:rsidRDefault="006F0BB0" w:rsidP="007D1DBA">
            <w:pPr>
              <w:jc w:val="left"/>
              <w:rPr>
                <w:sz w:val="18"/>
                <w:szCs w:val="18"/>
                <w:lang w:val="en-CA" w:eastAsia="en-CA"/>
              </w:rPr>
            </w:pPr>
            <w:r w:rsidRPr="006F0BB0">
              <w:rPr>
                <w:sz w:val="18"/>
                <w:szCs w:val="18"/>
                <w:lang w:val="en-CA" w:eastAsia="en-CA"/>
              </w:rPr>
              <w:t>Burundi</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6970F77" w14:textId="77777777" w:rsidR="006F0BB0" w:rsidRPr="006F0BB0" w:rsidRDefault="006F0BB0" w:rsidP="007D1DBA">
            <w:pPr>
              <w:jc w:val="right"/>
              <w:rPr>
                <w:sz w:val="18"/>
                <w:szCs w:val="18"/>
                <w:lang w:val="en-CA" w:eastAsia="en-CA"/>
              </w:rPr>
            </w:pPr>
            <w:r w:rsidRPr="006F0BB0">
              <w:rPr>
                <w:sz w:val="18"/>
                <w:szCs w:val="18"/>
              </w:rPr>
              <w:t>46 214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C3927C3" w14:textId="77777777" w:rsidR="006F0BB0" w:rsidRPr="006F0BB0" w:rsidRDefault="006F0BB0" w:rsidP="007D1DBA">
            <w:pPr>
              <w:jc w:val="right"/>
              <w:rPr>
                <w:sz w:val="18"/>
                <w:szCs w:val="18"/>
                <w:lang w:val="en-CA" w:eastAsia="en-CA"/>
              </w:rPr>
            </w:pPr>
            <w:r w:rsidRPr="006F0BB0">
              <w:rPr>
                <w:sz w:val="18"/>
                <w:szCs w:val="18"/>
              </w:rPr>
              <w:t>50 835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7B75463" w14:textId="77777777" w:rsidR="006F0BB0" w:rsidRPr="006F0BB0" w:rsidRDefault="006F0BB0" w:rsidP="007D1DBA">
            <w:pPr>
              <w:jc w:val="right"/>
              <w:rPr>
                <w:sz w:val="18"/>
                <w:szCs w:val="18"/>
                <w:lang w:val="en-CA" w:eastAsia="en-CA"/>
              </w:rPr>
            </w:pPr>
            <w:r w:rsidRPr="006F0BB0">
              <w:rPr>
                <w:sz w:val="18"/>
                <w:szCs w:val="18"/>
              </w:rPr>
              <w:t>55 919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F2D06B2" w14:textId="77777777" w:rsidR="006F0BB0" w:rsidRPr="006F0BB0" w:rsidRDefault="006F0BB0" w:rsidP="007D1DBA">
            <w:pPr>
              <w:jc w:val="right"/>
              <w:rPr>
                <w:sz w:val="18"/>
                <w:szCs w:val="18"/>
                <w:lang w:val="en-CA" w:eastAsia="en-CA"/>
              </w:rPr>
            </w:pPr>
            <w:r w:rsidRPr="006F0BB0">
              <w:rPr>
                <w:sz w:val="18"/>
                <w:szCs w:val="18"/>
              </w:rPr>
              <w:t>61 511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D66C55D" w14:textId="77777777" w:rsidR="006F0BB0" w:rsidRPr="006F0BB0" w:rsidRDefault="006F0BB0" w:rsidP="007D1DBA">
            <w:pPr>
              <w:jc w:val="right"/>
              <w:rPr>
                <w:sz w:val="18"/>
                <w:szCs w:val="18"/>
                <w:lang w:val="en-CA" w:eastAsia="en-CA"/>
              </w:rPr>
            </w:pPr>
            <w:r w:rsidRPr="006F0BB0">
              <w:rPr>
                <w:sz w:val="18"/>
                <w:szCs w:val="18"/>
              </w:rPr>
              <w:t>67 662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AAE4D6F" w14:textId="77777777" w:rsidR="006F0BB0" w:rsidRPr="006F0BB0" w:rsidRDefault="006F0BB0" w:rsidP="007D1DBA">
            <w:pPr>
              <w:jc w:val="right"/>
              <w:rPr>
                <w:sz w:val="18"/>
                <w:szCs w:val="18"/>
                <w:lang w:val="en-CA" w:eastAsia="en-CA"/>
              </w:rPr>
            </w:pPr>
            <w:r w:rsidRPr="006F0BB0">
              <w:rPr>
                <w:sz w:val="18"/>
                <w:szCs w:val="18"/>
              </w:rPr>
              <w:t>74 428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BDD948E" w14:textId="77777777" w:rsidR="006F0BB0" w:rsidRPr="006F0BB0" w:rsidRDefault="006F0BB0" w:rsidP="007D1DBA">
            <w:pPr>
              <w:jc w:val="right"/>
              <w:rPr>
                <w:sz w:val="18"/>
                <w:szCs w:val="18"/>
                <w:lang w:val="en-CA" w:eastAsia="en-CA"/>
              </w:rPr>
            </w:pPr>
            <w:r w:rsidRPr="006F0BB0">
              <w:rPr>
                <w:sz w:val="18"/>
                <w:szCs w:val="18"/>
              </w:rPr>
              <w:t>56 088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E9907BE" w14:textId="77777777" w:rsidR="006F0BB0" w:rsidRPr="006F0BB0" w:rsidRDefault="006F0BB0" w:rsidP="007D1DBA">
            <w:pPr>
              <w:jc w:val="right"/>
              <w:rPr>
                <w:sz w:val="18"/>
                <w:szCs w:val="18"/>
                <w:lang w:val="en-CA" w:eastAsia="en-CA"/>
              </w:rPr>
            </w:pPr>
            <w:r w:rsidRPr="006F0BB0">
              <w:rPr>
                <w:sz w:val="18"/>
                <w:szCs w:val="18"/>
              </w:rPr>
              <w:t>208 092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FCADD1D" w14:textId="77777777" w:rsidR="006F0BB0" w:rsidRPr="006F0BB0" w:rsidRDefault="006F0BB0" w:rsidP="007D1DBA">
            <w:pPr>
              <w:jc w:val="right"/>
              <w:rPr>
                <w:sz w:val="18"/>
                <w:szCs w:val="18"/>
                <w:lang w:val="en-CA" w:eastAsia="en-CA"/>
              </w:rPr>
            </w:pPr>
            <w:r w:rsidRPr="006F0BB0">
              <w:rPr>
                <w:sz w:val="18"/>
                <w:szCs w:val="18"/>
              </w:rPr>
              <w:t>35,8%</w:t>
            </w:r>
          </w:p>
        </w:tc>
      </w:tr>
      <w:tr w:rsidR="006F0BB0" w:rsidRPr="006F0BB0" w14:paraId="1D1E876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C0BC57D" w14:textId="77777777" w:rsidR="006F0BB0" w:rsidRPr="006F0BB0" w:rsidRDefault="006F0BB0" w:rsidP="007D1DBA">
            <w:pPr>
              <w:jc w:val="left"/>
              <w:rPr>
                <w:sz w:val="18"/>
                <w:szCs w:val="18"/>
                <w:lang w:val="en-CA" w:eastAsia="en-CA"/>
              </w:rPr>
            </w:pPr>
            <w:r w:rsidRPr="006F0BB0">
              <w:rPr>
                <w:sz w:val="18"/>
                <w:szCs w:val="18"/>
                <w:lang w:val="en-CA" w:eastAsia="en-CA"/>
              </w:rPr>
              <w:t>Lesotho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AA416E4" w14:textId="77777777" w:rsidR="006F0BB0" w:rsidRPr="006F0BB0" w:rsidRDefault="006F0BB0" w:rsidP="007D1DBA">
            <w:pPr>
              <w:jc w:val="right"/>
              <w:rPr>
                <w:sz w:val="18"/>
                <w:szCs w:val="18"/>
                <w:lang w:val="en-CA" w:eastAsia="en-CA"/>
              </w:rPr>
            </w:pPr>
            <w:r w:rsidRPr="006F0BB0">
              <w:rPr>
                <w:sz w:val="18"/>
                <w:szCs w:val="18"/>
              </w:rPr>
              <w:t>24 165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0EF16E" w14:textId="77777777" w:rsidR="006F0BB0" w:rsidRPr="006F0BB0" w:rsidRDefault="006F0BB0" w:rsidP="007D1DBA">
            <w:pPr>
              <w:jc w:val="right"/>
              <w:rPr>
                <w:sz w:val="18"/>
                <w:szCs w:val="18"/>
                <w:lang w:val="en-CA" w:eastAsia="en-CA"/>
              </w:rPr>
            </w:pPr>
            <w:r w:rsidRPr="006F0BB0">
              <w:rPr>
                <w:sz w:val="18"/>
                <w:szCs w:val="18"/>
              </w:rPr>
              <w:t>26 582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C510989" w14:textId="77777777" w:rsidR="006F0BB0" w:rsidRPr="006F0BB0" w:rsidRDefault="006F0BB0" w:rsidP="007D1DBA">
            <w:pPr>
              <w:jc w:val="right"/>
              <w:rPr>
                <w:sz w:val="18"/>
                <w:szCs w:val="18"/>
                <w:lang w:val="en-CA" w:eastAsia="en-CA"/>
              </w:rPr>
            </w:pPr>
            <w:r w:rsidRPr="006F0BB0">
              <w:rPr>
                <w:sz w:val="18"/>
                <w:szCs w:val="18"/>
              </w:rPr>
              <w:t>29 240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E7C148" w14:textId="77777777" w:rsidR="006F0BB0" w:rsidRPr="006F0BB0" w:rsidRDefault="006F0BB0" w:rsidP="007D1DBA">
            <w:pPr>
              <w:jc w:val="right"/>
              <w:rPr>
                <w:sz w:val="18"/>
                <w:szCs w:val="18"/>
                <w:lang w:val="en-CA" w:eastAsia="en-CA"/>
              </w:rPr>
            </w:pPr>
            <w:r w:rsidRPr="006F0BB0">
              <w:rPr>
                <w:sz w:val="18"/>
                <w:szCs w:val="18"/>
              </w:rPr>
              <w:t>32 164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4EED262" w14:textId="77777777" w:rsidR="006F0BB0" w:rsidRPr="006F0BB0" w:rsidRDefault="006F0BB0" w:rsidP="007D1DBA">
            <w:pPr>
              <w:jc w:val="right"/>
              <w:rPr>
                <w:sz w:val="18"/>
                <w:szCs w:val="18"/>
                <w:lang w:val="en-CA" w:eastAsia="en-CA"/>
              </w:rPr>
            </w:pPr>
            <w:r w:rsidRPr="006F0BB0">
              <w:rPr>
                <w:sz w:val="18"/>
                <w:szCs w:val="18"/>
              </w:rPr>
              <w:t>35 380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909AA4F" w14:textId="77777777" w:rsidR="006F0BB0" w:rsidRPr="006F0BB0" w:rsidRDefault="006F0BB0" w:rsidP="007D1DBA">
            <w:pPr>
              <w:jc w:val="right"/>
              <w:rPr>
                <w:sz w:val="18"/>
                <w:szCs w:val="18"/>
                <w:lang w:val="en-CA" w:eastAsia="en-CA"/>
              </w:rPr>
            </w:pPr>
            <w:r w:rsidRPr="006F0BB0">
              <w:rPr>
                <w:sz w:val="18"/>
                <w:szCs w:val="18"/>
              </w:rPr>
              <w:t>38 918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2D74EB8" w14:textId="77777777" w:rsidR="006F0BB0" w:rsidRPr="006F0BB0" w:rsidRDefault="006F0BB0" w:rsidP="007D1DBA">
            <w:pPr>
              <w:jc w:val="right"/>
              <w:rPr>
                <w:sz w:val="18"/>
                <w:szCs w:val="18"/>
                <w:lang w:val="en-CA" w:eastAsia="en-CA"/>
              </w:rPr>
            </w:pPr>
            <w:r w:rsidRPr="006F0BB0">
              <w:rPr>
                <w:sz w:val="18"/>
                <w:szCs w:val="18"/>
              </w:rPr>
              <w:t>29 328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8F3E79F" w14:textId="77777777" w:rsidR="006F0BB0" w:rsidRPr="006F0BB0" w:rsidRDefault="006F0BB0" w:rsidP="007D1DBA">
            <w:pPr>
              <w:jc w:val="right"/>
              <w:rPr>
                <w:sz w:val="18"/>
                <w:szCs w:val="18"/>
                <w:lang w:val="en-CA" w:eastAsia="en-CA"/>
              </w:rPr>
            </w:pPr>
            <w:r w:rsidRPr="006F0BB0">
              <w:rPr>
                <w:sz w:val="18"/>
                <w:szCs w:val="18"/>
              </w:rPr>
              <w:t>103 072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5009A57D" w14:textId="77777777" w:rsidR="006F0BB0" w:rsidRPr="006F0BB0" w:rsidRDefault="006F0BB0" w:rsidP="007D1DBA">
            <w:pPr>
              <w:jc w:val="right"/>
              <w:rPr>
                <w:sz w:val="18"/>
                <w:szCs w:val="18"/>
                <w:lang w:val="en-CA" w:eastAsia="en-CA"/>
              </w:rPr>
            </w:pPr>
            <w:r w:rsidRPr="006F0BB0">
              <w:rPr>
                <w:sz w:val="18"/>
                <w:szCs w:val="18"/>
              </w:rPr>
              <w:t>37,8%</w:t>
            </w:r>
          </w:p>
        </w:tc>
      </w:tr>
      <w:tr w:rsidR="006F0BB0" w:rsidRPr="006F0BB0" w14:paraId="28F998A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73C34FC" w14:textId="77777777" w:rsidR="006F0BB0" w:rsidRPr="006F0BB0" w:rsidRDefault="006F0BB0" w:rsidP="007D1DBA">
            <w:pPr>
              <w:jc w:val="left"/>
              <w:rPr>
                <w:sz w:val="18"/>
                <w:szCs w:val="18"/>
                <w:lang w:val="en-CA" w:eastAsia="en-CA"/>
              </w:rPr>
            </w:pPr>
            <w:r w:rsidRPr="006F0BB0">
              <w:rPr>
                <w:sz w:val="18"/>
                <w:szCs w:val="18"/>
                <w:lang w:val="en-CA" w:eastAsia="en-CA"/>
              </w:rPr>
              <w:t>Mali</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BC9697C" w14:textId="77777777" w:rsidR="006F0BB0" w:rsidRPr="006F0BB0" w:rsidRDefault="006F0BB0" w:rsidP="007D1DBA">
            <w:pPr>
              <w:jc w:val="right"/>
              <w:rPr>
                <w:sz w:val="18"/>
                <w:szCs w:val="18"/>
                <w:lang w:val="en-CA" w:eastAsia="en-CA"/>
              </w:rPr>
            </w:pPr>
            <w:r w:rsidRPr="006F0BB0">
              <w:rPr>
                <w:sz w:val="18"/>
                <w:szCs w:val="18"/>
              </w:rPr>
              <w:t>108 522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E08DE5" w14:textId="77777777" w:rsidR="006F0BB0" w:rsidRPr="006F0BB0" w:rsidRDefault="006F0BB0" w:rsidP="007D1DBA">
            <w:pPr>
              <w:jc w:val="right"/>
              <w:rPr>
                <w:sz w:val="18"/>
                <w:szCs w:val="18"/>
                <w:lang w:val="en-CA" w:eastAsia="en-CA"/>
              </w:rPr>
            </w:pPr>
            <w:r w:rsidRPr="006F0BB0">
              <w:rPr>
                <w:sz w:val="18"/>
                <w:szCs w:val="18"/>
              </w:rPr>
              <w:t>119 374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9B0477B" w14:textId="77777777" w:rsidR="006F0BB0" w:rsidRPr="006F0BB0" w:rsidRDefault="006F0BB0" w:rsidP="007D1DBA">
            <w:pPr>
              <w:jc w:val="right"/>
              <w:rPr>
                <w:sz w:val="18"/>
                <w:szCs w:val="18"/>
                <w:lang w:val="en-CA" w:eastAsia="en-CA"/>
              </w:rPr>
            </w:pPr>
            <w:r w:rsidRPr="006F0BB0">
              <w:rPr>
                <w:sz w:val="18"/>
                <w:szCs w:val="18"/>
              </w:rPr>
              <w:t>131 312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B329D9" w14:textId="77777777" w:rsidR="006F0BB0" w:rsidRPr="006F0BB0" w:rsidRDefault="006F0BB0" w:rsidP="007D1DBA">
            <w:pPr>
              <w:jc w:val="right"/>
              <w:rPr>
                <w:sz w:val="18"/>
                <w:szCs w:val="18"/>
                <w:lang w:val="en-CA" w:eastAsia="en-CA"/>
              </w:rPr>
            </w:pPr>
            <w:r w:rsidRPr="006F0BB0">
              <w:rPr>
                <w:sz w:val="18"/>
                <w:szCs w:val="18"/>
              </w:rPr>
              <w:t>144 443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65966E3" w14:textId="77777777" w:rsidR="006F0BB0" w:rsidRPr="006F0BB0" w:rsidRDefault="006F0BB0" w:rsidP="007D1DBA">
            <w:pPr>
              <w:jc w:val="right"/>
              <w:rPr>
                <w:sz w:val="18"/>
                <w:szCs w:val="18"/>
                <w:lang w:val="en-CA" w:eastAsia="en-CA"/>
              </w:rPr>
            </w:pPr>
            <w:r w:rsidRPr="006F0BB0">
              <w:rPr>
                <w:sz w:val="18"/>
                <w:szCs w:val="18"/>
              </w:rPr>
              <w:t>158 887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ECCF272" w14:textId="77777777" w:rsidR="006F0BB0" w:rsidRPr="006F0BB0" w:rsidRDefault="006F0BB0" w:rsidP="007D1DBA">
            <w:pPr>
              <w:jc w:val="right"/>
              <w:rPr>
                <w:sz w:val="18"/>
                <w:szCs w:val="18"/>
                <w:lang w:val="en-CA" w:eastAsia="en-CA"/>
              </w:rPr>
            </w:pPr>
            <w:r w:rsidRPr="006F0BB0">
              <w:rPr>
                <w:sz w:val="18"/>
                <w:szCs w:val="18"/>
              </w:rPr>
              <w:t>174 776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77DF367" w14:textId="77777777" w:rsidR="006F0BB0" w:rsidRPr="006F0BB0" w:rsidRDefault="006F0BB0" w:rsidP="007D1DBA">
            <w:pPr>
              <w:jc w:val="right"/>
              <w:rPr>
                <w:sz w:val="18"/>
                <w:szCs w:val="18"/>
                <w:lang w:val="en-CA" w:eastAsia="en-CA"/>
              </w:rPr>
            </w:pPr>
            <w:r w:rsidRPr="006F0BB0">
              <w:rPr>
                <w:sz w:val="18"/>
                <w:szCs w:val="18"/>
              </w:rPr>
              <w:t>131 710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5EF9726" w14:textId="77777777" w:rsidR="006F0BB0" w:rsidRPr="006F0BB0" w:rsidRDefault="006F0BB0" w:rsidP="007D1DBA">
            <w:pPr>
              <w:jc w:val="right"/>
              <w:rPr>
                <w:sz w:val="18"/>
                <w:szCs w:val="18"/>
                <w:lang w:val="en-CA" w:eastAsia="en-CA"/>
              </w:rPr>
            </w:pPr>
            <w:r w:rsidRPr="006F0BB0">
              <w:rPr>
                <w:sz w:val="18"/>
                <w:szCs w:val="18"/>
              </w:rPr>
              <w:t>452 012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38679C1" w14:textId="77777777" w:rsidR="006F0BB0" w:rsidRPr="006F0BB0" w:rsidRDefault="006F0BB0" w:rsidP="007D1DBA">
            <w:pPr>
              <w:jc w:val="right"/>
              <w:rPr>
                <w:sz w:val="18"/>
                <w:szCs w:val="18"/>
                <w:lang w:val="en-CA" w:eastAsia="en-CA"/>
              </w:rPr>
            </w:pPr>
            <w:r w:rsidRPr="006F0BB0">
              <w:rPr>
                <w:sz w:val="18"/>
                <w:szCs w:val="18"/>
              </w:rPr>
              <w:t>38,7%</w:t>
            </w:r>
          </w:p>
        </w:tc>
      </w:tr>
      <w:tr w:rsidR="006F0BB0" w:rsidRPr="006F0BB0" w14:paraId="709E59B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A616F8C" w14:textId="77777777" w:rsidR="006F0BB0" w:rsidRPr="006F0BB0" w:rsidRDefault="006F0BB0" w:rsidP="007D1DBA">
            <w:pPr>
              <w:jc w:val="left"/>
              <w:rPr>
                <w:sz w:val="18"/>
                <w:szCs w:val="18"/>
                <w:lang w:val="en-CA" w:eastAsia="en-CA"/>
              </w:rPr>
            </w:pPr>
            <w:r w:rsidRPr="006F0BB0">
              <w:rPr>
                <w:sz w:val="18"/>
                <w:szCs w:val="18"/>
                <w:lang w:val="en-CA" w:eastAsia="en-CA"/>
              </w:rPr>
              <w:t>Ghana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7010887" w14:textId="77777777" w:rsidR="006F0BB0" w:rsidRPr="006F0BB0" w:rsidRDefault="006F0BB0" w:rsidP="007D1DBA">
            <w:pPr>
              <w:jc w:val="right"/>
              <w:rPr>
                <w:sz w:val="18"/>
                <w:szCs w:val="18"/>
                <w:lang w:val="en-CA" w:eastAsia="en-CA"/>
              </w:rPr>
            </w:pPr>
            <w:r w:rsidRPr="006F0BB0">
              <w:rPr>
                <w:sz w:val="18"/>
                <w:szCs w:val="18"/>
              </w:rPr>
              <w:t>496 683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DB1057F" w14:textId="77777777" w:rsidR="006F0BB0" w:rsidRPr="006F0BB0" w:rsidRDefault="006F0BB0" w:rsidP="007D1DBA">
            <w:pPr>
              <w:jc w:val="right"/>
              <w:rPr>
                <w:sz w:val="18"/>
                <w:szCs w:val="18"/>
                <w:lang w:val="en-CA" w:eastAsia="en-CA"/>
              </w:rPr>
            </w:pPr>
            <w:r w:rsidRPr="006F0BB0">
              <w:rPr>
                <w:sz w:val="18"/>
                <w:szCs w:val="18"/>
              </w:rPr>
              <w:t>546 351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B2CCCE6" w14:textId="77777777" w:rsidR="006F0BB0" w:rsidRPr="006F0BB0" w:rsidRDefault="006F0BB0" w:rsidP="007D1DBA">
            <w:pPr>
              <w:jc w:val="right"/>
              <w:rPr>
                <w:sz w:val="18"/>
                <w:szCs w:val="18"/>
                <w:lang w:val="en-CA" w:eastAsia="en-CA"/>
              </w:rPr>
            </w:pPr>
            <w:r w:rsidRPr="006F0BB0">
              <w:rPr>
                <w:sz w:val="18"/>
                <w:szCs w:val="18"/>
              </w:rPr>
              <w:t>600 986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0BD85BF" w14:textId="77777777" w:rsidR="006F0BB0" w:rsidRPr="006F0BB0" w:rsidRDefault="006F0BB0" w:rsidP="007D1DBA">
            <w:pPr>
              <w:jc w:val="right"/>
              <w:rPr>
                <w:sz w:val="18"/>
                <w:szCs w:val="18"/>
                <w:lang w:val="en-CA" w:eastAsia="en-CA"/>
              </w:rPr>
            </w:pPr>
            <w:r w:rsidRPr="006F0BB0">
              <w:rPr>
                <w:sz w:val="18"/>
                <w:szCs w:val="18"/>
              </w:rPr>
              <w:t>661 085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1C0C354" w14:textId="77777777" w:rsidR="006F0BB0" w:rsidRPr="006F0BB0" w:rsidRDefault="006F0BB0" w:rsidP="007D1DBA">
            <w:pPr>
              <w:jc w:val="right"/>
              <w:rPr>
                <w:sz w:val="18"/>
                <w:szCs w:val="18"/>
                <w:lang w:val="en-CA" w:eastAsia="en-CA"/>
              </w:rPr>
            </w:pPr>
            <w:r w:rsidRPr="006F0BB0">
              <w:rPr>
                <w:sz w:val="18"/>
                <w:szCs w:val="18"/>
              </w:rPr>
              <w:t>727 194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B1270A5" w14:textId="77777777" w:rsidR="006F0BB0" w:rsidRPr="006F0BB0" w:rsidRDefault="006F0BB0" w:rsidP="007D1DBA">
            <w:pPr>
              <w:jc w:val="right"/>
              <w:rPr>
                <w:sz w:val="18"/>
                <w:szCs w:val="18"/>
                <w:lang w:val="en-CA" w:eastAsia="en-CA"/>
              </w:rPr>
            </w:pPr>
            <w:r w:rsidRPr="006F0BB0">
              <w:rPr>
                <w:sz w:val="18"/>
                <w:szCs w:val="18"/>
              </w:rPr>
              <w:t>799 913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D78189F" w14:textId="77777777" w:rsidR="006F0BB0" w:rsidRPr="006F0BB0" w:rsidRDefault="006F0BB0" w:rsidP="007D1DBA">
            <w:pPr>
              <w:jc w:val="right"/>
              <w:rPr>
                <w:sz w:val="18"/>
                <w:szCs w:val="18"/>
                <w:lang w:val="en-CA" w:eastAsia="en-CA"/>
              </w:rPr>
            </w:pPr>
            <w:r w:rsidRPr="006F0BB0">
              <w:rPr>
                <w:sz w:val="18"/>
                <w:szCs w:val="18"/>
              </w:rPr>
              <w:t>602 808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3556BD1" w14:textId="77777777" w:rsidR="006F0BB0" w:rsidRPr="006F0BB0" w:rsidRDefault="006F0BB0" w:rsidP="007D1DBA">
            <w:pPr>
              <w:jc w:val="right"/>
              <w:rPr>
                <w:sz w:val="18"/>
                <w:szCs w:val="18"/>
                <w:lang w:val="en-CA" w:eastAsia="en-CA"/>
              </w:rPr>
            </w:pPr>
            <w:r w:rsidRPr="006F0BB0">
              <w:rPr>
                <w:sz w:val="18"/>
                <w:szCs w:val="18"/>
              </w:rPr>
              <w:t>1 852 390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5F162BE2" w14:textId="77777777" w:rsidR="006F0BB0" w:rsidRPr="006F0BB0" w:rsidRDefault="006F0BB0" w:rsidP="007D1DBA">
            <w:pPr>
              <w:jc w:val="right"/>
              <w:rPr>
                <w:sz w:val="18"/>
                <w:szCs w:val="18"/>
                <w:lang w:val="en-CA" w:eastAsia="en-CA"/>
              </w:rPr>
            </w:pPr>
            <w:r w:rsidRPr="006F0BB0">
              <w:rPr>
                <w:sz w:val="18"/>
                <w:szCs w:val="18"/>
              </w:rPr>
              <w:t>43,2%</w:t>
            </w:r>
          </w:p>
        </w:tc>
      </w:tr>
      <w:tr w:rsidR="006F0BB0" w:rsidRPr="006F0BB0" w14:paraId="2AD6046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5E48871" w14:textId="77777777" w:rsidR="006F0BB0" w:rsidRPr="006F0BB0" w:rsidRDefault="006F0BB0" w:rsidP="007D1DBA">
            <w:pPr>
              <w:jc w:val="left"/>
              <w:rPr>
                <w:sz w:val="18"/>
                <w:szCs w:val="18"/>
                <w:lang w:val="en-CA" w:eastAsia="en-CA"/>
              </w:rPr>
            </w:pPr>
            <w:r w:rsidRPr="006F0BB0">
              <w:rPr>
                <w:sz w:val="18"/>
                <w:szCs w:val="18"/>
                <w:lang w:val="en-CA" w:eastAsia="en-CA"/>
              </w:rPr>
              <w:t>Sao Tomé y Principe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B530B21" w14:textId="77777777" w:rsidR="006F0BB0" w:rsidRPr="006F0BB0" w:rsidRDefault="006F0BB0" w:rsidP="007D1DBA">
            <w:pPr>
              <w:jc w:val="right"/>
              <w:rPr>
                <w:sz w:val="18"/>
                <w:szCs w:val="18"/>
                <w:lang w:val="en-CA" w:eastAsia="en-CA"/>
              </w:rPr>
            </w:pPr>
            <w:r w:rsidRPr="006F0BB0">
              <w:rPr>
                <w:sz w:val="18"/>
                <w:szCs w:val="18"/>
              </w:rPr>
              <w:t>22 287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BDEADAF" w14:textId="77777777" w:rsidR="006F0BB0" w:rsidRPr="006F0BB0" w:rsidRDefault="006F0BB0" w:rsidP="007D1DBA">
            <w:pPr>
              <w:jc w:val="right"/>
              <w:rPr>
                <w:sz w:val="18"/>
                <w:szCs w:val="18"/>
                <w:lang w:val="en-CA" w:eastAsia="en-CA"/>
              </w:rPr>
            </w:pPr>
            <w:r w:rsidRPr="006F0BB0">
              <w:rPr>
                <w:sz w:val="18"/>
                <w:szCs w:val="18"/>
              </w:rPr>
              <w:t>24 516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8B9CAFF" w14:textId="77777777" w:rsidR="006F0BB0" w:rsidRPr="006F0BB0" w:rsidRDefault="006F0BB0" w:rsidP="007D1DBA">
            <w:pPr>
              <w:jc w:val="right"/>
              <w:rPr>
                <w:sz w:val="18"/>
                <w:szCs w:val="18"/>
                <w:lang w:val="en-CA" w:eastAsia="en-CA"/>
              </w:rPr>
            </w:pPr>
            <w:r w:rsidRPr="006F0BB0">
              <w:rPr>
                <w:sz w:val="18"/>
                <w:szCs w:val="18"/>
              </w:rPr>
              <w:t>26 967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AAD69DC" w14:textId="77777777" w:rsidR="006F0BB0" w:rsidRPr="006F0BB0" w:rsidRDefault="006F0BB0" w:rsidP="007D1DBA">
            <w:pPr>
              <w:jc w:val="right"/>
              <w:rPr>
                <w:sz w:val="18"/>
                <w:szCs w:val="18"/>
                <w:lang w:val="en-CA" w:eastAsia="en-CA"/>
              </w:rPr>
            </w:pPr>
            <w:r w:rsidRPr="006F0BB0">
              <w:rPr>
                <w:sz w:val="18"/>
                <w:szCs w:val="18"/>
              </w:rPr>
              <w:t>29 664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9C2F2DD" w14:textId="77777777" w:rsidR="006F0BB0" w:rsidRPr="006F0BB0" w:rsidRDefault="006F0BB0" w:rsidP="007D1DBA">
            <w:pPr>
              <w:jc w:val="right"/>
              <w:rPr>
                <w:sz w:val="18"/>
                <w:szCs w:val="18"/>
                <w:lang w:val="en-CA" w:eastAsia="en-CA"/>
              </w:rPr>
            </w:pPr>
            <w:r w:rsidRPr="006F0BB0">
              <w:rPr>
                <w:sz w:val="18"/>
                <w:szCs w:val="18"/>
              </w:rPr>
              <w:t>32 630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6EBEF3D" w14:textId="77777777" w:rsidR="006F0BB0" w:rsidRPr="006F0BB0" w:rsidRDefault="006F0BB0" w:rsidP="007D1DBA">
            <w:pPr>
              <w:jc w:val="right"/>
              <w:rPr>
                <w:sz w:val="18"/>
                <w:szCs w:val="18"/>
                <w:lang w:val="en-CA" w:eastAsia="en-CA"/>
              </w:rPr>
            </w:pPr>
            <w:r w:rsidRPr="006F0BB0">
              <w:rPr>
                <w:sz w:val="18"/>
                <w:szCs w:val="18"/>
              </w:rPr>
              <w:t>35 893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445C0AA" w14:textId="77777777" w:rsidR="006F0BB0" w:rsidRPr="006F0BB0" w:rsidRDefault="006F0BB0" w:rsidP="007D1DBA">
            <w:pPr>
              <w:jc w:val="right"/>
              <w:rPr>
                <w:sz w:val="18"/>
                <w:szCs w:val="18"/>
                <w:lang w:val="en-CA" w:eastAsia="en-CA"/>
              </w:rPr>
            </w:pPr>
            <w:r w:rsidRPr="006F0BB0">
              <w:rPr>
                <w:sz w:val="18"/>
                <w:szCs w:val="18"/>
              </w:rPr>
              <w:t>27 049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2FD1ADD" w14:textId="77777777" w:rsidR="006F0BB0" w:rsidRPr="006F0BB0" w:rsidRDefault="006F0BB0" w:rsidP="007D1DBA">
            <w:pPr>
              <w:jc w:val="right"/>
              <w:rPr>
                <w:sz w:val="18"/>
                <w:szCs w:val="18"/>
                <w:lang w:val="en-CA" w:eastAsia="en-CA"/>
              </w:rPr>
            </w:pPr>
            <w:r w:rsidRPr="006F0BB0">
              <w:rPr>
                <w:sz w:val="18"/>
                <w:szCs w:val="18"/>
              </w:rPr>
              <w:t>72 874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2FC79B7" w14:textId="77777777" w:rsidR="006F0BB0" w:rsidRPr="006F0BB0" w:rsidRDefault="006F0BB0" w:rsidP="007D1DBA">
            <w:pPr>
              <w:jc w:val="right"/>
              <w:rPr>
                <w:sz w:val="18"/>
                <w:szCs w:val="18"/>
                <w:lang w:val="en-CA" w:eastAsia="en-CA"/>
              </w:rPr>
            </w:pPr>
            <w:r w:rsidRPr="006F0BB0">
              <w:rPr>
                <w:sz w:val="18"/>
                <w:szCs w:val="18"/>
              </w:rPr>
              <w:t>49,3%</w:t>
            </w:r>
          </w:p>
        </w:tc>
      </w:tr>
      <w:tr w:rsidR="006F0BB0" w:rsidRPr="006F0BB0" w14:paraId="50B1626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F738942" w14:textId="77777777" w:rsidR="006F0BB0" w:rsidRPr="006F0BB0" w:rsidRDefault="006F0BB0" w:rsidP="007D1DBA">
            <w:pPr>
              <w:jc w:val="left"/>
              <w:rPr>
                <w:sz w:val="18"/>
                <w:szCs w:val="18"/>
                <w:lang w:val="en-CA" w:eastAsia="en-CA"/>
              </w:rPr>
            </w:pPr>
            <w:r w:rsidRPr="006F0BB0">
              <w:rPr>
                <w:sz w:val="18"/>
                <w:szCs w:val="18"/>
                <w:lang w:val="en-CA" w:eastAsia="en-CA"/>
              </w:rPr>
              <w:t>Tuvalu</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E658F67" w14:textId="77777777" w:rsidR="006F0BB0" w:rsidRPr="006F0BB0" w:rsidRDefault="006F0BB0" w:rsidP="007D1DBA">
            <w:pPr>
              <w:jc w:val="right"/>
              <w:rPr>
                <w:sz w:val="18"/>
                <w:szCs w:val="18"/>
                <w:lang w:val="en-CA" w:eastAsia="en-CA"/>
              </w:rPr>
            </w:pPr>
            <w:r w:rsidRPr="006F0BB0">
              <w:rPr>
                <w:sz w:val="18"/>
                <w:szCs w:val="18"/>
              </w:rPr>
              <w:t>1 006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93B47F2" w14:textId="77777777" w:rsidR="006F0BB0" w:rsidRPr="006F0BB0" w:rsidRDefault="006F0BB0" w:rsidP="007D1DBA">
            <w:pPr>
              <w:jc w:val="right"/>
              <w:rPr>
                <w:sz w:val="18"/>
                <w:szCs w:val="18"/>
                <w:lang w:val="en-CA" w:eastAsia="en-CA"/>
              </w:rPr>
            </w:pPr>
            <w:r w:rsidRPr="006F0BB0">
              <w:rPr>
                <w:sz w:val="18"/>
                <w:szCs w:val="18"/>
              </w:rPr>
              <w:t>1 107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243ED79" w14:textId="77777777" w:rsidR="006F0BB0" w:rsidRPr="006F0BB0" w:rsidRDefault="006F0BB0" w:rsidP="007D1DBA">
            <w:pPr>
              <w:jc w:val="right"/>
              <w:rPr>
                <w:sz w:val="18"/>
                <w:szCs w:val="18"/>
                <w:lang w:val="en-CA" w:eastAsia="en-CA"/>
              </w:rPr>
            </w:pPr>
            <w:r w:rsidRPr="006F0BB0">
              <w:rPr>
                <w:sz w:val="18"/>
                <w:szCs w:val="18"/>
              </w:rPr>
              <w:t>1 217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2FA1DA4" w14:textId="77777777" w:rsidR="006F0BB0" w:rsidRPr="006F0BB0" w:rsidRDefault="006F0BB0" w:rsidP="007D1DBA">
            <w:pPr>
              <w:jc w:val="right"/>
              <w:rPr>
                <w:sz w:val="18"/>
                <w:szCs w:val="18"/>
                <w:lang w:val="en-CA" w:eastAsia="en-CA"/>
              </w:rPr>
            </w:pPr>
            <w:r w:rsidRPr="006F0BB0">
              <w:rPr>
                <w:sz w:val="18"/>
                <w:szCs w:val="18"/>
              </w:rPr>
              <w:t>1 339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04FD886" w14:textId="77777777" w:rsidR="006F0BB0" w:rsidRPr="006F0BB0" w:rsidRDefault="006F0BB0" w:rsidP="007D1DBA">
            <w:pPr>
              <w:jc w:val="right"/>
              <w:rPr>
                <w:sz w:val="18"/>
                <w:szCs w:val="18"/>
                <w:lang w:val="en-CA" w:eastAsia="en-CA"/>
              </w:rPr>
            </w:pPr>
            <w:r w:rsidRPr="006F0BB0">
              <w:rPr>
                <w:sz w:val="18"/>
                <w:szCs w:val="18"/>
              </w:rPr>
              <w:t>1 473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2324C25" w14:textId="77777777" w:rsidR="006F0BB0" w:rsidRPr="006F0BB0" w:rsidRDefault="006F0BB0" w:rsidP="007D1DBA">
            <w:pPr>
              <w:jc w:val="right"/>
              <w:rPr>
                <w:sz w:val="18"/>
                <w:szCs w:val="18"/>
                <w:lang w:val="en-CA" w:eastAsia="en-CA"/>
              </w:rPr>
            </w:pPr>
            <w:r w:rsidRPr="006F0BB0">
              <w:rPr>
                <w:sz w:val="18"/>
                <w:szCs w:val="18"/>
              </w:rPr>
              <w:t>1 620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E9FFB83" w14:textId="77777777" w:rsidR="006F0BB0" w:rsidRPr="006F0BB0" w:rsidRDefault="006F0BB0" w:rsidP="007D1DBA">
            <w:pPr>
              <w:jc w:val="right"/>
              <w:rPr>
                <w:sz w:val="18"/>
                <w:szCs w:val="18"/>
                <w:lang w:val="en-CA" w:eastAsia="en-CA"/>
              </w:rPr>
            </w:pPr>
            <w:r w:rsidRPr="006F0BB0">
              <w:rPr>
                <w:sz w:val="18"/>
                <w:szCs w:val="18"/>
              </w:rPr>
              <w:t>1 221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80A2C9" w14:textId="77777777" w:rsidR="006F0BB0" w:rsidRPr="006F0BB0" w:rsidRDefault="006F0BB0" w:rsidP="007D1DBA">
            <w:pPr>
              <w:jc w:val="right"/>
              <w:rPr>
                <w:sz w:val="18"/>
                <w:szCs w:val="18"/>
                <w:lang w:val="en-CA" w:eastAsia="en-CA"/>
              </w:rPr>
            </w:pPr>
            <w:r w:rsidRPr="006F0BB0">
              <w:rPr>
                <w:sz w:val="18"/>
                <w:szCs w:val="18"/>
              </w:rPr>
              <w:t>3 154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3F1DCD2" w14:textId="77777777" w:rsidR="006F0BB0" w:rsidRPr="006F0BB0" w:rsidRDefault="006F0BB0" w:rsidP="007D1DBA">
            <w:pPr>
              <w:jc w:val="right"/>
              <w:rPr>
                <w:sz w:val="18"/>
                <w:szCs w:val="18"/>
                <w:lang w:val="en-CA" w:eastAsia="en-CA"/>
              </w:rPr>
            </w:pPr>
            <w:r w:rsidRPr="006F0BB0">
              <w:rPr>
                <w:sz w:val="18"/>
                <w:szCs w:val="18"/>
              </w:rPr>
              <w:t>51,4%</w:t>
            </w:r>
          </w:p>
        </w:tc>
      </w:tr>
      <w:tr w:rsidR="006F0BB0" w:rsidRPr="006F0BB0" w14:paraId="16F2589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0188B11" w14:textId="77777777" w:rsidR="006F0BB0" w:rsidRPr="006F0BB0" w:rsidRDefault="006F0BB0" w:rsidP="007D1DBA">
            <w:pPr>
              <w:jc w:val="left"/>
              <w:rPr>
                <w:sz w:val="18"/>
                <w:szCs w:val="18"/>
                <w:lang w:val="en-CA" w:eastAsia="en-CA"/>
              </w:rPr>
            </w:pPr>
            <w:r w:rsidRPr="006F0BB0">
              <w:rPr>
                <w:sz w:val="18"/>
                <w:szCs w:val="18"/>
                <w:lang w:val="en-CA" w:eastAsia="en-CA"/>
              </w:rPr>
              <w:t>Kenya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89BE4DE" w14:textId="77777777" w:rsidR="006F0BB0" w:rsidRPr="006F0BB0" w:rsidRDefault="006F0BB0" w:rsidP="007D1DBA">
            <w:pPr>
              <w:jc w:val="right"/>
              <w:rPr>
                <w:sz w:val="18"/>
                <w:szCs w:val="18"/>
                <w:lang w:val="en-CA" w:eastAsia="en-CA"/>
              </w:rPr>
            </w:pPr>
            <w:r w:rsidRPr="006F0BB0">
              <w:rPr>
                <w:sz w:val="18"/>
                <w:szCs w:val="18"/>
              </w:rPr>
              <w:t>588 860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FA7DC62" w14:textId="77777777" w:rsidR="006F0BB0" w:rsidRPr="006F0BB0" w:rsidRDefault="006F0BB0" w:rsidP="007D1DBA">
            <w:pPr>
              <w:jc w:val="right"/>
              <w:rPr>
                <w:sz w:val="18"/>
                <w:szCs w:val="18"/>
                <w:lang w:val="en-CA" w:eastAsia="en-CA"/>
              </w:rPr>
            </w:pPr>
            <w:r w:rsidRPr="006F0BB0">
              <w:rPr>
                <w:sz w:val="18"/>
                <w:szCs w:val="18"/>
              </w:rPr>
              <w:t>647 746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5BE7D3C" w14:textId="77777777" w:rsidR="006F0BB0" w:rsidRPr="006F0BB0" w:rsidRDefault="006F0BB0" w:rsidP="007D1DBA">
            <w:pPr>
              <w:jc w:val="right"/>
              <w:rPr>
                <w:sz w:val="18"/>
                <w:szCs w:val="18"/>
                <w:lang w:val="en-CA" w:eastAsia="en-CA"/>
              </w:rPr>
            </w:pPr>
            <w:r w:rsidRPr="006F0BB0">
              <w:rPr>
                <w:sz w:val="18"/>
                <w:szCs w:val="18"/>
              </w:rPr>
              <w:t>712 521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7D73446" w14:textId="77777777" w:rsidR="006F0BB0" w:rsidRPr="006F0BB0" w:rsidRDefault="006F0BB0" w:rsidP="007D1DBA">
            <w:pPr>
              <w:jc w:val="right"/>
              <w:rPr>
                <w:sz w:val="18"/>
                <w:szCs w:val="18"/>
                <w:lang w:val="en-CA" w:eastAsia="en-CA"/>
              </w:rPr>
            </w:pPr>
            <w:r w:rsidRPr="006F0BB0">
              <w:rPr>
                <w:sz w:val="18"/>
                <w:szCs w:val="18"/>
              </w:rPr>
              <w:t>783 773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5FD3439" w14:textId="77777777" w:rsidR="006F0BB0" w:rsidRPr="006F0BB0" w:rsidRDefault="006F0BB0" w:rsidP="007D1DBA">
            <w:pPr>
              <w:jc w:val="right"/>
              <w:rPr>
                <w:sz w:val="18"/>
                <w:szCs w:val="18"/>
                <w:lang w:val="en-CA" w:eastAsia="en-CA"/>
              </w:rPr>
            </w:pPr>
            <w:r w:rsidRPr="006F0BB0">
              <w:rPr>
                <w:sz w:val="18"/>
                <w:szCs w:val="18"/>
              </w:rPr>
              <w:t>862 150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DC963E4" w14:textId="77777777" w:rsidR="006F0BB0" w:rsidRPr="006F0BB0" w:rsidRDefault="006F0BB0" w:rsidP="007D1DBA">
            <w:pPr>
              <w:jc w:val="right"/>
              <w:rPr>
                <w:sz w:val="18"/>
                <w:szCs w:val="18"/>
                <w:lang w:val="en-CA" w:eastAsia="en-CA"/>
              </w:rPr>
            </w:pPr>
            <w:r w:rsidRPr="006F0BB0">
              <w:rPr>
                <w:sz w:val="18"/>
                <w:szCs w:val="18"/>
              </w:rPr>
              <w:t>948 365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20A2553" w14:textId="77777777" w:rsidR="006F0BB0" w:rsidRPr="006F0BB0" w:rsidRDefault="006F0BB0" w:rsidP="007D1DBA">
            <w:pPr>
              <w:jc w:val="right"/>
              <w:rPr>
                <w:sz w:val="18"/>
                <w:szCs w:val="18"/>
                <w:lang w:val="en-CA" w:eastAsia="en-CA"/>
              </w:rPr>
            </w:pPr>
            <w:r w:rsidRPr="006F0BB0">
              <w:rPr>
                <w:sz w:val="18"/>
                <w:szCs w:val="18"/>
              </w:rPr>
              <w:t>714 680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A46D8F7" w14:textId="77777777" w:rsidR="006F0BB0" w:rsidRPr="006F0BB0" w:rsidRDefault="006F0BB0" w:rsidP="007D1DBA">
            <w:pPr>
              <w:jc w:val="right"/>
              <w:rPr>
                <w:sz w:val="18"/>
                <w:szCs w:val="18"/>
                <w:lang w:val="en-CA" w:eastAsia="en-CA"/>
              </w:rPr>
            </w:pPr>
            <w:r w:rsidRPr="006F0BB0">
              <w:rPr>
                <w:sz w:val="18"/>
                <w:szCs w:val="18"/>
              </w:rPr>
              <w:t>1 830 184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AFE4037" w14:textId="77777777" w:rsidR="006F0BB0" w:rsidRPr="006F0BB0" w:rsidRDefault="006F0BB0" w:rsidP="007D1DBA">
            <w:pPr>
              <w:jc w:val="right"/>
              <w:rPr>
                <w:sz w:val="18"/>
                <w:szCs w:val="18"/>
                <w:lang w:val="en-CA" w:eastAsia="en-CA"/>
              </w:rPr>
            </w:pPr>
            <w:r w:rsidRPr="006F0BB0">
              <w:rPr>
                <w:sz w:val="18"/>
                <w:szCs w:val="18"/>
              </w:rPr>
              <w:t>51,8%</w:t>
            </w:r>
          </w:p>
        </w:tc>
      </w:tr>
      <w:tr w:rsidR="006F0BB0" w:rsidRPr="006F0BB0" w14:paraId="5BD63BCF"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A3CA3AA"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Afganistán</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35FADAA" w14:textId="77777777" w:rsidR="006F0BB0" w:rsidRPr="006F0BB0" w:rsidRDefault="006F0BB0" w:rsidP="007D1DBA">
            <w:pPr>
              <w:jc w:val="right"/>
              <w:rPr>
                <w:sz w:val="18"/>
                <w:szCs w:val="18"/>
                <w:lang w:val="en-CA" w:eastAsia="en-CA"/>
              </w:rPr>
            </w:pPr>
            <w:r w:rsidRPr="006F0BB0">
              <w:rPr>
                <w:sz w:val="18"/>
                <w:szCs w:val="18"/>
              </w:rPr>
              <w:t>275 000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89624BA" w14:textId="77777777" w:rsidR="006F0BB0" w:rsidRPr="006F0BB0" w:rsidRDefault="006F0BB0" w:rsidP="007D1DBA">
            <w:pPr>
              <w:jc w:val="right"/>
              <w:rPr>
                <w:sz w:val="18"/>
                <w:szCs w:val="18"/>
                <w:lang w:val="en-CA" w:eastAsia="en-CA"/>
              </w:rPr>
            </w:pPr>
            <w:r w:rsidRPr="006F0BB0">
              <w:rPr>
                <w:sz w:val="18"/>
                <w:szCs w:val="18"/>
              </w:rPr>
              <w:t>302 500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30BE8D6" w14:textId="77777777" w:rsidR="006F0BB0" w:rsidRPr="006F0BB0" w:rsidRDefault="006F0BB0" w:rsidP="007D1DBA">
            <w:pPr>
              <w:jc w:val="right"/>
              <w:rPr>
                <w:sz w:val="18"/>
                <w:szCs w:val="18"/>
                <w:lang w:val="en-CA" w:eastAsia="en-CA"/>
              </w:rPr>
            </w:pPr>
            <w:r w:rsidRPr="006F0BB0">
              <w:rPr>
                <w:sz w:val="18"/>
                <w:szCs w:val="18"/>
              </w:rPr>
              <w:t>332 750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F0178E" w14:textId="77777777" w:rsidR="006F0BB0" w:rsidRPr="006F0BB0" w:rsidRDefault="006F0BB0" w:rsidP="007D1DBA">
            <w:pPr>
              <w:jc w:val="right"/>
              <w:rPr>
                <w:sz w:val="18"/>
                <w:szCs w:val="18"/>
                <w:lang w:val="en-CA" w:eastAsia="en-CA"/>
              </w:rPr>
            </w:pPr>
            <w:r w:rsidRPr="006F0BB0">
              <w:rPr>
                <w:sz w:val="18"/>
                <w:szCs w:val="18"/>
              </w:rPr>
              <w:t>366 025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7C49D2C" w14:textId="77777777" w:rsidR="006F0BB0" w:rsidRPr="006F0BB0" w:rsidRDefault="006F0BB0" w:rsidP="007D1DBA">
            <w:pPr>
              <w:jc w:val="right"/>
              <w:rPr>
                <w:sz w:val="18"/>
                <w:szCs w:val="18"/>
                <w:lang w:val="en-CA" w:eastAsia="en-CA"/>
              </w:rPr>
            </w:pPr>
            <w:r w:rsidRPr="006F0BB0">
              <w:rPr>
                <w:sz w:val="18"/>
                <w:szCs w:val="18"/>
              </w:rPr>
              <w:t>402 628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CCE5AC0" w14:textId="77777777" w:rsidR="006F0BB0" w:rsidRPr="006F0BB0" w:rsidRDefault="006F0BB0" w:rsidP="007D1DBA">
            <w:pPr>
              <w:jc w:val="right"/>
              <w:rPr>
                <w:sz w:val="18"/>
                <w:szCs w:val="18"/>
                <w:lang w:val="en-CA" w:eastAsia="en-CA"/>
              </w:rPr>
            </w:pPr>
            <w:r w:rsidRPr="006F0BB0">
              <w:rPr>
                <w:sz w:val="18"/>
                <w:szCs w:val="18"/>
              </w:rPr>
              <w:t>442 890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37C79AD" w14:textId="77777777" w:rsidR="006F0BB0" w:rsidRPr="006F0BB0" w:rsidRDefault="006F0BB0" w:rsidP="007D1DBA">
            <w:pPr>
              <w:jc w:val="right"/>
              <w:rPr>
                <w:sz w:val="18"/>
                <w:szCs w:val="18"/>
                <w:lang w:val="en-CA" w:eastAsia="en-CA"/>
              </w:rPr>
            </w:pPr>
            <w:r w:rsidRPr="006F0BB0">
              <w:rPr>
                <w:sz w:val="18"/>
                <w:szCs w:val="18"/>
              </w:rPr>
              <w:t>333 758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954BA7E" w14:textId="77777777" w:rsidR="006F0BB0" w:rsidRPr="006F0BB0" w:rsidRDefault="006F0BB0" w:rsidP="007D1DBA">
            <w:pPr>
              <w:jc w:val="right"/>
              <w:rPr>
                <w:sz w:val="18"/>
                <w:szCs w:val="18"/>
                <w:lang w:val="en-CA" w:eastAsia="en-CA"/>
              </w:rPr>
            </w:pPr>
            <w:r w:rsidRPr="006F0BB0">
              <w:rPr>
                <w:sz w:val="18"/>
                <w:szCs w:val="18"/>
              </w:rPr>
              <w:t>837 006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28322AD" w14:textId="77777777" w:rsidR="006F0BB0" w:rsidRPr="006F0BB0" w:rsidRDefault="006F0BB0" w:rsidP="007D1DBA">
            <w:pPr>
              <w:jc w:val="right"/>
              <w:rPr>
                <w:sz w:val="18"/>
                <w:szCs w:val="18"/>
                <w:lang w:val="en-CA" w:eastAsia="en-CA"/>
              </w:rPr>
            </w:pPr>
            <w:r w:rsidRPr="006F0BB0">
              <w:rPr>
                <w:sz w:val="18"/>
                <w:szCs w:val="18"/>
              </w:rPr>
              <w:t>52,9%</w:t>
            </w:r>
          </w:p>
        </w:tc>
      </w:tr>
      <w:tr w:rsidR="006F0BB0" w:rsidRPr="006F0BB0" w14:paraId="7A22D0E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4C162CB" w14:textId="77777777" w:rsidR="006F0BB0" w:rsidRPr="006F0BB0" w:rsidRDefault="006F0BB0" w:rsidP="007D1DBA">
            <w:pPr>
              <w:jc w:val="left"/>
              <w:rPr>
                <w:sz w:val="18"/>
                <w:szCs w:val="18"/>
                <w:lang w:val="en-CA" w:eastAsia="en-CA"/>
              </w:rPr>
            </w:pPr>
            <w:r w:rsidRPr="006F0BB0">
              <w:rPr>
                <w:sz w:val="18"/>
                <w:szCs w:val="18"/>
                <w:lang w:val="en-CA" w:eastAsia="en-CA"/>
              </w:rPr>
              <w:t>Tonga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9F7E37B" w14:textId="77777777" w:rsidR="006F0BB0" w:rsidRPr="006F0BB0" w:rsidRDefault="006F0BB0" w:rsidP="007D1DBA">
            <w:pPr>
              <w:jc w:val="right"/>
              <w:rPr>
                <w:sz w:val="18"/>
                <w:szCs w:val="18"/>
                <w:lang w:val="en-CA" w:eastAsia="en-CA"/>
              </w:rPr>
            </w:pPr>
            <w:r w:rsidRPr="006F0BB0">
              <w:rPr>
                <w:sz w:val="18"/>
                <w:szCs w:val="18"/>
              </w:rPr>
              <w:t>1 802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5DEC870" w14:textId="77777777" w:rsidR="006F0BB0" w:rsidRPr="006F0BB0" w:rsidRDefault="006F0BB0" w:rsidP="007D1DBA">
            <w:pPr>
              <w:jc w:val="right"/>
              <w:rPr>
                <w:sz w:val="18"/>
                <w:szCs w:val="18"/>
                <w:lang w:val="en-CA" w:eastAsia="en-CA"/>
              </w:rPr>
            </w:pPr>
            <w:r w:rsidRPr="006F0BB0">
              <w:rPr>
                <w:sz w:val="18"/>
                <w:szCs w:val="18"/>
              </w:rPr>
              <w:t>1 982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EBC59F7" w14:textId="77777777" w:rsidR="006F0BB0" w:rsidRPr="006F0BB0" w:rsidRDefault="006F0BB0" w:rsidP="007D1DBA">
            <w:pPr>
              <w:jc w:val="right"/>
              <w:rPr>
                <w:sz w:val="18"/>
                <w:szCs w:val="18"/>
                <w:lang w:val="en-CA" w:eastAsia="en-CA"/>
              </w:rPr>
            </w:pPr>
            <w:r w:rsidRPr="006F0BB0">
              <w:rPr>
                <w:sz w:val="18"/>
                <w:szCs w:val="18"/>
              </w:rPr>
              <w:t>2 180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D41412" w14:textId="77777777" w:rsidR="006F0BB0" w:rsidRPr="006F0BB0" w:rsidRDefault="006F0BB0" w:rsidP="007D1DBA">
            <w:pPr>
              <w:jc w:val="right"/>
              <w:rPr>
                <w:sz w:val="18"/>
                <w:szCs w:val="18"/>
                <w:lang w:val="en-CA" w:eastAsia="en-CA"/>
              </w:rPr>
            </w:pPr>
            <w:r w:rsidRPr="006F0BB0">
              <w:rPr>
                <w:sz w:val="18"/>
                <w:szCs w:val="18"/>
              </w:rPr>
              <w:t>2 398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12F158" w14:textId="77777777" w:rsidR="006F0BB0" w:rsidRPr="006F0BB0" w:rsidRDefault="006F0BB0" w:rsidP="007D1DBA">
            <w:pPr>
              <w:jc w:val="right"/>
              <w:rPr>
                <w:sz w:val="18"/>
                <w:szCs w:val="18"/>
                <w:lang w:val="en-CA" w:eastAsia="en-CA"/>
              </w:rPr>
            </w:pPr>
            <w:r w:rsidRPr="006F0BB0">
              <w:rPr>
                <w:sz w:val="18"/>
                <w:szCs w:val="18"/>
              </w:rPr>
              <w:t>2 638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2C1B215" w14:textId="77777777" w:rsidR="006F0BB0" w:rsidRPr="006F0BB0" w:rsidRDefault="006F0BB0" w:rsidP="007D1DBA">
            <w:pPr>
              <w:jc w:val="right"/>
              <w:rPr>
                <w:sz w:val="18"/>
                <w:szCs w:val="18"/>
                <w:lang w:val="en-CA" w:eastAsia="en-CA"/>
              </w:rPr>
            </w:pPr>
            <w:r w:rsidRPr="006F0BB0">
              <w:rPr>
                <w:sz w:val="18"/>
                <w:szCs w:val="18"/>
              </w:rPr>
              <w:t>2 902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D9A5CB" w14:textId="77777777" w:rsidR="006F0BB0" w:rsidRPr="006F0BB0" w:rsidRDefault="006F0BB0" w:rsidP="007D1DBA">
            <w:pPr>
              <w:jc w:val="right"/>
              <w:rPr>
                <w:sz w:val="18"/>
                <w:szCs w:val="18"/>
                <w:lang w:val="en-CA" w:eastAsia="en-CA"/>
              </w:rPr>
            </w:pPr>
            <w:r w:rsidRPr="006F0BB0">
              <w:rPr>
                <w:sz w:val="18"/>
                <w:szCs w:val="18"/>
              </w:rPr>
              <w:t>2 187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7BA589A" w14:textId="77777777" w:rsidR="006F0BB0" w:rsidRPr="006F0BB0" w:rsidRDefault="006F0BB0" w:rsidP="007D1DBA">
            <w:pPr>
              <w:jc w:val="right"/>
              <w:rPr>
                <w:sz w:val="18"/>
                <w:szCs w:val="18"/>
                <w:lang w:val="en-CA" w:eastAsia="en-CA"/>
              </w:rPr>
            </w:pPr>
            <w:r w:rsidRPr="006F0BB0">
              <w:rPr>
                <w:sz w:val="18"/>
                <w:szCs w:val="18"/>
              </w:rPr>
              <w:t>5 187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2E5EF86" w14:textId="77777777" w:rsidR="006F0BB0" w:rsidRPr="006F0BB0" w:rsidRDefault="006F0BB0" w:rsidP="007D1DBA">
            <w:pPr>
              <w:jc w:val="right"/>
              <w:rPr>
                <w:sz w:val="18"/>
                <w:szCs w:val="18"/>
                <w:lang w:val="en-CA" w:eastAsia="en-CA"/>
              </w:rPr>
            </w:pPr>
            <w:r w:rsidRPr="006F0BB0">
              <w:rPr>
                <w:sz w:val="18"/>
                <w:szCs w:val="18"/>
              </w:rPr>
              <w:t>55,9%</w:t>
            </w:r>
          </w:p>
        </w:tc>
      </w:tr>
      <w:tr w:rsidR="006F0BB0" w:rsidRPr="006F0BB0" w14:paraId="2326E53D"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4B4227A" w14:textId="77777777" w:rsidR="006F0BB0" w:rsidRPr="006F0BB0" w:rsidRDefault="006F0BB0" w:rsidP="007D1DBA">
            <w:pPr>
              <w:jc w:val="left"/>
              <w:rPr>
                <w:sz w:val="18"/>
                <w:szCs w:val="18"/>
                <w:lang w:val="en-CA" w:eastAsia="en-CA"/>
              </w:rPr>
            </w:pPr>
            <w:r w:rsidRPr="006F0BB0">
              <w:rPr>
                <w:sz w:val="18"/>
                <w:szCs w:val="18"/>
                <w:lang w:val="en-CA" w:eastAsia="en-CA"/>
              </w:rPr>
              <w:t>Antigua y Barbuda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D9B7AF6" w14:textId="77777777" w:rsidR="006F0BB0" w:rsidRPr="006F0BB0" w:rsidRDefault="006F0BB0" w:rsidP="007D1DBA">
            <w:pPr>
              <w:jc w:val="right"/>
              <w:rPr>
                <w:sz w:val="18"/>
                <w:szCs w:val="18"/>
                <w:lang w:val="en-CA" w:eastAsia="en-CA"/>
              </w:rPr>
            </w:pPr>
            <w:r w:rsidRPr="006F0BB0">
              <w:rPr>
                <w:sz w:val="18"/>
                <w:szCs w:val="18"/>
              </w:rPr>
              <w:t>4 079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0C904A3" w14:textId="77777777" w:rsidR="006F0BB0" w:rsidRPr="006F0BB0" w:rsidRDefault="006F0BB0" w:rsidP="007D1DBA">
            <w:pPr>
              <w:jc w:val="right"/>
              <w:rPr>
                <w:sz w:val="18"/>
                <w:szCs w:val="18"/>
                <w:lang w:val="en-CA" w:eastAsia="en-CA"/>
              </w:rPr>
            </w:pPr>
            <w:r w:rsidRPr="006F0BB0">
              <w:rPr>
                <w:sz w:val="18"/>
                <w:szCs w:val="18"/>
              </w:rPr>
              <w:t>4 487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AC3AFD0" w14:textId="77777777" w:rsidR="006F0BB0" w:rsidRPr="006F0BB0" w:rsidRDefault="006F0BB0" w:rsidP="007D1DBA">
            <w:pPr>
              <w:jc w:val="right"/>
              <w:rPr>
                <w:sz w:val="18"/>
                <w:szCs w:val="18"/>
                <w:lang w:val="en-CA" w:eastAsia="en-CA"/>
              </w:rPr>
            </w:pPr>
            <w:r w:rsidRPr="006F0BB0">
              <w:rPr>
                <w:sz w:val="18"/>
                <w:szCs w:val="18"/>
              </w:rPr>
              <w:t>4 936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03CAD28" w14:textId="77777777" w:rsidR="006F0BB0" w:rsidRPr="006F0BB0" w:rsidRDefault="006F0BB0" w:rsidP="007D1DBA">
            <w:pPr>
              <w:jc w:val="right"/>
              <w:rPr>
                <w:sz w:val="18"/>
                <w:szCs w:val="18"/>
                <w:lang w:val="en-CA" w:eastAsia="en-CA"/>
              </w:rPr>
            </w:pPr>
            <w:r w:rsidRPr="006F0BB0">
              <w:rPr>
                <w:sz w:val="18"/>
                <w:szCs w:val="18"/>
              </w:rPr>
              <w:t>5 429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2CBB544" w14:textId="77777777" w:rsidR="006F0BB0" w:rsidRPr="006F0BB0" w:rsidRDefault="006F0BB0" w:rsidP="007D1DBA">
            <w:pPr>
              <w:jc w:val="right"/>
              <w:rPr>
                <w:sz w:val="18"/>
                <w:szCs w:val="18"/>
                <w:lang w:val="en-CA" w:eastAsia="en-CA"/>
              </w:rPr>
            </w:pPr>
            <w:r w:rsidRPr="006F0BB0">
              <w:rPr>
                <w:sz w:val="18"/>
                <w:szCs w:val="18"/>
              </w:rPr>
              <w:t>5 972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BF5D476" w14:textId="77777777" w:rsidR="006F0BB0" w:rsidRPr="006F0BB0" w:rsidRDefault="006F0BB0" w:rsidP="007D1DBA">
            <w:pPr>
              <w:jc w:val="right"/>
              <w:rPr>
                <w:sz w:val="18"/>
                <w:szCs w:val="18"/>
                <w:lang w:val="en-CA" w:eastAsia="en-CA"/>
              </w:rPr>
            </w:pPr>
            <w:r w:rsidRPr="006F0BB0">
              <w:rPr>
                <w:sz w:val="18"/>
                <w:szCs w:val="18"/>
              </w:rPr>
              <w:t>6 569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E475ED" w14:textId="77777777" w:rsidR="006F0BB0" w:rsidRPr="006F0BB0" w:rsidRDefault="006F0BB0" w:rsidP="007D1DBA">
            <w:pPr>
              <w:jc w:val="right"/>
              <w:rPr>
                <w:sz w:val="18"/>
                <w:szCs w:val="18"/>
                <w:lang w:val="en-CA" w:eastAsia="en-CA"/>
              </w:rPr>
            </w:pPr>
            <w:r w:rsidRPr="006F0BB0">
              <w:rPr>
                <w:sz w:val="18"/>
                <w:szCs w:val="18"/>
              </w:rPr>
              <w:t>4 951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78CF4BF" w14:textId="77777777" w:rsidR="006F0BB0" w:rsidRPr="006F0BB0" w:rsidRDefault="006F0BB0" w:rsidP="007D1DBA">
            <w:pPr>
              <w:jc w:val="right"/>
              <w:rPr>
                <w:sz w:val="18"/>
                <w:szCs w:val="18"/>
                <w:lang w:val="en-CA" w:eastAsia="en-CA"/>
              </w:rPr>
            </w:pPr>
            <w:r w:rsidRPr="006F0BB0">
              <w:rPr>
                <w:sz w:val="18"/>
                <w:szCs w:val="18"/>
              </w:rPr>
              <w:t>11 427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595E960" w14:textId="77777777" w:rsidR="006F0BB0" w:rsidRPr="006F0BB0" w:rsidRDefault="006F0BB0" w:rsidP="007D1DBA">
            <w:pPr>
              <w:jc w:val="right"/>
              <w:rPr>
                <w:sz w:val="18"/>
                <w:szCs w:val="18"/>
                <w:lang w:val="en-CA" w:eastAsia="en-CA"/>
              </w:rPr>
            </w:pPr>
            <w:r w:rsidRPr="006F0BB0">
              <w:rPr>
                <w:sz w:val="18"/>
                <w:szCs w:val="18"/>
              </w:rPr>
              <w:t>57,5%</w:t>
            </w:r>
          </w:p>
        </w:tc>
      </w:tr>
      <w:tr w:rsidR="006F0BB0" w:rsidRPr="006F0BB0" w14:paraId="70AD2594"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6351513" w14:textId="77777777" w:rsidR="006F0BB0" w:rsidRPr="006F0BB0" w:rsidRDefault="006F0BB0" w:rsidP="007D1DBA">
            <w:pPr>
              <w:jc w:val="left"/>
              <w:rPr>
                <w:sz w:val="18"/>
                <w:szCs w:val="18"/>
                <w:lang w:val="en-CA" w:eastAsia="en-CA"/>
              </w:rPr>
            </w:pPr>
            <w:r w:rsidRPr="006F0BB0">
              <w:rPr>
                <w:sz w:val="18"/>
                <w:szCs w:val="18"/>
                <w:lang w:val="en-CA" w:eastAsia="en-CA"/>
              </w:rPr>
              <w:t>Malawi</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D76516B" w14:textId="77777777" w:rsidR="006F0BB0" w:rsidRPr="006F0BB0" w:rsidRDefault="006F0BB0" w:rsidP="007D1DBA">
            <w:pPr>
              <w:jc w:val="right"/>
              <w:rPr>
                <w:sz w:val="18"/>
                <w:szCs w:val="18"/>
                <w:lang w:val="en-CA" w:eastAsia="en-CA"/>
              </w:rPr>
            </w:pPr>
            <w:r w:rsidRPr="006F0BB0">
              <w:rPr>
                <w:sz w:val="18"/>
                <w:szCs w:val="18"/>
              </w:rPr>
              <w:t>188 503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F1E55B5" w14:textId="77777777" w:rsidR="006F0BB0" w:rsidRPr="006F0BB0" w:rsidRDefault="006F0BB0" w:rsidP="007D1DBA">
            <w:pPr>
              <w:jc w:val="right"/>
              <w:rPr>
                <w:sz w:val="18"/>
                <w:szCs w:val="18"/>
                <w:lang w:val="en-CA" w:eastAsia="en-CA"/>
              </w:rPr>
            </w:pPr>
            <w:r w:rsidRPr="006F0BB0">
              <w:rPr>
                <w:sz w:val="18"/>
                <w:szCs w:val="18"/>
              </w:rPr>
              <w:t>207 353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9CAC071" w14:textId="77777777" w:rsidR="006F0BB0" w:rsidRPr="006F0BB0" w:rsidRDefault="006F0BB0" w:rsidP="007D1DBA">
            <w:pPr>
              <w:jc w:val="right"/>
              <w:rPr>
                <w:sz w:val="18"/>
                <w:szCs w:val="18"/>
                <w:lang w:val="en-CA" w:eastAsia="en-CA"/>
              </w:rPr>
            </w:pPr>
            <w:r w:rsidRPr="006F0BB0">
              <w:rPr>
                <w:sz w:val="18"/>
                <w:szCs w:val="18"/>
              </w:rPr>
              <w:t>228 089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2459807" w14:textId="77777777" w:rsidR="006F0BB0" w:rsidRPr="006F0BB0" w:rsidRDefault="006F0BB0" w:rsidP="007D1DBA">
            <w:pPr>
              <w:jc w:val="right"/>
              <w:rPr>
                <w:sz w:val="18"/>
                <w:szCs w:val="18"/>
                <w:lang w:val="en-CA" w:eastAsia="en-CA"/>
              </w:rPr>
            </w:pPr>
            <w:r w:rsidRPr="006F0BB0">
              <w:rPr>
                <w:sz w:val="18"/>
                <w:szCs w:val="18"/>
              </w:rPr>
              <w:t>250 897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2E60A60" w14:textId="77777777" w:rsidR="006F0BB0" w:rsidRPr="006F0BB0" w:rsidRDefault="006F0BB0" w:rsidP="007D1DBA">
            <w:pPr>
              <w:jc w:val="right"/>
              <w:rPr>
                <w:sz w:val="18"/>
                <w:szCs w:val="18"/>
                <w:lang w:val="en-CA" w:eastAsia="en-CA"/>
              </w:rPr>
            </w:pPr>
            <w:r w:rsidRPr="006F0BB0">
              <w:rPr>
                <w:sz w:val="18"/>
                <w:szCs w:val="18"/>
              </w:rPr>
              <w:t>275 987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E28E9CE" w14:textId="77777777" w:rsidR="006F0BB0" w:rsidRPr="006F0BB0" w:rsidRDefault="006F0BB0" w:rsidP="007D1DBA">
            <w:pPr>
              <w:jc w:val="right"/>
              <w:rPr>
                <w:sz w:val="18"/>
                <w:szCs w:val="18"/>
                <w:lang w:val="en-CA" w:eastAsia="en-CA"/>
              </w:rPr>
            </w:pPr>
            <w:r w:rsidRPr="006F0BB0">
              <w:rPr>
                <w:sz w:val="18"/>
                <w:szCs w:val="18"/>
              </w:rPr>
              <w:t>303 586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29E5102" w14:textId="77777777" w:rsidR="006F0BB0" w:rsidRPr="006F0BB0" w:rsidRDefault="006F0BB0" w:rsidP="007D1DBA">
            <w:pPr>
              <w:jc w:val="right"/>
              <w:rPr>
                <w:sz w:val="18"/>
                <w:szCs w:val="18"/>
                <w:lang w:val="en-CA" w:eastAsia="en-CA"/>
              </w:rPr>
            </w:pPr>
            <w:r w:rsidRPr="006F0BB0">
              <w:rPr>
                <w:sz w:val="18"/>
                <w:szCs w:val="18"/>
              </w:rPr>
              <w:t>228 780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E96BD60" w14:textId="77777777" w:rsidR="006F0BB0" w:rsidRPr="006F0BB0" w:rsidRDefault="006F0BB0" w:rsidP="007D1DBA">
            <w:pPr>
              <w:jc w:val="right"/>
              <w:rPr>
                <w:sz w:val="18"/>
                <w:szCs w:val="18"/>
                <w:lang w:val="en-CA" w:eastAsia="en-CA"/>
              </w:rPr>
            </w:pPr>
            <w:r w:rsidRPr="006F0BB0">
              <w:rPr>
                <w:sz w:val="18"/>
                <w:szCs w:val="18"/>
              </w:rPr>
              <w:t>459 727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7EBEB42" w14:textId="77777777" w:rsidR="006F0BB0" w:rsidRPr="006F0BB0" w:rsidRDefault="006F0BB0" w:rsidP="007D1DBA">
            <w:pPr>
              <w:jc w:val="right"/>
              <w:rPr>
                <w:sz w:val="18"/>
                <w:szCs w:val="18"/>
                <w:lang w:val="en-CA" w:eastAsia="en-CA"/>
              </w:rPr>
            </w:pPr>
            <w:r w:rsidRPr="006F0BB0">
              <w:rPr>
                <w:sz w:val="18"/>
                <w:szCs w:val="18"/>
              </w:rPr>
              <w:t>66,0%</w:t>
            </w:r>
          </w:p>
        </w:tc>
      </w:tr>
      <w:tr w:rsidR="006F0BB0" w:rsidRPr="006F0BB0" w14:paraId="228E110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D87A078" w14:textId="77777777" w:rsidR="006F0BB0" w:rsidRPr="006F0BB0" w:rsidRDefault="006F0BB0" w:rsidP="007D1DBA">
            <w:pPr>
              <w:jc w:val="left"/>
              <w:rPr>
                <w:sz w:val="18"/>
                <w:szCs w:val="18"/>
                <w:lang w:val="en-CA" w:eastAsia="en-CA"/>
              </w:rPr>
            </w:pPr>
            <w:r w:rsidRPr="006F0BB0">
              <w:rPr>
                <w:sz w:val="18"/>
                <w:szCs w:val="18"/>
                <w:lang w:val="en-CA" w:eastAsia="en-CA"/>
              </w:rPr>
              <w:t>Eswatini</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723DF42" w14:textId="77777777" w:rsidR="006F0BB0" w:rsidRPr="006F0BB0" w:rsidRDefault="006F0BB0" w:rsidP="007D1DBA">
            <w:pPr>
              <w:jc w:val="right"/>
              <w:rPr>
                <w:sz w:val="18"/>
                <w:szCs w:val="18"/>
                <w:lang w:val="en-CA" w:eastAsia="en-CA"/>
              </w:rPr>
            </w:pPr>
            <w:r w:rsidRPr="006F0BB0">
              <w:rPr>
                <w:sz w:val="18"/>
                <w:szCs w:val="18"/>
              </w:rPr>
              <w:t>33 980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6389B47" w14:textId="77777777" w:rsidR="006F0BB0" w:rsidRPr="006F0BB0" w:rsidRDefault="006F0BB0" w:rsidP="007D1DBA">
            <w:pPr>
              <w:jc w:val="right"/>
              <w:rPr>
                <w:sz w:val="18"/>
                <w:szCs w:val="18"/>
                <w:lang w:val="en-CA" w:eastAsia="en-CA"/>
              </w:rPr>
            </w:pPr>
            <w:r w:rsidRPr="006F0BB0">
              <w:rPr>
                <w:sz w:val="18"/>
                <w:szCs w:val="18"/>
              </w:rPr>
              <w:t>37 378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4A9C464" w14:textId="77777777" w:rsidR="006F0BB0" w:rsidRPr="006F0BB0" w:rsidRDefault="006F0BB0" w:rsidP="007D1DBA">
            <w:pPr>
              <w:jc w:val="right"/>
              <w:rPr>
                <w:sz w:val="18"/>
                <w:szCs w:val="18"/>
                <w:lang w:val="en-CA" w:eastAsia="en-CA"/>
              </w:rPr>
            </w:pPr>
            <w:r w:rsidRPr="006F0BB0">
              <w:rPr>
                <w:sz w:val="18"/>
                <w:szCs w:val="18"/>
              </w:rPr>
              <w:t>41 116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FE002C1" w14:textId="77777777" w:rsidR="006F0BB0" w:rsidRPr="006F0BB0" w:rsidRDefault="006F0BB0" w:rsidP="007D1DBA">
            <w:pPr>
              <w:jc w:val="right"/>
              <w:rPr>
                <w:sz w:val="18"/>
                <w:szCs w:val="18"/>
                <w:lang w:val="en-CA" w:eastAsia="en-CA"/>
              </w:rPr>
            </w:pPr>
            <w:r w:rsidRPr="006F0BB0">
              <w:rPr>
                <w:sz w:val="18"/>
                <w:szCs w:val="18"/>
              </w:rPr>
              <w:t>45 227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FD65219" w14:textId="77777777" w:rsidR="006F0BB0" w:rsidRPr="006F0BB0" w:rsidRDefault="006F0BB0" w:rsidP="007D1DBA">
            <w:pPr>
              <w:jc w:val="right"/>
              <w:rPr>
                <w:sz w:val="18"/>
                <w:szCs w:val="18"/>
                <w:lang w:val="en-CA" w:eastAsia="en-CA"/>
              </w:rPr>
            </w:pPr>
            <w:r w:rsidRPr="006F0BB0">
              <w:rPr>
                <w:sz w:val="18"/>
                <w:szCs w:val="18"/>
              </w:rPr>
              <w:t>49 750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C185475" w14:textId="77777777" w:rsidR="006F0BB0" w:rsidRPr="006F0BB0" w:rsidRDefault="006F0BB0" w:rsidP="007D1DBA">
            <w:pPr>
              <w:jc w:val="right"/>
              <w:rPr>
                <w:sz w:val="18"/>
                <w:szCs w:val="18"/>
                <w:lang w:val="en-CA" w:eastAsia="en-CA"/>
              </w:rPr>
            </w:pPr>
            <w:r w:rsidRPr="006F0BB0">
              <w:rPr>
                <w:sz w:val="18"/>
                <w:szCs w:val="18"/>
              </w:rPr>
              <w:t>54 725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C6D025E" w14:textId="77777777" w:rsidR="006F0BB0" w:rsidRPr="006F0BB0" w:rsidRDefault="006F0BB0" w:rsidP="007D1DBA">
            <w:pPr>
              <w:jc w:val="right"/>
              <w:rPr>
                <w:sz w:val="18"/>
                <w:szCs w:val="18"/>
                <w:lang w:val="en-CA" w:eastAsia="en-CA"/>
              </w:rPr>
            </w:pPr>
            <w:r w:rsidRPr="006F0BB0">
              <w:rPr>
                <w:sz w:val="18"/>
                <w:szCs w:val="18"/>
              </w:rPr>
              <w:t>41 240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009F5A" w14:textId="77777777" w:rsidR="006F0BB0" w:rsidRPr="006F0BB0" w:rsidRDefault="006F0BB0" w:rsidP="007D1DBA">
            <w:pPr>
              <w:jc w:val="right"/>
              <w:rPr>
                <w:sz w:val="18"/>
                <w:szCs w:val="18"/>
                <w:lang w:val="en-CA" w:eastAsia="en-CA"/>
              </w:rPr>
            </w:pPr>
            <w:r w:rsidRPr="006F0BB0">
              <w:rPr>
                <w:sz w:val="18"/>
                <w:szCs w:val="18"/>
              </w:rPr>
              <w:t>78 135</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BEDF2F2" w14:textId="77777777" w:rsidR="006F0BB0" w:rsidRPr="006F0BB0" w:rsidRDefault="006F0BB0" w:rsidP="007D1DBA">
            <w:pPr>
              <w:jc w:val="right"/>
              <w:rPr>
                <w:sz w:val="18"/>
                <w:szCs w:val="18"/>
                <w:lang w:val="en-CA" w:eastAsia="en-CA"/>
              </w:rPr>
            </w:pPr>
            <w:r w:rsidRPr="006F0BB0">
              <w:rPr>
                <w:sz w:val="18"/>
                <w:szCs w:val="18"/>
              </w:rPr>
              <w:t>70,0%</w:t>
            </w:r>
          </w:p>
        </w:tc>
      </w:tr>
      <w:tr w:rsidR="006F0BB0" w:rsidRPr="006F0BB0" w14:paraId="14D0F1BF"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F30B8D3" w14:textId="77777777" w:rsidR="006F0BB0" w:rsidRPr="006F0BB0" w:rsidRDefault="006F0BB0" w:rsidP="007D1DBA">
            <w:pPr>
              <w:jc w:val="left"/>
              <w:rPr>
                <w:sz w:val="18"/>
                <w:szCs w:val="18"/>
                <w:lang w:val="en-CA" w:eastAsia="en-CA"/>
              </w:rPr>
            </w:pPr>
            <w:r w:rsidRPr="006F0BB0">
              <w:rPr>
                <w:sz w:val="18"/>
                <w:szCs w:val="18"/>
                <w:lang w:val="en-CA" w:eastAsia="en-CA"/>
              </w:rPr>
              <w:t>Armenia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B2F4AB9" w14:textId="77777777" w:rsidR="006F0BB0" w:rsidRPr="006F0BB0" w:rsidRDefault="006F0BB0" w:rsidP="007D1DBA">
            <w:pPr>
              <w:jc w:val="right"/>
              <w:rPr>
                <w:sz w:val="18"/>
                <w:szCs w:val="18"/>
                <w:lang w:val="en-CA" w:eastAsia="en-CA"/>
              </w:rPr>
            </w:pPr>
            <w:r w:rsidRPr="006F0BB0">
              <w:rPr>
                <w:sz w:val="18"/>
                <w:szCs w:val="18"/>
              </w:rPr>
              <w:t>137 680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526D67" w14:textId="77777777" w:rsidR="006F0BB0" w:rsidRPr="006F0BB0" w:rsidRDefault="006F0BB0" w:rsidP="007D1DBA">
            <w:pPr>
              <w:jc w:val="right"/>
              <w:rPr>
                <w:sz w:val="18"/>
                <w:szCs w:val="18"/>
                <w:lang w:val="en-CA" w:eastAsia="en-CA"/>
              </w:rPr>
            </w:pPr>
            <w:r w:rsidRPr="006F0BB0">
              <w:rPr>
                <w:sz w:val="18"/>
                <w:szCs w:val="18"/>
              </w:rPr>
              <w:t>151 448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53BEC39" w14:textId="77777777" w:rsidR="006F0BB0" w:rsidRPr="006F0BB0" w:rsidRDefault="006F0BB0" w:rsidP="007D1DBA">
            <w:pPr>
              <w:jc w:val="right"/>
              <w:rPr>
                <w:sz w:val="18"/>
                <w:szCs w:val="18"/>
                <w:lang w:val="en-CA" w:eastAsia="en-CA"/>
              </w:rPr>
            </w:pPr>
            <w:r w:rsidRPr="006F0BB0">
              <w:rPr>
                <w:sz w:val="18"/>
                <w:szCs w:val="18"/>
              </w:rPr>
              <w:t>166 593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6E21E74" w14:textId="77777777" w:rsidR="006F0BB0" w:rsidRPr="006F0BB0" w:rsidRDefault="006F0BB0" w:rsidP="007D1DBA">
            <w:pPr>
              <w:jc w:val="right"/>
              <w:rPr>
                <w:sz w:val="18"/>
                <w:szCs w:val="18"/>
                <w:lang w:val="en-CA" w:eastAsia="en-CA"/>
              </w:rPr>
            </w:pPr>
            <w:r w:rsidRPr="006F0BB0">
              <w:rPr>
                <w:sz w:val="18"/>
                <w:szCs w:val="18"/>
              </w:rPr>
              <w:t>183 252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BB6F027" w14:textId="77777777" w:rsidR="006F0BB0" w:rsidRPr="006F0BB0" w:rsidRDefault="006F0BB0" w:rsidP="007D1DBA">
            <w:pPr>
              <w:jc w:val="right"/>
              <w:rPr>
                <w:sz w:val="18"/>
                <w:szCs w:val="18"/>
                <w:lang w:val="en-CA" w:eastAsia="en-CA"/>
              </w:rPr>
            </w:pPr>
            <w:r w:rsidRPr="006F0BB0">
              <w:rPr>
                <w:sz w:val="18"/>
                <w:szCs w:val="18"/>
              </w:rPr>
              <w:t>201 577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427E1DC" w14:textId="77777777" w:rsidR="006F0BB0" w:rsidRPr="006F0BB0" w:rsidRDefault="006F0BB0" w:rsidP="007D1DBA">
            <w:pPr>
              <w:jc w:val="right"/>
              <w:rPr>
                <w:sz w:val="18"/>
                <w:szCs w:val="18"/>
                <w:lang w:val="en-CA" w:eastAsia="en-CA"/>
              </w:rPr>
            </w:pPr>
            <w:r w:rsidRPr="006F0BB0">
              <w:rPr>
                <w:sz w:val="18"/>
                <w:szCs w:val="18"/>
              </w:rPr>
              <w:t>221 735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91078A9" w14:textId="77777777" w:rsidR="006F0BB0" w:rsidRPr="006F0BB0" w:rsidRDefault="006F0BB0" w:rsidP="007D1DBA">
            <w:pPr>
              <w:jc w:val="right"/>
              <w:rPr>
                <w:sz w:val="18"/>
                <w:szCs w:val="18"/>
                <w:lang w:val="en-CA" w:eastAsia="en-CA"/>
              </w:rPr>
            </w:pPr>
            <w:r w:rsidRPr="006F0BB0">
              <w:rPr>
                <w:sz w:val="18"/>
                <w:szCs w:val="18"/>
              </w:rPr>
              <w:t>167 098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7F1A6A9" w14:textId="77777777" w:rsidR="006F0BB0" w:rsidRPr="006F0BB0" w:rsidRDefault="006F0BB0" w:rsidP="007D1DBA">
            <w:pPr>
              <w:jc w:val="right"/>
              <w:rPr>
                <w:sz w:val="18"/>
                <w:szCs w:val="18"/>
                <w:lang w:val="en-CA" w:eastAsia="en-CA"/>
              </w:rPr>
            </w:pPr>
            <w:r w:rsidRPr="006F0BB0">
              <w:rPr>
                <w:sz w:val="18"/>
                <w:szCs w:val="18"/>
              </w:rPr>
              <w:t>316 148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C93953D" w14:textId="77777777" w:rsidR="006F0BB0" w:rsidRPr="006F0BB0" w:rsidRDefault="006F0BB0" w:rsidP="007D1DBA">
            <w:pPr>
              <w:jc w:val="right"/>
              <w:rPr>
                <w:sz w:val="18"/>
                <w:szCs w:val="18"/>
                <w:lang w:val="en-CA" w:eastAsia="en-CA"/>
              </w:rPr>
            </w:pPr>
            <w:r w:rsidRPr="006F0BB0">
              <w:rPr>
                <w:sz w:val="18"/>
                <w:szCs w:val="18"/>
              </w:rPr>
              <w:t>70,1%</w:t>
            </w:r>
          </w:p>
        </w:tc>
      </w:tr>
      <w:tr w:rsidR="006F0BB0" w:rsidRPr="006F0BB0" w14:paraId="5C48A3D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ED6E2C9" w14:textId="77777777" w:rsidR="006F0BB0" w:rsidRPr="006F0BB0" w:rsidRDefault="006F0BB0" w:rsidP="007D1DBA">
            <w:pPr>
              <w:jc w:val="left"/>
              <w:rPr>
                <w:sz w:val="18"/>
                <w:szCs w:val="18"/>
                <w:lang w:val="en-CA" w:eastAsia="en-CA"/>
              </w:rPr>
            </w:pPr>
            <w:r w:rsidRPr="006F0BB0">
              <w:rPr>
                <w:sz w:val="18"/>
                <w:szCs w:val="18"/>
                <w:lang w:val="en-CA" w:eastAsia="en-CA"/>
              </w:rPr>
              <w:t>Uruguay</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4C70DEB" w14:textId="77777777" w:rsidR="006F0BB0" w:rsidRPr="006F0BB0" w:rsidRDefault="006F0BB0" w:rsidP="007D1DBA">
            <w:pPr>
              <w:jc w:val="right"/>
              <w:rPr>
                <w:sz w:val="18"/>
                <w:szCs w:val="18"/>
                <w:lang w:val="en-CA" w:eastAsia="en-CA"/>
              </w:rPr>
            </w:pPr>
            <w:r w:rsidRPr="006F0BB0">
              <w:rPr>
                <w:sz w:val="18"/>
                <w:szCs w:val="18"/>
              </w:rPr>
              <w:t>448 663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36D9C21" w14:textId="77777777" w:rsidR="006F0BB0" w:rsidRPr="006F0BB0" w:rsidRDefault="006F0BB0" w:rsidP="007D1DBA">
            <w:pPr>
              <w:jc w:val="right"/>
              <w:rPr>
                <w:sz w:val="18"/>
                <w:szCs w:val="18"/>
                <w:lang w:val="en-CA" w:eastAsia="en-CA"/>
              </w:rPr>
            </w:pPr>
            <w:r w:rsidRPr="006F0BB0">
              <w:rPr>
                <w:sz w:val="18"/>
                <w:szCs w:val="18"/>
              </w:rPr>
              <w:t>493 529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F0B7AD2" w14:textId="77777777" w:rsidR="006F0BB0" w:rsidRPr="006F0BB0" w:rsidRDefault="006F0BB0" w:rsidP="007D1DBA">
            <w:pPr>
              <w:jc w:val="right"/>
              <w:rPr>
                <w:sz w:val="18"/>
                <w:szCs w:val="18"/>
                <w:lang w:val="en-CA" w:eastAsia="en-CA"/>
              </w:rPr>
            </w:pPr>
            <w:r w:rsidRPr="006F0BB0">
              <w:rPr>
                <w:sz w:val="18"/>
                <w:szCs w:val="18"/>
              </w:rPr>
              <w:t>542 882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673CC83" w14:textId="77777777" w:rsidR="006F0BB0" w:rsidRPr="006F0BB0" w:rsidRDefault="006F0BB0" w:rsidP="007D1DBA">
            <w:pPr>
              <w:jc w:val="right"/>
              <w:rPr>
                <w:sz w:val="18"/>
                <w:szCs w:val="18"/>
                <w:lang w:val="en-CA" w:eastAsia="en-CA"/>
              </w:rPr>
            </w:pPr>
            <w:r w:rsidRPr="006F0BB0">
              <w:rPr>
                <w:sz w:val="18"/>
                <w:szCs w:val="18"/>
              </w:rPr>
              <w:t>597 170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379B21A" w14:textId="77777777" w:rsidR="006F0BB0" w:rsidRPr="006F0BB0" w:rsidRDefault="006F0BB0" w:rsidP="007D1DBA">
            <w:pPr>
              <w:jc w:val="right"/>
              <w:rPr>
                <w:sz w:val="18"/>
                <w:szCs w:val="18"/>
                <w:lang w:val="en-CA" w:eastAsia="en-CA"/>
              </w:rPr>
            </w:pPr>
            <w:r w:rsidRPr="006F0BB0">
              <w:rPr>
                <w:sz w:val="18"/>
                <w:szCs w:val="18"/>
              </w:rPr>
              <w:t>656 887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EB27AAA" w14:textId="77777777" w:rsidR="006F0BB0" w:rsidRPr="006F0BB0" w:rsidRDefault="006F0BB0" w:rsidP="007D1DBA">
            <w:pPr>
              <w:jc w:val="right"/>
              <w:rPr>
                <w:sz w:val="18"/>
                <w:szCs w:val="18"/>
                <w:lang w:val="en-CA" w:eastAsia="en-CA"/>
              </w:rPr>
            </w:pPr>
            <w:r w:rsidRPr="006F0BB0">
              <w:rPr>
                <w:sz w:val="18"/>
                <w:szCs w:val="18"/>
              </w:rPr>
              <w:t>722 576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018C931" w14:textId="77777777" w:rsidR="006F0BB0" w:rsidRPr="006F0BB0" w:rsidRDefault="006F0BB0" w:rsidP="007D1DBA">
            <w:pPr>
              <w:jc w:val="right"/>
              <w:rPr>
                <w:sz w:val="18"/>
                <w:szCs w:val="18"/>
                <w:lang w:val="en-CA" w:eastAsia="en-CA"/>
              </w:rPr>
            </w:pPr>
            <w:r w:rsidRPr="006F0BB0">
              <w:rPr>
                <w:sz w:val="18"/>
                <w:szCs w:val="18"/>
              </w:rPr>
              <w:t>544 527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1EB12F9" w14:textId="77777777" w:rsidR="006F0BB0" w:rsidRPr="006F0BB0" w:rsidRDefault="006F0BB0" w:rsidP="007D1DBA">
            <w:pPr>
              <w:jc w:val="right"/>
              <w:rPr>
                <w:sz w:val="18"/>
                <w:szCs w:val="18"/>
                <w:lang w:val="en-CA" w:eastAsia="en-CA"/>
              </w:rPr>
            </w:pPr>
            <w:r w:rsidRPr="006F0BB0">
              <w:rPr>
                <w:sz w:val="18"/>
                <w:szCs w:val="18"/>
              </w:rPr>
              <w:t>1 016 477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243C0CF" w14:textId="77777777" w:rsidR="006F0BB0" w:rsidRPr="006F0BB0" w:rsidRDefault="006F0BB0" w:rsidP="007D1DBA">
            <w:pPr>
              <w:jc w:val="right"/>
              <w:rPr>
                <w:sz w:val="18"/>
                <w:szCs w:val="18"/>
                <w:lang w:val="en-CA" w:eastAsia="en-CA"/>
              </w:rPr>
            </w:pPr>
            <w:r w:rsidRPr="006F0BB0">
              <w:rPr>
                <w:sz w:val="18"/>
                <w:szCs w:val="18"/>
              </w:rPr>
              <w:t>71,1%</w:t>
            </w:r>
          </w:p>
        </w:tc>
      </w:tr>
      <w:tr w:rsidR="006F0BB0" w:rsidRPr="006F0BB0" w14:paraId="782F421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9C20C07" w14:textId="77777777" w:rsidR="006F0BB0" w:rsidRPr="006F0BB0" w:rsidRDefault="006F0BB0" w:rsidP="007D1DBA">
            <w:pPr>
              <w:jc w:val="left"/>
              <w:rPr>
                <w:sz w:val="18"/>
                <w:szCs w:val="18"/>
                <w:lang w:val="en-CA" w:eastAsia="en-CA"/>
              </w:rPr>
            </w:pPr>
            <w:r w:rsidRPr="006F0BB0">
              <w:rPr>
                <w:sz w:val="18"/>
                <w:szCs w:val="18"/>
                <w:lang w:val="en-CA" w:eastAsia="en-CA"/>
              </w:rPr>
              <w:t>Burkina Faso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45446BA" w14:textId="77777777" w:rsidR="006F0BB0" w:rsidRPr="006F0BB0" w:rsidRDefault="006F0BB0" w:rsidP="007D1DBA">
            <w:pPr>
              <w:jc w:val="right"/>
              <w:rPr>
                <w:sz w:val="18"/>
                <w:szCs w:val="18"/>
                <w:lang w:val="en-CA" w:eastAsia="en-CA"/>
              </w:rPr>
            </w:pPr>
            <w:r w:rsidRPr="006F0BB0">
              <w:rPr>
                <w:sz w:val="18"/>
                <w:szCs w:val="18"/>
              </w:rPr>
              <w:t>622 456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02A33C6" w14:textId="77777777" w:rsidR="006F0BB0" w:rsidRPr="006F0BB0" w:rsidRDefault="006F0BB0" w:rsidP="007D1DBA">
            <w:pPr>
              <w:jc w:val="right"/>
              <w:rPr>
                <w:sz w:val="18"/>
                <w:szCs w:val="18"/>
                <w:lang w:val="en-CA" w:eastAsia="en-CA"/>
              </w:rPr>
            </w:pPr>
            <w:r w:rsidRPr="006F0BB0">
              <w:rPr>
                <w:sz w:val="18"/>
                <w:szCs w:val="18"/>
              </w:rPr>
              <w:t>684 702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E11037B" w14:textId="77777777" w:rsidR="006F0BB0" w:rsidRPr="006F0BB0" w:rsidRDefault="006F0BB0" w:rsidP="007D1DBA">
            <w:pPr>
              <w:jc w:val="right"/>
              <w:rPr>
                <w:sz w:val="18"/>
                <w:szCs w:val="18"/>
                <w:lang w:val="en-CA" w:eastAsia="en-CA"/>
              </w:rPr>
            </w:pPr>
            <w:r w:rsidRPr="006F0BB0">
              <w:rPr>
                <w:sz w:val="18"/>
                <w:szCs w:val="18"/>
              </w:rPr>
              <w:t>753 172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DBF4346" w14:textId="77777777" w:rsidR="006F0BB0" w:rsidRPr="006F0BB0" w:rsidRDefault="006F0BB0" w:rsidP="007D1DBA">
            <w:pPr>
              <w:jc w:val="right"/>
              <w:rPr>
                <w:sz w:val="18"/>
                <w:szCs w:val="18"/>
                <w:lang w:val="en-CA" w:eastAsia="en-CA"/>
              </w:rPr>
            </w:pPr>
            <w:r w:rsidRPr="006F0BB0">
              <w:rPr>
                <w:sz w:val="18"/>
                <w:szCs w:val="18"/>
              </w:rPr>
              <w:t>828 489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84BA1C" w14:textId="77777777" w:rsidR="006F0BB0" w:rsidRPr="006F0BB0" w:rsidRDefault="006F0BB0" w:rsidP="007D1DBA">
            <w:pPr>
              <w:jc w:val="right"/>
              <w:rPr>
                <w:sz w:val="18"/>
                <w:szCs w:val="18"/>
                <w:lang w:val="en-CA" w:eastAsia="en-CA"/>
              </w:rPr>
            </w:pPr>
            <w:r w:rsidRPr="006F0BB0">
              <w:rPr>
                <w:sz w:val="18"/>
                <w:szCs w:val="18"/>
              </w:rPr>
              <w:t>911 338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7E48A4E" w14:textId="77777777" w:rsidR="006F0BB0" w:rsidRPr="006F0BB0" w:rsidRDefault="006F0BB0" w:rsidP="007D1DBA">
            <w:pPr>
              <w:jc w:val="right"/>
              <w:rPr>
                <w:sz w:val="18"/>
                <w:szCs w:val="18"/>
                <w:lang w:val="en-CA" w:eastAsia="en-CA"/>
              </w:rPr>
            </w:pPr>
            <w:r w:rsidRPr="006F0BB0">
              <w:rPr>
                <w:sz w:val="18"/>
                <w:szCs w:val="18"/>
              </w:rPr>
              <w:t>1 002 472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59AACC6" w14:textId="77777777" w:rsidR="006F0BB0" w:rsidRPr="006F0BB0" w:rsidRDefault="006F0BB0" w:rsidP="007D1DBA">
            <w:pPr>
              <w:jc w:val="right"/>
              <w:rPr>
                <w:sz w:val="18"/>
                <w:szCs w:val="18"/>
                <w:lang w:val="en-CA" w:eastAsia="en-CA"/>
              </w:rPr>
            </w:pPr>
            <w:r w:rsidRPr="006F0BB0">
              <w:rPr>
                <w:sz w:val="18"/>
                <w:szCs w:val="18"/>
              </w:rPr>
              <w:t>755 454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9E30AFD" w14:textId="77777777" w:rsidR="006F0BB0" w:rsidRPr="006F0BB0" w:rsidRDefault="006F0BB0" w:rsidP="007D1DBA">
            <w:pPr>
              <w:jc w:val="right"/>
              <w:rPr>
                <w:sz w:val="18"/>
                <w:szCs w:val="18"/>
                <w:lang w:val="en-CA" w:eastAsia="en-CA"/>
              </w:rPr>
            </w:pPr>
            <w:r w:rsidRPr="006F0BB0">
              <w:rPr>
                <w:sz w:val="18"/>
                <w:szCs w:val="18"/>
              </w:rPr>
              <w:t>1 373 264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6294456" w14:textId="77777777" w:rsidR="006F0BB0" w:rsidRPr="006F0BB0" w:rsidRDefault="006F0BB0" w:rsidP="007D1DBA">
            <w:pPr>
              <w:jc w:val="right"/>
              <w:rPr>
                <w:sz w:val="18"/>
                <w:szCs w:val="18"/>
                <w:lang w:val="en-CA" w:eastAsia="en-CA"/>
              </w:rPr>
            </w:pPr>
            <w:r w:rsidRPr="006F0BB0">
              <w:rPr>
                <w:sz w:val="18"/>
                <w:szCs w:val="18"/>
              </w:rPr>
              <w:t>73,0%</w:t>
            </w:r>
          </w:p>
        </w:tc>
      </w:tr>
      <w:tr w:rsidR="006F0BB0" w:rsidRPr="006F0BB0" w14:paraId="3293A6C8"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807B563" w14:textId="77777777" w:rsidR="006F0BB0" w:rsidRPr="006F0BB0" w:rsidRDefault="006F0BB0" w:rsidP="007D1DBA">
            <w:pPr>
              <w:jc w:val="left"/>
              <w:rPr>
                <w:sz w:val="18"/>
                <w:szCs w:val="18"/>
                <w:lang w:val="en-CA" w:eastAsia="en-CA"/>
              </w:rPr>
            </w:pPr>
            <w:r w:rsidRPr="006F0BB0">
              <w:rPr>
                <w:sz w:val="18"/>
                <w:szCs w:val="18"/>
                <w:lang w:val="es-ES" w:eastAsia="en-CA"/>
              </w:rPr>
              <w:t>Haití</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AC67DFD" w14:textId="77777777" w:rsidR="006F0BB0" w:rsidRPr="006F0BB0" w:rsidRDefault="006F0BB0" w:rsidP="007D1DBA">
            <w:pPr>
              <w:jc w:val="right"/>
              <w:rPr>
                <w:sz w:val="18"/>
                <w:szCs w:val="18"/>
                <w:lang w:val="en-CA" w:eastAsia="en-CA"/>
              </w:rPr>
            </w:pPr>
            <w:r w:rsidRPr="006F0BB0">
              <w:rPr>
                <w:sz w:val="18"/>
                <w:szCs w:val="18"/>
              </w:rPr>
              <w:t>93 303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BDC49BF" w14:textId="77777777" w:rsidR="006F0BB0" w:rsidRPr="006F0BB0" w:rsidRDefault="006F0BB0" w:rsidP="007D1DBA">
            <w:pPr>
              <w:jc w:val="right"/>
              <w:rPr>
                <w:sz w:val="18"/>
                <w:szCs w:val="18"/>
                <w:lang w:val="en-CA" w:eastAsia="en-CA"/>
              </w:rPr>
            </w:pPr>
            <w:r w:rsidRPr="006F0BB0">
              <w:rPr>
                <w:sz w:val="18"/>
                <w:szCs w:val="18"/>
              </w:rPr>
              <w:t>102 633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D060186" w14:textId="77777777" w:rsidR="006F0BB0" w:rsidRPr="006F0BB0" w:rsidRDefault="006F0BB0" w:rsidP="007D1DBA">
            <w:pPr>
              <w:jc w:val="right"/>
              <w:rPr>
                <w:sz w:val="18"/>
                <w:szCs w:val="18"/>
                <w:lang w:val="en-CA" w:eastAsia="en-CA"/>
              </w:rPr>
            </w:pPr>
            <w:r w:rsidRPr="006F0BB0">
              <w:rPr>
                <w:sz w:val="18"/>
                <w:szCs w:val="18"/>
              </w:rPr>
              <w:t>112 897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A75430D" w14:textId="77777777" w:rsidR="006F0BB0" w:rsidRPr="006F0BB0" w:rsidRDefault="006F0BB0" w:rsidP="007D1DBA">
            <w:pPr>
              <w:jc w:val="right"/>
              <w:rPr>
                <w:sz w:val="18"/>
                <w:szCs w:val="18"/>
                <w:lang w:val="en-CA" w:eastAsia="en-CA"/>
              </w:rPr>
            </w:pPr>
            <w:r w:rsidRPr="006F0BB0">
              <w:rPr>
                <w:sz w:val="18"/>
                <w:szCs w:val="18"/>
              </w:rPr>
              <w:t>124 186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F9A2D9A" w14:textId="77777777" w:rsidR="006F0BB0" w:rsidRPr="006F0BB0" w:rsidRDefault="006F0BB0" w:rsidP="007D1DBA">
            <w:pPr>
              <w:jc w:val="right"/>
              <w:rPr>
                <w:sz w:val="18"/>
                <w:szCs w:val="18"/>
                <w:lang w:val="en-CA" w:eastAsia="en-CA"/>
              </w:rPr>
            </w:pPr>
            <w:r w:rsidRPr="006F0BB0">
              <w:rPr>
                <w:sz w:val="18"/>
                <w:szCs w:val="18"/>
              </w:rPr>
              <w:t>136 605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8D44BA8" w14:textId="77777777" w:rsidR="006F0BB0" w:rsidRPr="006F0BB0" w:rsidRDefault="006F0BB0" w:rsidP="007D1DBA">
            <w:pPr>
              <w:jc w:val="right"/>
              <w:rPr>
                <w:sz w:val="18"/>
                <w:szCs w:val="18"/>
                <w:lang w:val="en-CA" w:eastAsia="en-CA"/>
              </w:rPr>
            </w:pPr>
            <w:r w:rsidRPr="006F0BB0">
              <w:rPr>
                <w:sz w:val="18"/>
                <w:szCs w:val="18"/>
              </w:rPr>
              <w:t>150 265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3673649" w14:textId="77777777" w:rsidR="006F0BB0" w:rsidRPr="006F0BB0" w:rsidRDefault="006F0BB0" w:rsidP="007D1DBA">
            <w:pPr>
              <w:jc w:val="right"/>
              <w:rPr>
                <w:sz w:val="18"/>
                <w:szCs w:val="18"/>
                <w:lang w:val="en-CA" w:eastAsia="en-CA"/>
              </w:rPr>
            </w:pPr>
            <w:r w:rsidRPr="006F0BB0">
              <w:rPr>
                <w:sz w:val="18"/>
                <w:szCs w:val="18"/>
              </w:rPr>
              <w:t>113 239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99A6895" w14:textId="77777777" w:rsidR="006F0BB0" w:rsidRPr="006F0BB0" w:rsidRDefault="006F0BB0" w:rsidP="007D1DBA">
            <w:pPr>
              <w:jc w:val="right"/>
              <w:rPr>
                <w:sz w:val="18"/>
                <w:szCs w:val="18"/>
                <w:lang w:val="en-CA" w:eastAsia="en-CA"/>
              </w:rPr>
            </w:pPr>
            <w:r w:rsidRPr="006F0BB0">
              <w:rPr>
                <w:sz w:val="18"/>
                <w:szCs w:val="18"/>
              </w:rPr>
              <w:t>190 888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3AB02B4" w14:textId="77777777" w:rsidR="006F0BB0" w:rsidRPr="006F0BB0" w:rsidRDefault="006F0BB0" w:rsidP="007D1DBA">
            <w:pPr>
              <w:jc w:val="right"/>
              <w:rPr>
                <w:sz w:val="18"/>
                <w:szCs w:val="18"/>
                <w:lang w:val="en-CA" w:eastAsia="en-CA"/>
              </w:rPr>
            </w:pPr>
            <w:r w:rsidRPr="006F0BB0">
              <w:rPr>
                <w:sz w:val="18"/>
                <w:szCs w:val="18"/>
              </w:rPr>
              <w:t>78,7%</w:t>
            </w:r>
          </w:p>
        </w:tc>
      </w:tr>
      <w:tr w:rsidR="006F0BB0" w:rsidRPr="006F0BB0" w14:paraId="7EE30DA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5721601" w14:textId="77777777" w:rsidR="006F0BB0" w:rsidRPr="006F0BB0" w:rsidRDefault="006F0BB0" w:rsidP="007D1DBA">
            <w:pPr>
              <w:jc w:val="left"/>
              <w:rPr>
                <w:sz w:val="18"/>
                <w:szCs w:val="18"/>
                <w:lang w:val="en-CA" w:eastAsia="en-CA"/>
              </w:rPr>
            </w:pPr>
            <w:r w:rsidRPr="006F0BB0">
              <w:rPr>
                <w:sz w:val="18"/>
                <w:szCs w:val="18"/>
                <w:lang w:val="en-CA" w:eastAsia="en-CA"/>
              </w:rPr>
              <w:t>Sri Lanka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4C30BEA" w14:textId="77777777" w:rsidR="006F0BB0" w:rsidRPr="006F0BB0" w:rsidRDefault="006F0BB0" w:rsidP="007D1DBA">
            <w:pPr>
              <w:jc w:val="right"/>
              <w:rPr>
                <w:sz w:val="18"/>
                <w:szCs w:val="18"/>
                <w:lang w:val="en-CA" w:eastAsia="en-CA"/>
              </w:rPr>
            </w:pPr>
            <w:r w:rsidRPr="006F0BB0">
              <w:rPr>
                <w:sz w:val="18"/>
                <w:szCs w:val="18"/>
              </w:rPr>
              <w:t>331 622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9ACEAE6" w14:textId="77777777" w:rsidR="006F0BB0" w:rsidRPr="006F0BB0" w:rsidRDefault="006F0BB0" w:rsidP="007D1DBA">
            <w:pPr>
              <w:jc w:val="right"/>
              <w:rPr>
                <w:sz w:val="18"/>
                <w:szCs w:val="18"/>
                <w:lang w:val="en-CA" w:eastAsia="en-CA"/>
              </w:rPr>
            </w:pPr>
            <w:r w:rsidRPr="006F0BB0">
              <w:rPr>
                <w:sz w:val="18"/>
                <w:szCs w:val="18"/>
              </w:rPr>
              <w:t>364 784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9BC39B1" w14:textId="77777777" w:rsidR="006F0BB0" w:rsidRPr="006F0BB0" w:rsidRDefault="006F0BB0" w:rsidP="007D1DBA">
            <w:pPr>
              <w:jc w:val="right"/>
              <w:rPr>
                <w:sz w:val="18"/>
                <w:szCs w:val="18"/>
                <w:lang w:val="en-CA" w:eastAsia="en-CA"/>
              </w:rPr>
            </w:pPr>
            <w:r w:rsidRPr="006F0BB0">
              <w:rPr>
                <w:sz w:val="18"/>
                <w:szCs w:val="18"/>
              </w:rPr>
              <w:t>401 263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FE27B8" w14:textId="77777777" w:rsidR="006F0BB0" w:rsidRPr="006F0BB0" w:rsidRDefault="006F0BB0" w:rsidP="007D1DBA">
            <w:pPr>
              <w:jc w:val="right"/>
              <w:rPr>
                <w:sz w:val="18"/>
                <w:szCs w:val="18"/>
                <w:lang w:val="en-CA" w:eastAsia="en-CA"/>
              </w:rPr>
            </w:pPr>
            <w:r w:rsidRPr="006F0BB0">
              <w:rPr>
                <w:sz w:val="18"/>
                <w:szCs w:val="18"/>
              </w:rPr>
              <w:t>441 389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546B7AD" w14:textId="77777777" w:rsidR="006F0BB0" w:rsidRPr="006F0BB0" w:rsidRDefault="006F0BB0" w:rsidP="007D1DBA">
            <w:pPr>
              <w:jc w:val="right"/>
              <w:rPr>
                <w:sz w:val="18"/>
                <w:szCs w:val="18"/>
                <w:lang w:val="en-CA" w:eastAsia="en-CA"/>
              </w:rPr>
            </w:pPr>
            <w:r w:rsidRPr="006F0BB0">
              <w:rPr>
                <w:sz w:val="18"/>
                <w:szCs w:val="18"/>
              </w:rPr>
              <w:t>485 528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5014F2D" w14:textId="77777777" w:rsidR="006F0BB0" w:rsidRPr="006F0BB0" w:rsidRDefault="006F0BB0" w:rsidP="007D1DBA">
            <w:pPr>
              <w:jc w:val="right"/>
              <w:rPr>
                <w:sz w:val="18"/>
                <w:szCs w:val="18"/>
                <w:lang w:val="en-CA" w:eastAsia="en-CA"/>
              </w:rPr>
            </w:pPr>
            <w:r w:rsidRPr="006F0BB0">
              <w:rPr>
                <w:sz w:val="18"/>
                <w:szCs w:val="18"/>
              </w:rPr>
              <w:t>534 081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E473754" w14:textId="77777777" w:rsidR="006F0BB0" w:rsidRPr="006F0BB0" w:rsidRDefault="006F0BB0" w:rsidP="007D1DBA">
            <w:pPr>
              <w:jc w:val="right"/>
              <w:rPr>
                <w:sz w:val="18"/>
                <w:szCs w:val="18"/>
                <w:lang w:val="en-CA" w:eastAsia="en-CA"/>
              </w:rPr>
            </w:pPr>
            <w:r w:rsidRPr="006F0BB0">
              <w:rPr>
                <w:sz w:val="18"/>
                <w:szCs w:val="18"/>
              </w:rPr>
              <w:t>402 479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D228462" w14:textId="77777777" w:rsidR="006F0BB0" w:rsidRPr="006F0BB0" w:rsidRDefault="006F0BB0" w:rsidP="007D1DBA">
            <w:pPr>
              <w:jc w:val="right"/>
              <w:rPr>
                <w:sz w:val="18"/>
                <w:szCs w:val="18"/>
                <w:lang w:val="en-CA" w:eastAsia="en-CA"/>
              </w:rPr>
            </w:pPr>
            <w:r w:rsidRPr="006F0BB0">
              <w:rPr>
                <w:sz w:val="18"/>
                <w:szCs w:val="18"/>
              </w:rPr>
              <w:t>667 343</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03D689C" w14:textId="77777777" w:rsidR="006F0BB0" w:rsidRPr="006F0BB0" w:rsidRDefault="006F0BB0" w:rsidP="007D1DBA">
            <w:pPr>
              <w:jc w:val="right"/>
              <w:rPr>
                <w:sz w:val="18"/>
                <w:szCs w:val="18"/>
                <w:lang w:val="en-CA" w:eastAsia="en-CA"/>
              </w:rPr>
            </w:pPr>
            <w:r w:rsidRPr="006F0BB0">
              <w:rPr>
                <w:sz w:val="18"/>
                <w:szCs w:val="18"/>
              </w:rPr>
              <w:t>80,0%</w:t>
            </w:r>
          </w:p>
        </w:tc>
      </w:tr>
      <w:tr w:rsidR="006F0BB0" w:rsidRPr="006F0BB0" w14:paraId="21391A0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79079FD" w14:textId="77777777" w:rsidR="006F0BB0" w:rsidRPr="006F0BB0" w:rsidRDefault="006F0BB0" w:rsidP="007D1DBA">
            <w:pPr>
              <w:jc w:val="left"/>
              <w:rPr>
                <w:sz w:val="18"/>
                <w:szCs w:val="18"/>
                <w:lang w:val="en-CA" w:eastAsia="en-CA"/>
              </w:rPr>
            </w:pPr>
            <w:r w:rsidRPr="006F0BB0">
              <w:rPr>
                <w:sz w:val="18"/>
                <w:szCs w:val="18"/>
                <w:lang w:val="en-CA" w:eastAsia="en-CA"/>
              </w:rPr>
              <w:t>Timor</w:t>
            </w:r>
            <w:r w:rsidRPr="006F0BB0">
              <w:rPr>
                <w:sz w:val="18"/>
                <w:szCs w:val="18"/>
                <w:lang w:val="es-ES" w:eastAsia="en-CA"/>
              </w:rPr>
              <w:t xml:space="preserve"> Leste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CA4DE84" w14:textId="77777777" w:rsidR="006F0BB0" w:rsidRPr="006F0BB0" w:rsidRDefault="006F0BB0" w:rsidP="007D1DBA">
            <w:pPr>
              <w:jc w:val="right"/>
              <w:rPr>
                <w:sz w:val="18"/>
                <w:szCs w:val="18"/>
                <w:lang w:val="en-CA" w:eastAsia="en-CA"/>
              </w:rPr>
            </w:pPr>
            <w:r w:rsidRPr="006F0BB0">
              <w:rPr>
                <w:sz w:val="18"/>
                <w:szCs w:val="18"/>
              </w:rPr>
              <w:t>13 645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F92E3E" w14:textId="77777777" w:rsidR="006F0BB0" w:rsidRPr="006F0BB0" w:rsidRDefault="006F0BB0" w:rsidP="007D1DBA">
            <w:pPr>
              <w:jc w:val="right"/>
              <w:rPr>
                <w:sz w:val="18"/>
                <w:szCs w:val="18"/>
                <w:lang w:val="en-CA" w:eastAsia="en-CA"/>
              </w:rPr>
            </w:pPr>
            <w:r w:rsidRPr="006F0BB0">
              <w:rPr>
                <w:sz w:val="18"/>
                <w:szCs w:val="18"/>
              </w:rPr>
              <w:t>15 010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16FD485" w14:textId="77777777" w:rsidR="006F0BB0" w:rsidRPr="006F0BB0" w:rsidRDefault="006F0BB0" w:rsidP="007D1DBA">
            <w:pPr>
              <w:jc w:val="right"/>
              <w:rPr>
                <w:sz w:val="18"/>
                <w:szCs w:val="18"/>
                <w:lang w:val="en-CA" w:eastAsia="en-CA"/>
              </w:rPr>
            </w:pPr>
            <w:r w:rsidRPr="006F0BB0">
              <w:rPr>
                <w:sz w:val="18"/>
                <w:szCs w:val="18"/>
              </w:rPr>
              <w:t>16 510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A38BD8C" w14:textId="77777777" w:rsidR="006F0BB0" w:rsidRPr="006F0BB0" w:rsidRDefault="006F0BB0" w:rsidP="007D1DBA">
            <w:pPr>
              <w:jc w:val="right"/>
              <w:rPr>
                <w:sz w:val="18"/>
                <w:szCs w:val="18"/>
                <w:lang w:val="en-CA" w:eastAsia="en-CA"/>
              </w:rPr>
            </w:pPr>
            <w:r w:rsidRPr="006F0BB0">
              <w:rPr>
                <w:sz w:val="18"/>
                <w:szCs w:val="18"/>
              </w:rPr>
              <w:t>18 161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DCC656C" w14:textId="77777777" w:rsidR="006F0BB0" w:rsidRPr="006F0BB0" w:rsidRDefault="006F0BB0" w:rsidP="007D1DBA">
            <w:pPr>
              <w:jc w:val="right"/>
              <w:rPr>
                <w:sz w:val="18"/>
                <w:szCs w:val="18"/>
                <w:lang w:val="en-CA" w:eastAsia="en-CA"/>
              </w:rPr>
            </w:pPr>
            <w:r w:rsidRPr="006F0BB0">
              <w:rPr>
                <w:sz w:val="18"/>
                <w:szCs w:val="18"/>
              </w:rPr>
              <w:t>19 978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55BB79B" w14:textId="77777777" w:rsidR="006F0BB0" w:rsidRPr="006F0BB0" w:rsidRDefault="006F0BB0" w:rsidP="007D1DBA">
            <w:pPr>
              <w:jc w:val="right"/>
              <w:rPr>
                <w:sz w:val="18"/>
                <w:szCs w:val="18"/>
                <w:lang w:val="en-CA" w:eastAsia="en-CA"/>
              </w:rPr>
            </w:pPr>
            <w:r w:rsidRPr="006F0BB0">
              <w:rPr>
                <w:sz w:val="18"/>
                <w:szCs w:val="18"/>
              </w:rPr>
              <w:t>21 975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A9F60D8" w14:textId="77777777" w:rsidR="006F0BB0" w:rsidRPr="006F0BB0" w:rsidRDefault="006F0BB0" w:rsidP="007D1DBA">
            <w:pPr>
              <w:jc w:val="right"/>
              <w:rPr>
                <w:sz w:val="18"/>
                <w:szCs w:val="18"/>
                <w:lang w:val="en-CA" w:eastAsia="en-CA"/>
              </w:rPr>
            </w:pPr>
            <w:r w:rsidRPr="006F0BB0">
              <w:rPr>
                <w:sz w:val="18"/>
                <w:szCs w:val="18"/>
              </w:rPr>
              <w:t>16 560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F530666" w14:textId="77777777" w:rsidR="006F0BB0" w:rsidRPr="006F0BB0" w:rsidRDefault="006F0BB0" w:rsidP="007D1DBA">
            <w:pPr>
              <w:jc w:val="right"/>
              <w:rPr>
                <w:sz w:val="18"/>
                <w:szCs w:val="18"/>
                <w:lang w:val="en-CA" w:eastAsia="en-CA"/>
              </w:rPr>
            </w:pPr>
            <w:r w:rsidRPr="006F0BB0">
              <w:rPr>
                <w:sz w:val="18"/>
                <w:szCs w:val="18"/>
              </w:rPr>
              <w:t>27 240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F295F47" w14:textId="77777777" w:rsidR="006F0BB0" w:rsidRPr="006F0BB0" w:rsidRDefault="006F0BB0" w:rsidP="007D1DBA">
            <w:pPr>
              <w:jc w:val="right"/>
              <w:rPr>
                <w:sz w:val="18"/>
                <w:szCs w:val="18"/>
                <w:lang w:val="en-CA" w:eastAsia="en-CA"/>
              </w:rPr>
            </w:pPr>
            <w:r w:rsidRPr="006F0BB0">
              <w:rPr>
                <w:sz w:val="18"/>
                <w:szCs w:val="18"/>
              </w:rPr>
              <w:t>80,7%</w:t>
            </w:r>
          </w:p>
        </w:tc>
      </w:tr>
      <w:tr w:rsidR="006F0BB0" w:rsidRPr="006F0BB0" w14:paraId="496DA01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6A88CD5"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Túnez</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B2F9EBF" w14:textId="77777777" w:rsidR="006F0BB0" w:rsidRPr="006F0BB0" w:rsidRDefault="006F0BB0" w:rsidP="007D1DBA">
            <w:pPr>
              <w:jc w:val="right"/>
              <w:rPr>
                <w:sz w:val="18"/>
                <w:szCs w:val="18"/>
                <w:lang w:val="en-CA" w:eastAsia="en-CA"/>
              </w:rPr>
            </w:pPr>
            <w:r w:rsidRPr="006F0BB0">
              <w:rPr>
                <w:sz w:val="18"/>
                <w:szCs w:val="18"/>
              </w:rPr>
              <w:t>1 253 622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CE9D748" w14:textId="77777777" w:rsidR="006F0BB0" w:rsidRPr="006F0BB0" w:rsidRDefault="006F0BB0" w:rsidP="007D1DBA">
            <w:pPr>
              <w:jc w:val="right"/>
              <w:rPr>
                <w:sz w:val="18"/>
                <w:szCs w:val="18"/>
                <w:lang w:val="en-CA" w:eastAsia="en-CA"/>
              </w:rPr>
            </w:pPr>
            <w:r w:rsidRPr="006F0BB0">
              <w:rPr>
                <w:sz w:val="18"/>
                <w:szCs w:val="18"/>
              </w:rPr>
              <w:t>1 378 984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1F4D374" w14:textId="77777777" w:rsidR="006F0BB0" w:rsidRPr="006F0BB0" w:rsidRDefault="006F0BB0" w:rsidP="007D1DBA">
            <w:pPr>
              <w:jc w:val="right"/>
              <w:rPr>
                <w:sz w:val="18"/>
                <w:szCs w:val="18"/>
                <w:lang w:val="en-CA" w:eastAsia="en-CA"/>
              </w:rPr>
            </w:pPr>
            <w:r w:rsidRPr="006F0BB0">
              <w:rPr>
                <w:sz w:val="18"/>
                <w:szCs w:val="18"/>
              </w:rPr>
              <w:t>1 516 883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860CB00" w14:textId="77777777" w:rsidR="006F0BB0" w:rsidRPr="006F0BB0" w:rsidRDefault="006F0BB0" w:rsidP="007D1DBA">
            <w:pPr>
              <w:jc w:val="right"/>
              <w:rPr>
                <w:sz w:val="18"/>
                <w:szCs w:val="18"/>
                <w:lang w:val="en-CA" w:eastAsia="en-CA"/>
              </w:rPr>
            </w:pPr>
            <w:r w:rsidRPr="006F0BB0">
              <w:rPr>
                <w:sz w:val="18"/>
                <w:szCs w:val="18"/>
              </w:rPr>
              <w:t>1 668 571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458B23E" w14:textId="77777777" w:rsidR="006F0BB0" w:rsidRPr="006F0BB0" w:rsidRDefault="006F0BB0" w:rsidP="007D1DBA">
            <w:pPr>
              <w:jc w:val="right"/>
              <w:rPr>
                <w:sz w:val="18"/>
                <w:szCs w:val="18"/>
                <w:lang w:val="en-CA" w:eastAsia="en-CA"/>
              </w:rPr>
            </w:pPr>
            <w:r w:rsidRPr="006F0BB0">
              <w:rPr>
                <w:sz w:val="18"/>
                <w:szCs w:val="18"/>
              </w:rPr>
              <w:t>1 835 428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9BAB616" w14:textId="77777777" w:rsidR="006F0BB0" w:rsidRPr="006F0BB0" w:rsidRDefault="006F0BB0" w:rsidP="007D1DBA">
            <w:pPr>
              <w:jc w:val="right"/>
              <w:rPr>
                <w:sz w:val="18"/>
                <w:szCs w:val="18"/>
                <w:lang w:val="en-CA" w:eastAsia="en-CA"/>
              </w:rPr>
            </w:pPr>
            <w:r w:rsidRPr="006F0BB0">
              <w:rPr>
                <w:sz w:val="18"/>
                <w:szCs w:val="18"/>
              </w:rPr>
              <w:t>2 018 971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AE8415C" w14:textId="77777777" w:rsidR="006F0BB0" w:rsidRPr="006F0BB0" w:rsidRDefault="006F0BB0" w:rsidP="007D1DBA">
            <w:pPr>
              <w:jc w:val="right"/>
              <w:rPr>
                <w:sz w:val="18"/>
                <w:szCs w:val="18"/>
                <w:lang w:val="en-CA" w:eastAsia="en-CA"/>
              </w:rPr>
            </w:pPr>
            <w:r w:rsidRPr="006F0BB0">
              <w:rPr>
                <w:sz w:val="18"/>
                <w:szCs w:val="18"/>
              </w:rPr>
              <w:t>1 521 479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B203851" w14:textId="77777777" w:rsidR="006F0BB0" w:rsidRPr="006F0BB0" w:rsidRDefault="006F0BB0" w:rsidP="007D1DBA">
            <w:pPr>
              <w:jc w:val="right"/>
              <w:rPr>
                <w:sz w:val="18"/>
                <w:szCs w:val="18"/>
                <w:lang w:val="en-CA" w:eastAsia="en-CA"/>
              </w:rPr>
            </w:pPr>
            <w:r w:rsidRPr="006F0BB0">
              <w:rPr>
                <w:sz w:val="18"/>
                <w:szCs w:val="18"/>
              </w:rPr>
              <w:t>2 363 724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E1D69B7" w14:textId="77777777" w:rsidR="006F0BB0" w:rsidRPr="006F0BB0" w:rsidRDefault="006F0BB0" w:rsidP="007D1DBA">
            <w:pPr>
              <w:jc w:val="right"/>
              <w:rPr>
                <w:sz w:val="18"/>
                <w:szCs w:val="18"/>
                <w:lang w:val="en-CA" w:eastAsia="en-CA"/>
              </w:rPr>
            </w:pPr>
            <w:r w:rsidRPr="006F0BB0">
              <w:rPr>
                <w:sz w:val="18"/>
                <w:szCs w:val="18"/>
              </w:rPr>
              <w:t>85,4%</w:t>
            </w:r>
          </w:p>
        </w:tc>
      </w:tr>
      <w:tr w:rsidR="006F0BB0" w:rsidRPr="006F0BB0" w14:paraId="3817247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DA29F7E" w14:textId="77777777" w:rsidR="006F0BB0" w:rsidRPr="006F0BB0" w:rsidRDefault="006F0BB0" w:rsidP="007D1DBA">
            <w:pPr>
              <w:jc w:val="left"/>
              <w:rPr>
                <w:sz w:val="18"/>
                <w:szCs w:val="18"/>
                <w:lang w:val="en-CA" w:eastAsia="en-CA"/>
              </w:rPr>
            </w:pPr>
            <w:r w:rsidRPr="006F0BB0">
              <w:rPr>
                <w:sz w:val="18"/>
                <w:szCs w:val="18"/>
                <w:lang w:val="en-CA" w:eastAsia="en-CA"/>
              </w:rPr>
              <w:t>Islas Marshall</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2CD6D28" w14:textId="77777777" w:rsidR="006F0BB0" w:rsidRPr="006F0BB0" w:rsidRDefault="006F0BB0" w:rsidP="007D1DBA">
            <w:pPr>
              <w:jc w:val="right"/>
              <w:rPr>
                <w:sz w:val="18"/>
                <w:szCs w:val="18"/>
                <w:lang w:val="en-CA" w:eastAsia="en-CA"/>
              </w:rPr>
            </w:pPr>
            <w:r w:rsidRPr="006F0BB0">
              <w:rPr>
                <w:sz w:val="18"/>
                <w:szCs w:val="18"/>
              </w:rPr>
              <w:t>7 096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E15CD8" w14:textId="77777777" w:rsidR="006F0BB0" w:rsidRPr="006F0BB0" w:rsidRDefault="006F0BB0" w:rsidP="007D1DBA">
            <w:pPr>
              <w:jc w:val="right"/>
              <w:rPr>
                <w:sz w:val="18"/>
                <w:szCs w:val="18"/>
                <w:lang w:val="en-CA" w:eastAsia="en-CA"/>
              </w:rPr>
            </w:pPr>
            <w:r w:rsidRPr="006F0BB0">
              <w:rPr>
                <w:sz w:val="18"/>
                <w:szCs w:val="18"/>
              </w:rPr>
              <w:t>7 806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9B37E9F" w14:textId="77777777" w:rsidR="006F0BB0" w:rsidRPr="006F0BB0" w:rsidRDefault="006F0BB0" w:rsidP="007D1DBA">
            <w:pPr>
              <w:jc w:val="right"/>
              <w:rPr>
                <w:sz w:val="18"/>
                <w:szCs w:val="18"/>
                <w:lang w:val="en-CA" w:eastAsia="en-CA"/>
              </w:rPr>
            </w:pPr>
            <w:r w:rsidRPr="006F0BB0">
              <w:rPr>
                <w:sz w:val="18"/>
                <w:szCs w:val="18"/>
              </w:rPr>
              <w:t>8 586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60D5D6D" w14:textId="77777777" w:rsidR="006F0BB0" w:rsidRPr="006F0BB0" w:rsidRDefault="006F0BB0" w:rsidP="007D1DBA">
            <w:pPr>
              <w:jc w:val="right"/>
              <w:rPr>
                <w:sz w:val="18"/>
                <w:szCs w:val="18"/>
                <w:lang w:val="en-CA" w:eastAsia="en-CA"/>
              </w:rPr>
            </w:pPr>
            <w:r w:rsidRPr="006F0BB0">
              <w:rPr>
                <w:sz w:val="18"/>
                <w:szCs w:val="18"/>
              </w:rPr>
              <w:t>9 445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9C5D2E6" w14:textId="77777777" w:rsidR="006F0BB0" w:rsidRPr="006F0BB0" w:rsidRDefault="006F0BB0" w:rsidP="007D1DBA">
            <w:pPr>
              <w:jc w:val="right"/>
              <w:rPr>
                <w:sz w:val="18"/>
                <w:szCs w:val="18"/>
                <w:lang w:val="en-CA" w:eastAsia="en-CA"/>
              </w:rPr>
            </w:pPr>
            <w:r w:rsidRPr="006F0BB0">
              <w:rPr>
                <w:sz w:val="18"/>
                <w:szCs w:val="18"/>
              </w:rPr>
              <w:t>10 389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5389327" w14:textId="77777777" w:rsidR="006F0BB0" w:rsidRPr="006F0BB0" w:rsidRDefault="006F0BB0" w:rsidP="007D1DBA">
            <w:pPr>
              <w:jc w:val="right"/>
              <w:rPr>
                <w:sz w:val="18"/>
                <w:szCs w:val="18"/>
                <w:lang w:val="en-CA" w:eastAsia="en-CA"/>
              </w:rPr>
            </w:pPr>
            <w:r w:rsidRPr="006F0BB0">
              <w:rPr>
                <w:sz w:val="18"/>
                <w:szCs w:val="18"/>
              </w:rPr>
              <w:t>11 428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6721196" w14:textId="77777777" w:rsidR="006F0BB0" w:rsidRPr="006F0BB0" w:rsidRDefault="006F0BB0" w:rsidP="007D1DBA">
            <w:pPr>
              <w:jc w:val="right"/>
              <w:rPr>
                <w:sz w:val="18"/>
                <w:szCs w:val="18"/>
                <w:lang w:val="en-CA" w:eastAsia="en-CA"/>
              </w:rPr>
            </w:pPr>
            <w:r w:rsidRPr="006F0BB0">
              <w:rPr>
                <w:sz w:val="18"/>
                <w:szCs w:val="18"/>
              </w:rPr>
              <w:t>8 612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119A034" w14:textId="77777777" w:rsidR="006F0BB0" w:rsidRPr="006F0BB0" w:rsidRDefault="006F0BB0" w:rsidP="007D1DBA">
            <w:pPr>
              <w:jc w:val="right"/>
              <w:rPr>
                <w:sz w:val="18"/>
                <w:szCs w:val="18"/>
                <w:lang w:val="en-CA" w:eastAsia="en-CA"/>
              </w:rPr>
            </w:pPr>
            <w:r w:rsidRPr="006F0BB0">
              <w:rPr>
                <w:sz w:val="18"/>
                <w:szCs w:val="18"/>
              </w:rPr>
              <w:t>13 306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F23B659" w14:textId="77777777" w:rsidR="006F0BB0" w:rsidRPr="006F0BB0" w:rsidRDefault="006F0BB0" w:rsidP="007D1DBA">
            <w:pPr>
              <w:jc w:val="right"/>
              <w:rPr>
                <w:sz w:val="18"/>
                <w:szCs w:val="18"/>
                <w:lang w:val="en-CA" w:eastAsia="en-CA"/>
              </w:rPr>
            </w:pPr>
            <w:r w:rsidRPr="006F0BB0">
              <w:rPr>
                <w:sz w:val="18"/>
                <w:szCs w:val="18"/>
              </w:rPr>
              <w:t>85,9%</w:t>
            </w:r>
          </w:p>
        </w:tc>
      </w:tr>
      <w:tr w:rsidR="006F0BB0" w:rsidRPr="006F0BB0" w14:paraId="2EBC4681"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ADDA7B0" w14:textId="77777777" w:rsidR="006F0BB0" w:rsidRPr="006F0BB0" w:rsidRDefault="006F0BB0" w:rsidP="007D1DBA">
            <w:pPr>
              <w:jc w:val="left"/>
              <w:rPr>
                <w:sz w:val="18"/>
                <w:szCs w:val="18"/>
                <w:lang w:val="en-CA" w:eastAsia="en-CA"/>
              </w:rPr>
            </w:pPr>
            <w:r w:rsidRPr="006F0BB0">
              <w:rPr>
                <w:sz w:val="18"/>
                <w:szCs w:val="18"/>
                <w:lang w:val="en-CA" w:eastAsia="en-CA"/>
              </w:rPr>
              <w:t>Viet Nam</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4770452" w14:textId="77777777" w:rsidR="006F0BB0" w:rsidRPr="006F0BB0" w:rsidRDefault="006F0BB0" w:rsidP="007D1DBA">
            <w:pPr>
              <w:jc w:val="right"/>
              <w:rPr>
                <w:sz w:val="18"/>
                <w:szCs w:val="18"/>
                <w:lang w:val="en-CA" w:eastAsia="en-CA"/>
              </w:rPr>
            </w:pPr>
            <w:r w:rsidRPr="006F0BB0">
              <w:rPr>
                <w:sz w:val="18"/>
                <w:szCs w:val="18"/>
              </w:rPr>
              <w:t>6 019 450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EDA184" w14:textId="77777777" w:rsidR="006F0BB0" w:rsidRPr="006F0BB0" w:rsidRDefault="006F0BB0" w:rsidP="007D1DBA">
            <w:pPr>
              <w:jc w:val="right"/>
              <w:rPr>
                <w:sz w:val="18"/>
                <w:szCs w:val="18"/>
                <w:lang w:val="en-CA" w:eastAsia="en-CA"/>
              </w:rPr>
            </w:pPr>
            <w:r w:rsidRPr="006F0BB0">
              <w:rPr>
                <w:sz w:val="18"/>
                <w:szCs w:val="18"/>
              </w:rPr>
              <w:t>6 621 395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B5A3C16" w14:textId="77777777" w:rsidR="006F0BB0" w:rsidRPr="006F0BB0" w:rsidRDefault="006F0BB0" w:rsidP="007D1DBA">
            <w:pPr>
              <w:jc w:val="right"/>
              <w:rPr>
                <w:sz w:val="18"/>
                <w:szCs w:val="18"/>
                <w:lang w:val="en-CA" w:eastAsia="en-CA"/>
              </w:rPr>
            </w:pPr>
            <w:r w:rsidRPr="006F0BB0">
              <w:rPr>
                <w:sz w:val="18"/>
                <w:szCs w:val="18"/>
              </w:rPr>
              <w:t>7 283 535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FC01101" w14:textId="77777777" w:rsidR="006F0BB0" w:rsidRPr="006F0BB0" w:rsidRDefault="006F0BB0" w:rsidP="007D1DBA">
            <w:pPr>
              <w:jc w:val="right"/>
              <w:rPr>
                <w:sz w:val="18"/>
                <w:szCs w:val="18"/>
                <w:lang w:val="en-CA" w:eastAsia="en-CA"/>
              </w:rPr>
            </w:pPr>
            <w:r w:rsidRPr="006F0BB0">
              <w:rPr>
                <w:sz w:val="18"/>
                <w:szCs w:val="18"/>
              </w:rPr>
              <w:t>8 011 888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6591440" w14:textId="77777777" w:rsidR="006F0BB0" w:rsidRPr="006F0BB0" w:rsidRDefault="006F0BB0" w:rsidP="007D1DBA">
            <w:pPr>
              <w:jc w:val="right"/>
              <w:rPr>
                <w:sz w:val="18"/>
                <w:szCs w:val="18"/>
                <w:lang w:val="en-CA" w:eastAsia="en-CA"/>
              </w:rPr>
            </w:pPr>
            <w:r w:rsidRPr="006F0BB0">
              <w:rPr>
                <w:sz w:val="18"/>
                <w:szCs w:val="18"/>
              </w:rPr>
              <w:t>8 813 077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26AC0A1" w14:textId="77777777" w:rsidR="006F0BB0" w:rsidRPr="006F0BB0" w:rsidRDefault="006F0BB0" w:rsidP="007D1DBA">
            <w:pPr>
              <w:jc w:val="right"/>
              <w:rPr>
                <w:sz w:val="18"/>
                <w:szCs w:val="18"/>
                <w:lang w:val="en-CA" w:eastAsia="en-CA"/>
              </w:rPr>
            </w:pPr>
            <w:r w:rsidRPr="006F0BB0">
              <w:rPr>
                <w:sz w:val="18"/>
                <w:szCs w:val="18"/>
              </w:rPr>
              <w:t>9 694 384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46CB12F" w14:textId="77777777" w:rsidR="006F0BB0" w:rsidRPr="006F0BB0" w:rsidRDefault="006F0BB0" w:rsidP="007D1DBA">
            <w:pPr>
              <w:jc w:val="right"/>
              <w:rPr>
                <w:sz w:val="18"/>
                <w:szCs w:val="18"/>
                <w:lang w:val="en-CA" w:eastAsia="en-CA"/>
              </w:rPr>
            </w:pPr>
            <w:r w:rsidRPr="006F0BB0">
              <w:rPr>
                <w:sz w:val="18"/>
                <w:szCs w:val="18"/>
              </w:rPr>
              <w:t>7 305 606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8D649F7" w14:textId="77777777" w:rsidR="006F0BB0" w:rsidRPr="006F0BB0" w:rsidRDefault="006F0BB0" w:rsidP="007D1DBA">
            <w:pPr>
              <w:jc w:val="right"/>
              <w:rPr>
                <w:sz w:val="18"/>
                <w:szCs w:val="18"/>
                <w:lang w:val="en-CA" w:eastAsia="en-CA"/>
              </w:rPr>
            </w:pPr>
            <w:r w:rsidRPr="006F0BB0">
              <w:rPr>
                <w:sz w:val="18"/>
                <w:szCs w:val="18"/>
              </w:rPr>
              <w:t>11 111 902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FE0662B" w14:textId="77777777" w:rsidR="006F0BB0" w:rsidRPr="006F0BB0" w:rsidRDefault="006F0BB0" w:rsidP="007D1DBA">
            <w:pPr>
              <w:jc w:val="right"/>
              <w:rPr>
                <w:sz w:val="18"/>
                <w:szCs w:val="18"/>
                <w:lang w:val="en-CA" w:eastAsia="en-CA"/>
              </w:rPr>
            </w:pPr>
            <w:r w:rsidRPr="006F0BB0">
              <w:rPr>
                <w:sz w:val="18"/>
                <w:szCs w:val="18"/>
              </w:rPr>
              <w:t>87,2%</w:t>
            </w:r>
          </w:p>
        </w:tc>
      </w:tr>
      <w:tr w:rsidR="006F0BB0" w:rsidRPr="006F0BB0" w14:paraId="2F3F88C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7E99643" w14:textId="77777777" w:rsidR="006F0BB0" w:rsidRPr="006F0BB0" w:rsidRDefault="006F0BB0" w:rsidP="007D1DBA">
            <w:pPr>
              <w:jc w:val="left"/>
              <w:rPr>
                <w:sz w:val="18"/>
                <w:szCs w:val="18"/>
                <w:lang w:val="en-CA" w:eastAsia="en-CA"/>
              </w:rPr>
            </w:pPr>
            <w:r w:rsidRPr="006F0BB0">
              <w:rPr>
                <w:sz w:val="18"/>
                <w:szCs w:val="18"/>
                <w:lang w:val="en-CA" w:eastAsia="en-CA"/>
              </w:rPr>
              <w:t>Granada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7364230" w14:textId="77777777" w:rsidR="006F0BB0" w:rsidRPr="006F0BB0" w:rsidRDefault="006F0BB0" w:rsidP="007D1DBA">
            <w:pPr>
              <w:jc w:val="right"/>
              <w:rPr>
                <w:sz w:val="18"/>
                <w:szCs w:val="18"/>
                <w:lang w:val="en-CA" w:eastAsia="en-CA"/>
              </w:rPr>
            </w:pPr>
            <w:r w:rsidRPr="006F0BB0">
              <w:rPr>
                <w:sz w:val="18"/>
                <w:szCs w:val="18"/>
              </w:rPr>
              <w:t>29 276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795E79A" w14:textId="77777777" w:rsidR="006F0BB0" w:rsidRPr="006F0BB0" w:rsidRDefault="006F0BB0" w:rsidP="007D1DBA">
            <w:pPr>
              <w:jc w:val="right"/>
              <w:rPr>
                <w:sz w:val="18"/>
                <w:szCs w:val="18"/>
                <w:lang w:val="en-CA" w:eastAsia="en-CA"/>
              </w:rPr>
            </w:pPr>
            <w:r w:rsidRPr="006F0BB0">
              <w:rPr>
                <w:sz w:val="18"/>
                <w:szCs w:val="18"/>
              </w:rPr>
              <w:t>32 204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CE2F9AD" w14:textId="77777777" w:rsidR="006F0BB0" w:rsidRPr="006F0BB0" w:rsidRDefault="006F0BB0" w:rsidP="007D1DBA">
            <w:pPr>
              <w:jc w:val="right"/>
              <w:rPr>
                <w:sz w:val="18"/>
                <w:szCs w:val="18"/>
                <w:lang w:val="en-CA" w:eastAsia="en-CA"/>
              </w:rPr>
            </w:pPr>
            <w:r w:rsidRPr="006F0BB0">
              <w:rPr>
                <w:sz w:val="18"/>
                <w:szCs w:val="18"/>
              </w:rPr>
              <w:t>35 424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A914FEB" w14:textId="77777777" w:rsidR="006F0BB0" w:rsidRPr="006F0BB0" w:rsidRDefault="006F0BB0" w:rsidP="007D1DBA">
            <w:pPr>
              <w:jc w:val="right"/>
              <w:rPr>
                <w:sz w:val="18"/>
                <w:szCs w:val="18"/>
                <w:lang w:val="en-CA" w:eastAsia="en-CA"/>
              </w:rPr>
            </w:pPr>
            <w:r w:rsidRPr="006F0BB0">
              <w:rPr>
                <w:sz w:val="18"/>
                <w:szCs w:val="18"/>
              </w:rPr>
              <w:t>38 966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3B3BDC5" w14:textId="77777777" w:rsidR="006F0BB0" w:rsidRPr="006F0BB0" w:rsidRDefault="006F0BB0" w:rsidP="007D1DBA">
            <w:pPr>
              <w:jc w:val="right"/>
              <w:rPr>
                <w:sz w:val="18"/>
                <w:szCs w:val="18"/>
                <w:lang w:val="en-CA" w:eastAsia="en-CA"/>
              </w:rPr>
            </w:pPr>
            <w:r w:rsidRPr="006F0BB0">
              <w:rPr>
                <w:sz w:val="18"/>
                <w:szCs w:val="18"/>
              </w:rPr>
              <w:t>42 863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183E869" w14:textId="77777777" w:rsidR="006F0BB0" w:rsidRPr="006F0BB0" w:rsidRDefault="006F0BB0" w:rsidP="007D1DBA">
            <w:pPr>
              <w:jc w:val="right"/>
              <w:rPr>
                <w:sz w:val="18"/>
                <w:szCs w:val="18"/>
                <w:lang w:val="en-CA" w:eastAsia="en-CA"/>
              </w:rPr>
            </w:pPr>
            <w:r w:rsidRPr="006F0BB0">
              <w:rPr>
                <w:sz w:val="18"/>
                <w:szCs w:val="18"/>
              </w:rPr>
              <w:t>47 149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C77E6AC" w14:textId="77777777" w:rsidR="006F0BB0" w:rsidRPr="006F0BB0" w:rsidRDefault="006F0BB0" w:rsidP="007D1DBA">
            <w:pPr>
              <w:jc w:val="right"/>
              <w:rPr>
                <w:sz w:val="18"/>
                <w:szCs w:val="18"/>
                <w:lang w:val="en-CA" w:eastAsia="en-CA"/>
              </w:rPr>
            </w:pPr>
            <w:r w:rsidRPr="006F0BB0">
              <w:rPr>
                <w:sz w:val="18"/>
                <w:szCs w:val="18"/>
              </w:rPr>
              <w:t>35 531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ED94F38" w14:textId="77777777" w:rsidR="006F0BB0" w:rsidRPr="006F0BB0" w:rsidRDefault="006F0BB0" w:rsidP="007D1DBA">
            <w:pPr>
              <w:jc w:val="right"/>
              <w:rPr>
                <w:sz w:val="18"/>
                <w:szCs w:val="18"/>
                <w:lang w:val="en-CA" w:eastAsia="en-CA"/>
              </w:rPr>
            </w:pPr>
            <w:r w:rsidRPr="006F0BB0">
              <w:rPr>
                <w:sz w:val="18"/>
                <w:szCs w:val="18"/>
              </w:rPr>
              <w:t>53 291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1C0DF34" w14:textId="77777777" w:rsidR="006F0BB0" w:rsidRPr="006F0BB0" w:rsidRDefault="006F0BB0" w:rsidP="007D1DBA">
            <w:pPr>
              <w:jc w:val="right"/>
              <w:rPr>
                <w:sz w:val="18"/>
                <w:szCs w:val="18"/>
                <w:lang w:val="en-CA" w:eastAsia="en-CA"/>
              </w:rPr>
            </w:pPr>
            <w:r w:rsidRPr="006F0BB0">
              <w:rPr>
                <w:sz w:val="18"/>
                <w:szCs w:val="18"/>
              </w:rPr>
              <w:t>88,5%</w:t>
            </w:r>
          </w:p>
        </w:tc>
      </w:tr>
      <w:tr w:rsidR="006F0BB0" w:rsidRPr="006F0BB0" w14:paraId="2BA3D4FF"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36F5805"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Sudán</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19078DA" w14:textId="77777777" w:rsidR="006F0BB0" w:rsidRPr="006F0BB0" w:rsidRDefault="006F0BB0" w:rsidP="007D1DBA">
            <w:pPr>
              <w:jc w:val="right"/>
              <w:rPr>
                <w:sz w:val="18"/>
                <w:szCs w:val="18"/>
                <w:lang w:val="en-CA" w:eastAsia="en-CA"/>
              </w:rPr>
            </w:pPr>
            <w:r w:rsidRPr="006F0BB0">
              <w:rPr>
                <w:sz w:val="18"/>
                <w:szCs w:val="18"/>
              </w:rPr>
              <w:t>735 220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E793683" w14:textId="77777777" w:rsidR="006F0BB0" w:rsidRPr="006F0BB0" w:rsidRDefault="006F0BB0" w:rsidP="007D1DBA">
            <w:pPr>
              <w:jc w:val="right"/>
              <w:rPr>
                <w:sz w:val="18"/>
                <w:szCs w:val="18"/>
                <w:lang w:val="en-CA" w:eastAsia="en-CA"/>
              </w:rPr>
            </w:pPr>
            <w:r w:rsidRPr="006F0BB0">
              <w:rPr>
                <w:sz w:val="18"/>
                <w:szCs w:val="18"/>
              </w:rPr>
              <w:t>808 742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B2D07F8" w14:textId="77777777" w:rsidR="006F0BB0" w:rsidRPr="006F0BB0" w:rsidRDefault="006F0BB0" w:rsidP="007D1DBA">
            <w:pPr>
              <w:jc w:val="right"/>
              <w:rPr>
                <w:sz w:val="18"/>
                <w:szCs w:val="18"/>
                <w:lang w:val="en-CA" w:eastAsia="en-CA"/>
              </w:rPr>
            </w:pPr>
            <w:r w:rsidRPr="006F0BB0">
              <w:rPr>
                <w:sz w:val="18"/>
                <w:szCs w:val="18"/>
              </w:rPr>
              <w:t>889 616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997A0C5" w14:textId="77777777" w:rsidR="006F0BB0" w:rsidRPr="006F0BB0" w:rsidRDefault="006F0BB0" w:rsidP="007D1DBA">
            <w:pPr>
              <w:jc w:val="right"/>
              <w:rPr>
                <w:sz w:val="18"/>
                <w:szCs w:val="18"/>
                <w:lang w:val="en-CA" w:eastAsia="en-CA"/>
              </w:rPr>
            </w:pPr>
            <w:r w:rsidRPr="006F0BB0">
              <w:rPr>
                <w:sz w:val="18"/>
                <w:szCs w:val="18"/>
              </w:rPr>
              <w:t>978 578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FF59CB" w14:textId="77777777" w:rsidR="006F0BB0" w:rsidRPr="006F0BB0" w:rsidRDefault="006F0BB0" w:rsidP="007D1DBA">
            <w:pPr>
              <w:jc w:val="right"/>
              <w:rPr>
                <w:sz w:val="18"/>
                <w:szCs w:val="18"/>
                <w:lang w:val="en-CA" w:eastAsia="en-CA"/>
              </w:rPr>
            </w:pPr>
            <w:r w:rsidRPr="006F0BB0">
              <w:rPr>
                <w:sz w:val="18"/>
                <w:szCs w:val="18"/>
              </w:rPr>
              <w:t>1 076 436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7248B61" w14:textId="77777777" w:rsidR="006F0BB0" w:rsidRPr="006F0BB0" w:rsidRDefault="006F0BB0" w:rsidP="007D1DBA">
            <w:pPr>
              <w:jc w:val="right"/>
              <w:rPr>
                <w:sz w:val="18"/>
                <w:szCs w:val="18"/>
                <w:lang w:val="en-CA" w:eastAsia="en-CA"/>
              </w:rPr>
            </w:pPr>
            <w:r w:rsidRPr="006F0BB0">
              <w:rPr>
                <w:sz w:val="18"/>
                <w:szCs w:val="18"/>
              </w:rPr>
              <w:t>1 184 079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03B86A" w14:textId="77777777" w:rsidR="006F0BB0" w:rsidRPr="006F0BB0" w:rsidRDefault="006F0BB0" w:rsidP="007D1DBA">
            <w:pPr>
              <w:jc w:val="right"/>
              <w:rPr>
                <w:sz w:val="18"/>
                <w:szCs w:val="18"/>
                <w:lang w:val="en-CA" w:eastAsia="en-CA"/>
              </w:rPr>
            </w:pPr>
            <w:r w:rsidRPr="006F0BB0">
              <w:rPr>
                <w:sz w:val="18"/>
                <w:szCs w:val="18"/>
              </w:rPr>
              <w:t>892 312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9C6B2D7" w14:textId="77777777" w:rsidR="006F0BB0" w:rsidRPr="006F0BB0" w:rsidRDefault="006F0BB0" w:rsidP="007D1DBA">
            <w:pPr>
              <w:jc w:val="right"/>
              <w:rPr>
                <w:sz w:val="18"/>
                <w:szCs w:val="18"/>
                <w:lang w:val="en-CA" w:eastAsia="en-CA"/>
              </w:rPr>
            </w:pPr>
            <w:r w:rsidRPr="006F0BB0">
              <w:rPr>
                <w:sz w:val="18"/>
                <w:szCs w:val="18"/>
              </w:rPr>
              <w:t>1 323 504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6C7D785" w14:textId="77777777" w:rsidR="006F0BB0" w:rsidRPr="006F0BB0" w:rsidRDefault="006F0BB0" w:rsidP="007D1DBA">
            <w:pPr>
              <w:jc w:val="right"/>
              <w:rPr>
                <w:sz w:val="18"/>
                <w:szCs w:val="18"/>
                <w:lang w:val="en-CA" w:eastAsia="en-CA"/>
              </w:rPr>
            </w:pPr>
            <w:r w:rsidRPr="006F0BB0">
              <w:rPr>
                <w:sz w:val="18"/>
                <w:szCs w:val="18"/>
              </w:rPr>
              <w:t>89,5%</w:t>
            </w:r>
          </w:p>
        </w:tc>
      </w:tr>
      <w:tr w:rsidR="006F0BB0" w:rsidRPr="006F0BB0" w14:paraId="571F9B18"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72EFFA5"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Bhután</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11241F1" w14:textId="77777777" w:rsidR="006F0BB0" w:rsidRPr="006F0BB0" w:rsidRDefault="006F0BB0" w:rsidP="007D1DBA">
            <w:pPr>
              <w:jc w:val="right"/>
              <w:rPr>
                <w:sz w:val="18"/>
                <w:szCs w:val="18"/>
                <w:lang w:val="en-CA" w:eastAsia="en-CA"/>
              </w:rPr>
            </w:pPr>
            <w:r w:rsidRPr="006F0BB0">
              <w:rPr>
                <w:sz w:val="18"/>
                <w:szCs w:val="18"/>
              </w:rPr>
              <w:t>11 659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478B50F" w14:textId="77777777" w:rsidR="006F0BB0" w:rsidRPr="006F0BB0" w:rsidRDefault="006F0BB0" w:rsidP="007D1DBA">
            <w:pPr>
              <w:jc w:val="right"/>
              <w:rPr>
                <w:sz w:val="18"/>
                <w:szCs w:val="18"/>
                <w:lang w:val="en-CA" w:eastAsia="en-CA"/>
              </w:rPr>
            </w:pPr>
            <w:r w:rsidRPr="006F0BB0">
              <w:rPr>
                <w:sz w:val="18"/>
                <w:szCs w:val="18"/>
              </w:rPr>
              <w:t>12 825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5C6D9B1" w14:textId="77777777" w:rsidR="006F0BB0" w:rsidRPr="006F0BB0" w:rsidRDefault="006F0BB0" w:rsidP="007D1DBA">
            <w:pPr>
              <w:jc w:val="right"/>
              <w:rPr>
                <w:sz w:val="18"/>
                <w:szCs w:val="18"/>
                <w:lang w:val="en-CA" w:eastAsia="en-CA"/>
              </w:rPr>
            </w:pPr>
            <w:r w:rsidRPr="006F0BB0">
              <w:rPr>
                <w:sz w:val="18"/>
                <w:szCs w:val="18"/>
              </w:rPr>
              <w:t>14 107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89A1B97" w14:textId="77777777" w:rsidR="006F0BB0" w:rsidRPr="006F0BB0" w:rsidRDefault="006F0BB0" w:rsidP="007D1DBA">
            <w:pPr>
              <w:jc w:val="right"/>
              <w:rPr>
                <w:sz w:val="18"/>
                <w:szCs w:val="18"/>
                <w:lang w:val="en-CA" w:eastAsia="en-CA"/>
              </w:rPr>
            </w:pPr>
            <w:r w:rsidRPr="006F0BB0">
              <w:rPr>
                <w:sz w:val="18"/>
                <w:szCs w:val="18"/>
              </w:rPr>
              <w:t>15 518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B2143DB" w14:textId="77777777" w:rsidR="006F0BB0" w:rsidRPr="006F0BB0" w:rsidRDefault="006F0BB0" w:rsidP="007D1DBA">
            <w:pPr>
              <w:jc w:val="right"/>
              <w:rPr>
                <w:sz w:val="18"/>
                <w:szCs w:val="18"/>
                <w:lang w:val="en-CA" w:eastAsia="en-CA"/>
              </w:rPr>
            </w:pPr>
            <w:r w:rsidRPr="006F0BB0">
              <w:rPr>
                <w:sz w:val="18"/>
                <w:szCs w:val="18"/>
              </w:rPr>
              <w:t>17 070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634CD6D" w14:textId="77777777" w:rsidR="006F0BB0" w:rsidRPr="006F0BB0" w:rsidRDefault="006F0BB0" w:rsidP="007D1DBA">
            <w:pPr>
              <w:jc w:val="right"/>
              <w:rPr>
                <w:sz w:val="18"/>
                <w:szCs w:val="18"/>
                <w:lang w:val="en-CA" w:eastAsia="en-CA"/>
              </w:rPr>
            </w:pPr>
            <w:r w:rsidRPr="006F0BB0">
              <w:rPr>
                <w:sz w:val="18"/>
                <w:szCs w:val="18"/>
              </w:rPr>
              <w:t>18 777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B9902A" w14:textId="77777777" w:rsidR="006F0BB0" w:rsidRPr="006F0BB0" w:rsidRDefault="006F0BB0" w:rsidP="007D1DBA">
            <w:pPr>
              <w:jc w:val="right"/>
              <w:rPr>
                <w:sz w:val="18"/>
                <w:szCs w:val="18"/>
                <w:lang w:val="en-CA" w:eastAsia="en-CA"/>
              </w:rPr>
            </w:pPr>
            <w:r w:rsidRPr="006F0BB0">
              <w:rPr>
                <w:sz w:val="18"/>
                <w:szCs w:val="18"/>
              </w:rPr>
              <w:t>14 150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3DC4C43" w14:textId="77777777" w:rsidR="006F0BB0" w:rsidRPr="006F0BB0" w:rsidRDefault="006F0BB0" w:rsidP="007D1DBA">
            <w:pPr>
              <w:jc w:val="right"/>
              <w:rPr>
                <w:sz w:val="18"/>
                <w:szCs w:val="18"/>
                <w:lang w:val="en-CA" w:eastAsia="en-CA"/>
              </w:rPr>
            </w:pPr>
            <w:r w:rsidRPr="006F0BB0">
              <w:rPr>
                <w:sz w:val="18"/>
                <w:szCs w:val="18"/>
              </w:rPr>
              <w:t>20 760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5566783D" w14:textId="77777777" w:rsidR="006F0BB0" w:rsidRPr="006F0BB0" w:rsidRDefault="006F0BB0" w:rsidP="007D1DBA">
            <w:pPr>
              <w:jc w:val="right"/>
              <w:rPr>
                <w:sz w:val="18"/>
                <w:szCs w:val="18"/>
                <w:lang w:val="en-CA" w:eastAsia="en-CA"/>
              </w:rPr>
            </w:pPr>
            <w:r w:rsidRPr="006F0BB0">
              <w:rPr>
                <w:sz w:val="18"/>
                <w:szCs w:val="18"/>
              </w:rPr>
              <w:t>90,4%</w:t>
            </w:r>
          </w:p>
        </w:tc>
      </w:tr>
      <w:tr w:rsidR="006F0BB0" w:rsidRPr="006F0BB0" w14:paraId="5403E41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28DC6E0" w14:textId="77777777" w:rsidR="006F0BB0" w:rsidRPr="006F0BB0" w:rsidRDefault="006F0BB0" w:rsidP="007D1DBA">
            <w:pPr>
              <w:jc w:val="left"/>
              <w:rPr>
                <w:sz w:val="18"/>
                <w:szCs w:val="18"/>
                <w:lang w:val="en-CA" w:eastAsia="en-CA"/>
              </w:rPr>
            </w:pPr>
            <w:r w:rsidRPr="006F0BB0">
              <w:rPr>
                <w:sz w:val="18"/>
                <w:szCs w:val="18"/>
                <w:lang w:val="en-CA" w:eastAsia="en-CA"/>
              </w:rPr>
              <w:t>Palau</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4137370" w14:textId="77777777" w:rsidR="006F0BB0" w:rsidRPr="006F0BB0" w:rsidRDefault="006F0BB0" w:rsidP="007D1DBA">
            <w:pPr>
              <w:jc w:val="right"/>
              <w:rPr>
                <w:sz w:val="18"/>
                <w:szCs w:val="18"/>
                <w:lang w:val="en-CA" w:eastAsia="en-CA"/>
              </w:rPr>
            </w:pPr>
            <w:r w:rsidRPr="006F0BB0">
              <w:rPr>
                <w:sz w:val="18"/>
                <w:szCs w:val="18"/>
              </w:rPr>
              <w:t>6 436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9407777" w14:textId="77777777" w:rsidR="006F0BB0" w:rsidRPr="006F0BB0" w:rsidRDefault="006F0BB0" w:rsidP="007D1DBA">
            <w:pPr>
              <w:jc w:val="right"/>
              <w:rPr>
                <w:sz w:val="18"/>
                <w:szCs w:val="18"/>
                <w:lang w:val="en-CA" w:eastAsia="en-CA"/>
              </w:rPr>
            </w:pPr>
            <w:r w:rsidRPr="006F0BB0">
              <w:rPr>
                <w:sz w:val="18"/>
                <w:szCs w:val="18"/>
              </w:rPr>
              <w:t>7 080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933D9A8" w14:textId="77777777" w:rsidR="006F0BB0" w:rsidRPr="006F0BB0" w:rsidRDefault="006F0BB0" w:rsidP="007D1DBA">
            <w:pPr>
              <w:jc w:val="right"/>
              <w:rPr>
                <w:sz w:val="18"/>
                <w:szCs w:val="18"/>
                <w:lang w:val="en-CA" w:eastAsia="en-CA"/>
              </w:rPr>
            </w:pPr>
            <w:r w:rsidRPr="006F0BB0">
              <w:rPr>
                <w:sz w:val="18"/>
                <w:szCs w:val="18"/>
              </w:rPr>
              <w:t>7 788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5320288" w14:textId="77777777" w:rsidR="006F0BB0" w:rsidRPr="006F0BB0" w:rsidRDefault="006F0BB0" w:rsidP="007D1DBA">
            <w:pPr>
              <w:jc w:val="right"/>
              <w:rPr>
                <w:sz w:val="18"/>
                <w:szCs w:val="18"/>
                <w:lang w:val="en-CA" w:eastAsia="en-CA"/>
              </w:rPr>
            </w:pPr>
            <w:r w:rsidRPr="006F0BB0">
              <w:rPr>
                <w:sz w:val="18"/>
                <w:szCs w:val="18"/>
              </w:rPr>
              <w:t>8 566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980906" w14:textId="77777777" w:rsidR="006F0BB0" w:rsidRPr="006F0BB0" w:rsidRDefault="006F0BB0" w:rsidP="007D1DBA">
            <w:pPr>
              <w:jc w:val="right"/>
              <w:rPr>
                <w:sz w:val="18"/>
                <w:szCs w:val="18"/>
                <w:lang w:val="en-CA" w:eastAsia="en-CA"/>
              </w:rPr>
            </w:pPr>
            <w:r w:rsidRPr="006F0BB0">
              <w:rPr>
                <w:sz w:val="18"/>
                <w:szCs w:val="18"/>
              </w:rPr>
              <w:t>9 423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59F216B" w14:textId="77777777" w:rsidR="006F0BB0" w:rsidRPr="006F0BB0" w:rsidRDefault="006F0BB0" w:rsidP="007D1DBA">
            <w:pPr>
              <w:jc w:val="right"/>
              <w:rPr>
                <w:sz w:val="18"/>
                <w:szCs w:val="18"/>
                <w:lang w:val="en-CA" w:eastAsia="en-CA"/>
              </w:rPr>
            </w:pPr>
            <w:r w:rsidRPr="006F0BB0">
              <w:rPr>
                <w:sz w:val="18"/>
                <w:szCs w:val="18"/>
              </w:rPr>
              <w:t>10 365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4D1D1A0" w14:textId="77777777" w:rsidR="006F0BB0" w:rsidRPr="006F0BB0" w:rsidRDefault="006F0BB0" w:rsidP="007D1DBA">
            <w:pPr>
              <w:jc w:val="right"/>
              <w:rPr>
                <w:sz w:val="18"/>
                <w:szCs w:val="18"/>
                <w:lang w:val="en-CA" w:eastAsia="en-CA"/>
              </w:rPr>
            </w:pPr>
            <w:r w:rsidRPr="006F0BB0">
              <w:rPr>
                <w:sz w:val="18"/>
                <w:szCs w:val="18"/>
              </w:rPr>
              <w:t>7 811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63B31A" w14:textId="77777777" w:rsidR="006F0BB0" w:rsidRPr="006F0BB0" w:rsidRDefault="006F0BB0" w:rsidP="007D1DBA">
            <w:pPr>
              <w:jc w:val="right"/>
              <w:rPr>
                <w:sz w:val="18"/>
                <w:szCs w:val="18"/>
                <w:lang w:val="en-CA" w:eastAsia="en-CA"/>
              </w:rPr>
            </w:pPr>
            <w:r w:rsidRPr="006F0BB0">
              <w:rPr>
                <w:sz w:val="18"/>
                <w:szCs w:val="18"/>
              </w:rPr>
              <w:t>11 305</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BDACD54" w14:textId="77777777" w:rsidR="006F0BB0" w:rsidRPr="006F0BB0" w:rsidRDefault="006F0BB0" w:rsidP="007D1DBA">
            <w:pPr>
              <w:jc w:val="right"/>
              <w:rPr>
                <w:sz w:val="18"/>
                <w:szCs w:val="18"/>
                <w:lang w:val="en-CA" w:eastAsia="en-CA"/>
              </w:rPr>
            </w:pPr>
            <w:r w:rsidRPr="006F0BB0">
              <w:rPr>
                <w:sz w:val="18"/>
                <w:szCs w:val="18"/>
              </w:rPr>
              <w:t>91,7%</w:t>
            </w:r>
          </w:p>
        </w:tc>
      </w:tr>
      <w:tr w:rsidR="006F0BB0" w:rsidRPr="006F0BB0" w14:paraId="29A90FF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452E2C9" w14:textId="77777777" w:rsidR="006F0BB0" w:rsidRPr="006F0BB0" w:rsidRDefault="006F0BB0" w:rsidP="007D1DBA">
            <w:pPr>
              <w:jc w:val="left"/>
              <w:rPr>
                <w:sz w:val="18"/>
                <w:szCs w:val="18"/>
                <w:lang w:val="en-CA" w:eastAsia="en-CA"/>
              </w:rPr>
            </w:pPr>
            <w:r w:rsidRPr="006F0BB0">
              <w:rPr>
                <w:sz w:val="18"/>
                <w:szCs w:val="18"/>
                <w:lang w:val="en-CA" w:eastAsia="en-CA"/>
              </w:rPr>
              <w:t>Vanuatu</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AD2FFF9" w14:textId="77777777" w:rsidR="006F0BB0" w:rsidRPr="006F0BB0" w:rsidRDefault="006F0BB0" w:rsidP="007D1DBA">
            <w:pPr>
              <w:jc w:val="right"/>
              <w:rPr>
                <w:sz w:val="18"/>
                <w:szCs w:val="18"/>
                <w:lang w:val="en-CA" w:eastAsia="en-CA"/>
              </w:rPr>
            </w:pPr>
            <w:r w:rsidRPr="006F0BB0">
              <w:rPr>
                <w:sz w:val="18"/>
                <w:szCs w:val="18"/>
              </w:rPr>
              <w:t>11 351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BB2F42F" w14:textId="77777777" w:rsidR="006F0BB0" w:rsidRPr="006F0BB0" w:rsidRDefault="006F0BB0" w:rsidP="007D1DBA">
            <w:pPr>
              <w:jc w:val="right"/>
              <w:rPr>
                <w:sz w:val="18"/>
                <w:szCs w:val="18"/>
                <w:lang w:val="en-CA" w:eastAsia="en-CA"/>
              </w:rPr>
            </w:pPr>
            <w:r w:rsidRPr="006F0BB0">
              <w:rPr>
                <w:sz w:val="18"/>
                <w:szCs w:val="18"/>
              </w:rPr>
              <w:t>12 486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B4E8B4F" w14:textId="77777777" w:rsidR="006F0BB0" w:rsidRPr="006F0BB0" w:rsidRDefault="006F0BB0" w:rsidP="007D1DBA">
            <w:pPr>
              <w:jc w:val="right"/>
              <w:rPr>
                <w:sz w:val="18"/>
                <w:szCs w:val="18"/>
                <w:lang w:val="en-CA" w:eastAsia="en-CA"/>
              </w:rPr>
            </w:pPr>
            <w:r w:rsidRPr="006F0BB0">
              <w:rPr>
                <w:sz w:val="18"/>
                <w:szCs w:val="18"/>
              </w:rPr>
              <w:t>13 735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F43468A" w14:textId="77777777" w:rsidR="006F0BB0" w:rsidRPr="006F0BB0" w:rsidRDefault="006F0BB0" w:rsidP="007D1DBA">
            <w:pPr>
              <w:jc w:val="right"/>
              <w:rPr>
                <w:sz w:val="18"/>
                <w:szCs w:val="18"/>
                <w:lang w:val="en-CA" w:eastAsia="en-CA"/>
              </w:rPr>
            </w:pPr>
            <w:r w:rsidRPr="006F0BB0">
              <w:rPr>
                <w:sz w:val="18"/>
                <w:szCs w:val="18"/>
              </w:rPr>
              <w:t>15 108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F60B1B" w14:textId="77777777" w:rsidR="006F0BB0" w:rsidRPr="006F0BB0" w:rsidRDefault="006F0BB0" w:rsidP="007D1DBA">
            <w:pPr>
              <w:jc w:val="right"/>
              <w:rPr>
                <w:sz w:val="18"/>
                <w:szCs w:val="18"/>
                <w:lang w:val="en-CA" w:eastAsia="en-CA"/>
              </w:rPr>
            </w:pPr>
            <w:r w:rsidRPr="006F0BB0">
              <w:rPr>
                <w:sz w:val="18"/>
                <w:szCs w:val="18"/>
              </w:rPr>
              <w:t>16 619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414BEBC" w14:textId="77777777" w:rsidR="006F0BB0" w:rsidRPr="006F0BB0" w:rsidRDefault="006F0BB0" w:rsidP="007D1DBA">
            <w:pPr>
              <w:jc w:val="right"/>
              <w:rPr>
                <w:sz w:val="18"/>
                <w:szCs w:val="18"/>
                <w:lang w:val="en-CA" w:eastAsia="en-CA"/>
              </w:rPr>
            </w:pPr>
            <w:r w:rsidRPr="006F0BB0">
              <w:rPr>
                <w:sz w:val="18"/>
                <w:szCs w:val="18"/>
              </w:rPr>
              <w:t>18 281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AE6076C" w14:textId="77777777" w:rsidR="006F0BB0" w:rsidRPr="006F0BB0" w:rsidRDefault="006F0BB0" w:rsidP="007D1DBA">
            <w:pPr>
              <w:jc w:val="right"/>
              <w:rPr>
                <w:sz w:val="18"/>
                <w:szCs w:val="18"/>
                <w:lang w:val="en-CA" w:eastAsia="en-CA"/>
              </w:rPr>
            </w:pPr>
            <w:r w:rsidRPr="006F0BB0">
              <w:rPr>
                <w:sz w:val="18"/>
                <w:szCs w:val="18"/>
              </w:rPr>
              <w:t>13 776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5B76B8B" w14:textId="77777777" w:rsidR="006F0BB0" w:rsidRPr="006F0BB0" w:rsidRDefault="006F0BB0" w:rsidP="007D1DBA">
            <w:pPr>
              <w:jc w:val="right"/>
              <w:rPr>
                <w:sz w:val="18"/>
                <w:szCs w:val="18"/>
                <w:lang w:val="en-CA" w:eastAsia="en-CA"/>
              </w:rPr>
            </w:pPr>
            <w:r w:rsidRPr="006F0BB0">
              <w:rPr>
                <w:sz w:val="18"/>
                <w:szCs w:val="18"/>
              </w:rPr>
              <w:t>19 856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8A5548A" w14:textId="77777777" w:rsidR="006F0BB0" w:rsidRPr="006F0BB0" w:rsidRDefault="006F0BB0" w:rsidP="007D1DBA">
            <w:pPr>
              <w:jc w:val="right"/>
              <w:rPr>
                <w:sz w:val="18"/>
                <w:szCs w:val="18"/>
                <w:lang w:val="en-CA" w:eastAsia="en-CA"/>
              </w:rPr>
            </w:pPr>
            <w:r w:rsidRPr="006F0BB0">
              <w:rPr>
                <w:sz w:val="18"/>
                <w:szCs w:val="18"/>
              </w:rPr>
              <w:t>92,1%</w:t>
            </w:r>
          </w:p>
        </w:tc>
      </w:tr>
      <w:tr w:rsidR="006F0BB0" w:rsidRPr="006F0BB0" w14:paraId="0932FC3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5D57A46" w14:textId="77777777" w:rsidR="006F0BB0" w:rsidRPr="006F0BB0" w:rsidRDefault="006F0BB0" w:rsidP="007D1DBA">
            <w:pPr>
              <w:jc w:val="left"/>
              <w:rPr>
                <w:sz w:val="18"/>
                <w:szCs w:val="18"/>
                <w:lang w:val="en-CA" w:eastAsia="en-CA"/>
              </w:rPr>
            </w:pPr>
            <w:r w:rsidRPr="006F0BB0">
              <w:rPr>
                <w:sz w:val="18"/>
                <w:szCs w:val="18"/>
                <w:lang w:val="en-CA" w:eastAsia="en-CA"/>
              </w:rPr>
              <w:t>Togo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9C0B494" w14:textId="77777777" w:rsidR="006F0BB0" w:rsidRPr="006F0BB0" w:rsidRDefault="006F0BB0" w:rsidP="007D1DBA">
            <w:pPr>
              <w:jc w:val="right"/>
              <w:rPr>
                <w:sz w:val="18"/>
                <w:szCs w:val="18"/>
                <w:lang w:val="en-CA" w:eastAsia="en-CA"/>
              </w:rPr>
            </w:pPr>
            <w:r w:rsidRPr="006F0BB0">
              <w:rPr>
                <w:sz w:val="18"/>
                <w:szCs w:val="18"/>
              </w:rPr>
              <w:t>797 321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DC9A35" w14:textId="77777777" w:rsidR="006F0BB0" w:rsidRPr="006F0BB0" w:rsidRDefault="006F0BB0" w:rsidP="007D1DBA">
            <w:pPr>
              <w:jc w:val="right"/>
              <w:rPr>
                <w:sz w:val="18"/>
                <w:szCs w:val="18"/>
                <w:lang w:val="en-CA" w:eastAsia="en-CA"/>
              </w:rPr>
            </w:pPr>
            <w:r w:rsidRPr="006F0BB0">
              <w:rPr>
                <w:sz w:val="18"/>
                <w:szCs w:val="18"/>
              </w:rPr>
              <w:t>877 053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A14DA9D" w14:textId="77777777" w:rsidR="006F0BB0" w:rsidRPr="006F0BB0" w:rsidRDefault="006F0BB0" w:rsidP="007D1DBA">
            <w:pPr>
              <w:jc w:val="right"/>
              <w:rPr>
                <w:sz w:val="18"/>
                <w:szCs w:val="18"/>
                <w:lang w:val="en-CA" w:eastAsia="en-CA"/>
              </w:rPr>
            </w:pPr>
            <w:r w:rsidRPr="006F0BB0">
              <w:rPr>
                <w:sz w:val="18"/>
                <w:szCs w:val="18"/>
              </w:rPr>
              <w:t>964 758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D13A082" w14:textId="77777777" w:rsidR="006F0BB0" w:rsidRPr="006F0BB0" w:rsidRDefault="006F0BB0" w:rsidP="007D1DBA">
            <w:pPr>
              <w:jc w:val="right"/>
              <w:rPr>
                <w:sz w:val="18"/>
                <w:szCs w:val="18"/>
                <w:lang w:val="en-CA" w:eastAsia="en-CA"/>
              </w:rPr>
            </w:pPr>
            <w:r w:rsidRPr="006F0BB0">
              <w:rPr>
                <w:sz w:val="18"/>
                <w:szCs w:val="18"/>
              </w:rPr>
              <w:t>1 061 234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5019583" w14:textId="77777777" w:rsidR="006F0BB0" w:rsidRPr="006F0BB0" w:rsidRDefault="006F0BB0" w:rsidP="007D1DBA">
            <w:pPr>
              <w:jc w:val="right"/>
              <w:rPr>
                <w:sz w:val="18"/>
                <w:szCs w:val="18"/>
                <w:lang w:val="en-CA" w:eastAsia="en-CA"/>
              </w:rPr>
            </w:pPr>
            <w:r w:rsidRPr="006F0BB0">
              <w:rPr>
                <w:sz w:val="18"/>
                <w:szCs w:val="18"/>
              </w:rPr>
              <w:t>1 167 358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8D186D9" w14:textId="77777777" w:rsidR="006F0BB0" w:rsidRPr="006F0BB0" w:rsidRDefault="006F0BB0" w:rsidP="007D1DBA">
            <w:pPr>
              <w:jc w:val="right"/>
              <w:rPr>
                <w:sz w:val="18"/>
                <w:szCs w:val="18"/>
                <w:lang w:val="en-CA" w:eastAsia="en-CA"/>
              </w:rPr>
            </w:pPr>
            <w:r w:rsidRPr="006F0BB0">
              <w:rPr>
                <w:sz w:val="18"/>
                <w:szCs w:val="18"/>
              </w:rPr>
              <w:t>1 284 093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92F1EE1" w14:textId="77777777" w:rsidR="006F0BB0" w:rsidRPr="006F0BB0" w:rsidRDefault="006F0BB0" w:rsidP="007D1DBA">
            <w:pPr>
              <w:jc w:val="right"/>
              <w:rPr>
                <w:sz w:val="18"/>
                <w:szCs w:val="18"/>
                <w:lang w:val="en-CA" w:eastAsia="en-CA"/>
              </w:rPr>
            </w:pPr>
            <w:r w:rsidRPr="006F0BB0">
              <w:rPr>
                <w:sz w:val="18"/>
                <w:szCs w:val="18"/>
              </w:rPr>
              <w:t>967 682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FC074BC" w14:textId="77777777" w:rsidR="006F0BB0" w:rsidRPr="006F0BB0" w:rsidRDefault="006F0BB0" w:rsidP="007D1DBA">
            <w:pPr>
              <w:jc w:val="right"/>
              <w:rPr>
                <w:sz w:val="18"/>
                <w:szCs w:val="18"/>
                <w:lang w:val="en-CA" w:eastAsia="en-CA"/>
              </w:rPr>
            </w:pPr>
            <w:r w:rsidRPr="006F0BB0">
              <w:rPr>
                <w:sz w:val="18"/>
                <w:szCs w:val="18"/>
              </w:rPr>
              <w:t>1 394 263</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54AFF5A" w14:textId="77777777" w:rsidR="006F0BB0" w:rsidRPr="006F0BB0" w:rsidRDefault="006F0BB0" w:rsidP="007D1DBA">
            <w:pPr>
              <w:jc w:val="right"/>
              <w:rPr>
                <w:sz w:val="18"/>
                <w:szCs w:val="18"/>
                <w:lang w:val="en-CA" w:eastAsia="en-CA"/>
              </w:rPr>
            </w:pPr>
            <w:r w:rsidRPr="006F0BB0">
              <w:rPr>
                <w:sz w:val="18"/>
                <w:szCs w:val="18"/>
              </w:rPr>
              <w:t>92,1%</w:t>
            </w:r>
          </w:p>
        </w:tc>
      </w:tr>
      <w:tr w:rsidR="006F0BB0" w:rsidRPr="006F0BB0" w14:paraId="1335AE51"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40349CA"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Sudáfrica</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D328282" w14:textId="77777777" w:rsidR="006F0BB0" w:rsidRPr="006F0BB0" w:rsidRDefault="006F0BB0" w:rsidP="007D1DBA">
            <w:pPr>
              <w:jc w:val="right"/>
              <w:rPr>
                <w:sz w:val="18"/>
                <w:szCs w:val="18"/>
                <w:lang w:val="en-CA" w:eastAsia="en-CA"/>
              </w:rPr>
            </w:pPr>
            <w:r w:rsidRPr="006F0BB0">
              <w:rPr>
                <w:sz w:val="18"/>
                <w:szCs w:val="18"/>
              </w:rPr>
              <w:t>10 074 432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C56A93" w14:textId="77777777" w:rsidR="006F0BB0" w:rsidRPr="006F0BB0" w:rsidRDefault="006F0BB0" w:rsidP="007D1DBA">
            <w:pPr>
              <w:jc w:val="right"/>
              <w:rPr>
                <w:sz w:val="18"/>
                <w:szCs w:val="18"/>
                <w:lang w:val="en-CA" w:eastAsia="en-CA"/>
              </w:rPr>
            </w:pPr>
            <w:r w:rsidRPr="006F0BB0">
              <w:rPr>
                <w:sz w:val="18"/>
                <w:szCs w:val="18"/>
              </w:rPr>
              <w:t>11 081 875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1966FD4" w14:textId="77777777" w:rsidR="006F0BB0" w:rsidRPr="006F0BB0" w:rsidRDefault="006F0BB0" w:rsidP="007D1DBA">
            <w:pPr>
              <w:jc w:val="right"/>
              <w:rPr>
                <w:sz w:val="18"/>
                <w:szCs w:val="18"/>
                <w:lang w:val="en-CA" w:eastAsia="en-CA"/>
              </w:rPr>
            </w:pPr>
            <w:r w:rsidRPr="006F0BB0">
              <w:rPr>
                <w:sz w:val="18"/>
                <w:szCs w:val="18"/>
              </w:rPr>
              <w:t>12 190 063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34CFD77" w14:textId="77777777" w:rsidR="006F0BB0" w:rsidRPr="006F0BB0" w:rsidRDefault="006F0BB0" w:rsidP="007D1DBA">
            <w:pPr>
              <w:jc w:val="right"/>
              <w:rPr>
                <w:sz w:val="18"/>
                <w:szCs w:val="18"/>
                <w:lang w:val="en-CA" w:eastAsia="en-CA"/>
              </w:rPr>
            </w:pPr>
            <w:r w:rsidRPr="006F0BB0">
              <w:rPr>
                <w:sz w:val="18"/>
                <w:szCs w:val="18"/>
              </w:rPr>
              <w:t>13 409 069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BA4BC30" w14:textId="77777777" w:rsidR="006F0BB0" w:rsidRPr="006F0BB0" w:rsidRDefault="006F0BB0" w:rsidP="007D1DBA">
            <w:pPr>
              <w:jc w:val="right"/>
              <w:rPr>
                <w:sz w:val="18"/>
                <w:szCs w:val="18"/>
                <w:lang w:val="en-CA" w:eastAsia="en-CA"/>
              </w:rPr>
            </w:pPr>
            <w:r w:rsidRPr="006F0BB0">
              <w:rPr>
                <w:sz w:val="18"/>
                <w:szCs w:val="18"/>
              </w:rPr>
              <w:t>14 749 976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9D43DE1" w14:textId="77777777" w:rsidR="006F0BB0" w:rsidRPr="006F0BB0" w:rsidRDefault="006F0BB0" w:rsidP="007D1DBA">
            <w:pPr>
              <w:jc w:val="right"/>
              <w:rPr>
                <w:sz w:val="18"/>
                <w:szCs w:val="18"/>
                <w:lang w:val="en-CA" w:eastAsia="en-CA"/>
              </w:rPr>
            </w:pPr>
            <w:r w:rsidRPr="006F0BB0">
              <w:rPr>
                <w:sz w:val="18"/>
                <w:szCs w:val="18"/>
              </w:rPr>
              <w:t>16 224 973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E569C4E" w14:textId="77777777" w:rsidR="006F0BB0" w:rsidRPr="006F0BB0" w:rsidRDefault="006F0BB0" w:rsidP="007D1DBA">
            <w:pPr>
              <w:jc w:val="right"/>
              <w:rPr>
                <w:sz w:val="18"/>
                <w:szCs w:val="18"/>
                <w:lang w:val="en-CA" w:eastAsia="en-CA"/>
              </w:rPr>
            </w:pPr>
            <w:r w:rsidRPr="006F0BB0">
              <w:rPr>
                <w:sz w:val="18"/>
                <w:szCs w:val="18"/>
              </w:rPr>
              <w:t>12 227 002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BB745AF" w14:textId="77777777" w:rsidR="006F0BB0" w:rsidRPr="006F0BB0" w:rsidRDefault="006F0BB0" w:rsidP="007D1DBA">
            <w:pPr>
              <w:jc w:val="right"/>
              <w:rPr>
                <w:sz w:val="18"/>
                <w:szCs w:val="18"/>
                <w:lang w:val="en-CA" w:eastAsia="en-CA"/>
              </w:rPr>
            </w:pPr>
            <w:r w:rsidRPr="006F0BB0">
              <w:rPr>
                <w:sz w:val="18"/>
                <w:szCs w:val="18"/>
              </w:rPr>
              <w:t>17 423 196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0F93367" w14:textId="77777777" w:rsidR="006F0BB0" w:rsidRPr="006F0BB0" w:rsidRDefault="006F0BB0" w:rsidP="007D1DBA">
            <w:pPr>
              <w:jc w:val="right"/>
              <w:rPr>
                <w:sz w:val="18"/>
                <w:szCs w:val="18"/>
                <w:lang w:val="en-CA" w:eastAsia="en-CA"/>
              </w:rPr>
            </w:pPr>
            <w:r w:rsidRPr="006F0BB0">
              <w:rPr>
                <w:sz w:val="18"/>
                <w:szCs w:val="18"/>
              </w:rPr>
              <w:t>93,1%</w:t>
            </w:r>
          </w:p>
        </w:tc>
      </w:tr>
      <w:tr w:rsidR="006F0BB0" w:rsidRPr="006F0BB0" w14:paraId="2D848E2B"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D6D203D" w14:textId="77777777" w:rsidR="006F0BB0" w:rsidRPr="006F0BB0" w:rsidRDefault="006F0BB0" w:rsidP="007D1DBA">
            <w:pPr>
              <w:jc w:val="left"/>
              <w:rPr>
                <w:sz w:val="18"/>
                <w:szCs w:val="18"/>
                <w:lang w:val="en-CA" w:eastAsia="en-CA"/>
              </w:rPr>
            </w:pPr>
            <w:r w:rsidRPr="006F0BB0">
              <w:rPr>
                <w:sz w:val="18"/>
                <w:szCs w:val="18"/>
                <w:lang w:val="en-CA" w:eastAsia="en-CA"/>
              </w:rPr>
              <w:t>Zambia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E7A6A3A" w14:textId="77777777" w:rsidR="006F0BB0" w:rsidRPr="006F0BB0" w:rsidRDefault="006F0BB0" w:rsidP="007D1DBA">
            <w:pPr>
              <w:jc w:val="right"/>
              <w:rPr>
                <w:sz w:val="18"/>
                <w:szCs w:val="18"/>
                <w:lang w:val="en-CA" w:eastAsia="en-CA"/>
              </w:rPr>
            </w:pPr>
            <w:r w:rsidRPr="006F0BB0">
              <w:rPr>
                <w:sz w:val="18"/>
                <w:szCs w:val="18"/>
              </w:rPr>
              <w:t>208 794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949F10A" w14:textId="77777777" w:rsidR="006F0BB0" w:rsidRPr="006F0BB0" w:rsidRDefault="006F0BB0" w:rsidP="007D1DBA">
            <w:pPr>
              <w:jc w:val="right"/>
              <w:rPr>
                <w:sz w:val="18"/>
                <w:szCs w:val="18"/>
                <w:lang w:val="en-CA" w:eastAsia="en-CA"/>
              </w:rPr>
            </w:pPr>
            <w:r w:rsidRPr="006F0BB0">
              <w:rPr>
                <w:sz w:val="18"/>
                <w:szCs w:val="18"/>
              </w:rPr>
              <w:t>229 674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4B0C86E" w14:textId="77777777" w:rsidR="006F0BB0" w:rsidRPr="006F0BB0" w:rsidRDefault="006F0BB0" w:rsidP="007D1DBA">
            <w:pPr>
              <w:jc w:val="right"/>
              <w:rPr>
                <w:sz w:val="18"/>
                <w:szCs w:val="18"/>
                <w:lang w:val="en-CA" w:eastAsia="en-CA"/>
              </w:rPr>
            </w:pPr>
            <w:r w:rsidRPr="006F0BB0">
              <w:rPr>
                <w:sz w:val="18"/>
                <w:szCs w:val="18"/>
              </w:rPr>
              <w:t>252 641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D05D57D" w14:textId="77777777" w:rsidR="006F0BB0" w:rsidRPr="006F0BB0" w:rsidRDefault="006F0BB0" w:rsidP="007D1DBA">
            <w:pPr>
              <w:jc w:val="right"/>
              <w:rPr>
                <w:sz w:val="18"/>
                <w:szCs w:val="18"/>
                <w:lang w:val="en-CA" w:eastAsia="en-CA"/>
              </w:rPr>
            </w:pPr>
            <w:r w:rsidRPr="006F0BB0">
              <w:rPr>
                <w:sz w:val="18"/>
                <w:szCs w:val="18"/>
              </w:rPr>
              <w:t>277 905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3DBF8B9" w14:textId="77777777" w:rsidR="006F0BB0" w:rsidRPr="006F0BB0" w:rsidRDefault="006F0BB0" w:rsidP="007D1DBA">
            <w:pPr>
              <w:jc w:val="right"/>
              <w:rPr>
                <w:sz w:val="18"/>
                <w:szCs w:val="18"/>
                <w:lang w:val="en-CA" w:eastAsia="en-CA"/>
              </w:rPr>
            </w:pPr>
            <w:r w:rsidRPr="006F0BB0">
              <w:rPr>
                <w:sz w:val="18"/>
                <w:szCs w:val="18"/>
              </w:rPr>
              <w:t>305 696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8E1A2A7" w14:textId="77777777" w:rsidR="006F0BB0" w:rsidRPr="006F0BB0" w:rsidRDefault="006F0BB0" w:rsidP="007D1DBA">
            <w:pPr>
              <w:jc w:val="right"/>
              <w:rPr>
                <w:sz w:val="18"/>
                <w:szCs w:val="18"/>
                <w:lang w:val="en-CA" w:eastAsia="en-CA"/>
              </w:rPr>
            </w:pPr>
            <w:r w:rsidRPr="006F0BB0">
              <w:rPr>
                <w:sz w:val="18"/>
                <w:szCs w:val="18"/>
              </w:rPr>
              <w:t>336 266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329CB84" w14:textId="77777777" w:rsidR="006F0BB0" w:rsidRPr="006F0BB0" w:rsidRDefault="006F0BB0" w:rsidP="007D1DBA">
            <w:pPr>
              <w:jc w:val="right"/>
              <w:rPr>
                <w:sz w:val="18"/>
                <w:szCs w:val="18"/>
                <w:lang w:val="en-CA" w:eastAsia="en-CA"/>
              </w:rPr>
            </w:pPr>
            <w:r w:rsidRPr="006F0BB0">
              <w:rPr>
                <w:sz w:val="18"/>
                <w:szCs w:val="18"/>
              </w:rPr>
              <w:t>253 407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71618A" w14:textId="77777777" w:rsidR="006F0BB0" w:rsidRPr="006F0BB0" w:rsidRDefault="006F0BB0" w:rsidP="007D1DBA">
            <w:pPr>
              <w:jc w:val="right"/>
              <w:rPr>
                <w:sz w:val="18"/>
                <w:szCs w:val="18"/>
                <w:lang w:val="en-CA" w:eastAsia="en-CA"/>
              </w:rPr>
            </w:pPr>
            <w:r w:rsidRPr="006F0BB0">
              <w:rPr>
                <w:sz w:val="18"/>
                <w:szCs w:val="18"/>
              </w:rPr>
              <w:t>359 233</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9B7DC20" w14:textId="77777777" w:rsidR="006F0BB0" w:rsidRPr="006F0BB0" w:rsidRDefault="006F0BB0" w:rsidP="007D1DBA">
            <w:pPr>
              <w:jc w:val="right"/>
              <w:rPr>
                <w:sz w:val="18"/>
                <w:szCs w:val="18"/>
                <w:lang w:val="en-CA" w:eastAsia="en-CA"/>
              </w:rPr>
            </w:pPr>
            <w:r w:rsidRPr="006F0BB0">
              <w:rPr>
                <w:sz w:val="18"/>
                <w:szCs w:val="18"/>
              </w:rPr>
              <w:t>93,6%</w:t>
            </w:r>
          </w:p>
        </w:tc>
      </w:tr>
      <w:tr w:rsidR="006F0BB0" w:rsidRPr="006F0BB0" w14:paraId="2DFBF1F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14ED998" w14:textId="77777777" w:rsidR="006F0BB0" w:rsidRPr="006F0BB0" w:rsidRDefault="006F0BB0" w:rsidP="007D1DBA">
            <w:pPr>
              <w:jc w:val="left"/>
              <w:rPr>
                <w:sz w:val="18"/>
                <w:szCs w:val="18"/>
                <w:lang w:val="en-CA" w:eastAsia="en-CA"/>
              </w:rPr>
            </w:pPr>
            <w:r w:rsidRPr="006F0BB0">
              <w:rPr>
                <w:sz w:val="18"/>
                <w:szCs w:val="18"/>
                <w:lang w:val="en-CA" w:eastAsia="en-CA"/>
              </w:rPr>
              <w:t>Senegal</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8FE6B1E" w14:textId="77777777" w:rsidR="006F0BB0" w:rsidRPr="006F0BB0" w:rsidRDefault="006F0BB0" w:rsidP="007D1DBA">
            <w:pPr>
              <w:jc w:val="right"/>
              <w:rPr>
                <w:sz w:val="18"/>
                <w:szCs w:val="18"/>
                <w:lang w:val="en-CA" w:eastAsia="en-CA"/>
              </w:rPr>
            </w:pPr>
            <w:r w:rsidRPr="006F0BB0">
              <w:rPr>
                <w:sz w:val="18"/>
                <w:szCs w:val="18"/>
              </w:rPr>
              <w:t>1 541 337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3604201" w14:textId="77777777" w:rsidR="006F0BB0" w:rsidRPr="006F0BB0" w:rsidRDefault="006F0BB0" w:rsidP="007D1DBA">
            <w:pPr>
              <w:jc w:val="right"/>
              <w:rPr>
                <w:sz w:val="18"/>
                <w:szCs w:val="18"/>
                <w:lang w:val="en-CA" w:eastAsia="en-CA"/>
              </w:rPr>
            </w:pPr>
            <w:r w:rsidRPr="006F0BB0">
              <w:rPr>
                <w:sz w:val="18"/>
                <w:szCs w:val="18"/>
              </w:rPr>
              <w:t>1 695 471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ED0ED9E" w14:textId="77777777" w:rsidR="006F0BB0" w:rsidRPr="006F0BB0" w:rsidRDefault="006F0BB0" w:rsidP="007D1DBA">
            <w:pPr>
              <w:jc w:val="right"/>
              <w:rPr>
                <w:sz w:val="18"/>
                <w:szCs w:val="18"/>
                <w:lang w:val="en-CA" w:eastAsia="en-CA"/>
              </w:rPr>
            </w:pPr>
            <w:r w:rsidRPr="006F0BB0">
              <w:rPr>
                <w:sz w:val="18"/>
                <w:szCs w:val="18"/>
              </w:rPr>
              <w:t>1 865 018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038844B" w14:textId="77777777" w:rsidR="006F0BB0" w:rsidRPr="006F0BB0" w:rsidRDefault="006F0BB0" w:rsidP="007D1DBA">
            <w:pPr>
              <w:jc w:val="right"/>
              <w:rPr>
                <w:sz w:val="18"/>
                <w:szCs w:val="18"/>
                <w:lang w:val="en-CA" w:eastAsia="en-CA"/>
              </w:rPr>
            </w:pPr>
            <w:r w:rsidRPr="006F0BB0">
              <w:rPr>
                <w:sz w:val="18"/>
                <w:szCs w:val="18"/>
              </w:rPr>
              <w:t>2 051 520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337E613" w14:textId="77777777" w:rsidR="006F0BB0" w:rsidRPr="006F0BB0" w:rsidRDefault="006F0BB0" w:rsidP="007D1DBA">
            <w:pPr>
              <w:jc w:val="right"/>
              <w:rPr>
                <w:sz w:val="18"/>
                <w:szCs w:val="18"/>
                <w:lang w:val="en-CA" w:eastAsia="en-CA"/>
              </w:rPr>
            </w:pPr>
            <w:r w:rsidRPr="006F0BB0">
              <w:rPr>
                <w:sz w:val="18"/>
                <w:szCs w:val="18"/>
              </w:rPr>
              <w:t>2 256 672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2821C8D" w14:textId="77777777" w:rsidR="006F0BB0" w:rsidRPr="006F0BB0" w:rsidRDefault="006F0BB0" w:rsidP="007D1DBA">
            <w:pPr>
              <w:jc w:val="right"/>
              <w:rPr>
                <w:sz w:val="18"/>
                <w:szCs w:val="18"/>
                <w:lang w:val="en-CA" w:eastAsia="en-CA"/>
              </w:rPr>
            </w:pPr>
            <w:r w:rsidRPr="006F0BB0">
              <w:rPr>
                <w:sz w:val="18"/>
                <w:szCs w:val="18"/>
              </w:rPr>
              <w:t>2 482 339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48E3787" w14:textId="77777777" w:rsidR="006F0BB0" w:rsidRPr="006F0BB0" w:rsidRDefault="006F0BB0" w:rsidP="007D1DBA">
            <w:pPr>
              <w:jc w:val="right"/>
              <w:rPr>
                <w:sz w:val="18"/>
                <w:szCs w:val="18"/>
                <w:lang w:val="en-CA" w:eastAsia="en-CA"/>
              </w:rPr>
            </w:pPr>
            <w:r w:rsidRPr="006F0BB0">
              <w:rPr>
                <w:sz w:val="18"/>
                <w:szCs w:val="18"/>
              </w:rPr>
              <w:t>1 870 669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EF50E15" w14:textId="77777777" w:rsidR="006F0BB0" w:rsidRPr="006F0BB0" w:rsidRDefault="006F0BB0" w:rsidP="007D1DBA">
            <w:pPr>
              <w:jc w:val="right"/>
              <w:rPr>
                <w:sz w:val="18"/>
                <w:szCs w:val="18"/>
                <w:lang w:val="en-CA" w:eastAsia="en-CA"/>
              </w:rPr>
            </w:pPr>
            <w:r w:rsidRPr="006F0BB0">
              <w:rPr>
                <w:sz w:val="18"/>
                <w:szCs w:val="18"/>
              </w:rPr>
              <w:t>2 643 959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A2A25E1" w14:textId="77777777" w:rsidR="006F0BB0" w:rsidRPr="006F0BB0" w:rsidRDefault="006F0BB0" w:rsidP="007D1DBA">
            <w:pPr>
              <w:jc w:val="right"/>
              <w:rPr>
                <w:sz w:val="18"/>
                <w:szCs w:val="18"/>
                <w:lang w:val="en-CA" w:eastAsia="en-CA"/>
              </w:rPr>
            </w:pPr>
            <w:r w:rsidRPr="006F0BB0">
              <w:rPr>
                <w:sz w:val="18"/>
                <w:szCs w:val="18"/>
              </w:rPr>
              <w:t>93,9%</w:t>
            </w:r>
          </w:p>
        </w:tc>
      </w:tr>
      <w:tr w:rsidR="006F0BB0" w:rsidRPr="006F0BB0" w14:paraId="5A4B8AB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57D9626" w14:textId="77777777" w:rsidR="006F0BB0" w:rsidRPr="006F0BB0" w:rsidRDefault="006F0BB0" w:rsidP="007D1DBA">
            <w:pPr>
              <w:jc w:val="left"/>
              <w:rPr>
                <w:sz w:val="18"/>
                <w:szCs w:val="18"/>
                <w:lang w:val="en-CA" w:eastAsia="en-CA"/>
              </w:rPr>
            </w:pPr>
            <w:r w:rsidRPr="006F0BB0">
              <w:rPr>
                <w:sz w:val="18"/>
                <w:szCs w:val="18"/>
                <w:lang w:val="en-CA" w:eastAsia="en-CA"/>
              </w:rPr>
              <w:t>Barbados</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DF6035A" w14:textId="77777777" w:rsidR="006F0BB0" w:rsidRPr="006F0BB0" w:rsidRDefault="006F0BB0" w:rsidP="007D1DBA">
            <w:pPr>
              <w:jc w:val="right"/>
              <w:rPr>
                <w:sz w:val="18"/>
                <w:szCs w:val="18"/>
                <w:lang w:val="en-CA" w:eastAsia="en-CA"/>
              </w:rPr>
            </w:pPr>
            <w:r w:rsidRPr="006F0BB0">
              <w:rPr>
                <w:sz w:val="18"/>
                <w:szCs w:val="18"/>
              </w:rPr>
              <w:t>158 343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1EB5B7A" w14:textId="77777777" w:rsidR="006F0BB0" w:rsidRPr="006F0BB0" w:rsidRDefault="006F0BB0" w:rsidP="007D1DBA">
            <w:pPr>
              <w:jc w:val="right"/>
              <w:rPr>
                <w:sz w:val="18"/>
                <w:szCs w:val="18"/>
                <w:lang w:val="en-CA" w:eastAsia="en-CA"/>
              </w:rPr>
            </w:pPr>
            <w:r w:rsidRPr="006F0BB0">
              <w:rPr>
                <w:sz w:val="18"/>
                <w:szCs w:val="18"/>
              </w:rPr>
              <w:t>174 177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D21319C" w14:textId="77777777" w:rsidR="006F0BB0" w:rsidRPr="006F0BB0" w:rsidRDefault="006F0BB0" w:rsidP="007D1DBA">
            <w:pPr>
              <w:jc w:val="right"/>
              <w:rPr>
                <w:sz w:val="18"/>
                <w:szCs w:val="18"/>
                <w:lang w:val="en-CA" w:eastAsia="en-CA"/>
              </w:rPr>
            </w:pPr>
            <w:r w:rsidRPr="006F0BB0">
              <w:rPr>
                <w:sz w:val="18"/>
                <w:szCs w:val="18"/>
              </w:rPr>
              <w:t>191 595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7902CB" w14:textId="77777777" w:rsidR="006F0BB0" w:rsidRPr="006F0BB0" w:rsidRDefault="006F0BB0" w:rsidP="007D1DBA">
            <w:pPr>
              <w:jc w:val="right"/>
              <w:rPr>
                <w:sz w:val="18"/>
                <w:szCs w:val="18"/>
                <w:lang w:val="en-CA" w:eastAsia="en-CA"/>
              </w:rPr>
            </w:pPr>
            <w:r w:rsidRPr="006F0BB0">
              <w:rPr>
                <w:sz w:val="18"/>
                <w:szCs w:val="18"/>
              </w:rPr>
              <w:t>210 755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66CE668" w14:textId="77777777" w:rsidR="006F0BB0" w:rsidRPr="006F0BB0" w:rsidRDefault="006F0BB0" w:rsidP="007D1DBA">
            <w:pPr>
              <w:jc w:val="right"/>
              <w:rPr>
                <w:sz w:val="18"/>
                <w:szCs w:val="18"/>
                <w:lang w:val="en-CA" w:eastAsia="en-CA"/>
              </w:rPr>
            </w:pPr>
            <w:r w:rsidRPr="006F0BB0">
              <w:rPr>
                <w:sz w:val="18"/>
                <w:szCs w:val="18"/>
              </w:rPr>
              <w:t>231 830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AD01A9E" w14:textId="77777777" w:rsidR="006F0BB0" w:rsidRPr="006F0BB0" w:rsidRDefault="006F0BB0" w:rsidP="007D1DBA">
            <w:pPr>
              <w:jc w:val="right"/>
              <w:rPr>
                <w:sz w:val="18"/>
                <w:szCs w:val="18"/>
                <w:lang w:val="en-CA" w:eastAsia="en-CA"/>
              </w:rPr>
            </w:pPr>
            <w:r w:rsidRPr="006F0BB0">
              <w:rPr>
                <w:sz w:val="18"/>
                <w:szCs w:val="18"/>
              </w:rPr>
              <w:t>255 013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C99FC89" w14:textId="77777777" w:rsidR="006F0BB0" w:rsidRPr="006F0BB0" w:rsidRDefault="006F0BB0" w:rsidP="007D1DBA">
            <w:pPr>
              <w:jc w:val="right"/>
              <w:rPr>
                <w:sz w:val="18"/>
                <w:szCs w:val="18"/>
                <w:lang w:val="en-CA" w:eastAsia="en-CA"/>
              </w:rPr>
            </w:pPr>
            <w:r w:rsidRPr="006F0BB0">
              <w:rPr>
                <w:sz w:val="18"/>
                <w:szCs w:val="18"/>
              </w:rPr>
              <w:t>192 176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A79E525" w14:textId="77777777" w:rsidR="006F0BB0" w:rsidRPr="006F0BB0" w:rsidRDefault="006F0BB0" w:rsidP="007D1DBA">
            <w:pPr>
              <w:jc w:val="right"/>
              <w:rPr>
                <w:sz w:val="18"/>
                <w:szCs w:val="18"/>
                <w:lang w:val="en-CA" w:eastAsia="en-CA"/>
              </w:rPr>
            </w:pPr>
            <w:r w:rsidRPr="006F0BB0">
              <w:rPr>
                <w:sz w:val="18"/>
                <w:szCs w:val="18"/>
              </w:rPr>
              <w:t>271 351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15879F6" w14:textId="77777777" w:rsidR="006F0BB0" w:rsidRPr="006F0BB0" w:rsidRDefault="006F0BB0" w:rsidP="007D1DBA">
            <w:pPr>
              <w:jc w:val="right"/>
              <w:rPr>
                <w:sz w:val="18"/>
                <w:szCs w:val="18"/>
                <w:lang w:val="en-CA" w:eastAsia="en-CA"/>
              </w:rPr>
            </w:pPr>
            <w:r w:rsidRPr="006F0BB0">
              <w:rPr>
                <w:sz w:val="18"/>
                <w:szCs w:val="18"/>
              </w:rPr>
              <w:t>94,0%</w:t>
            </w:r>
          </w:p>
        </w:tc>
      </w:tr>
      <w:tr w:rsidR="006F0BB0" w:rsidRPr="006F0BB0" w14:paraId="23689958"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F1558BD"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República</w:t>
            </w:r>
            <w:proofErr w:type="spellEnd"/>
            <w:r w:rsidRPr="006F0BB0">
              <w:rPr>
                <w:sz w:val="18"/>
                <w:szCs w:val="18"/>
                <w:lang w:val="en-CA" w:eastAsia="en-CA"/>
              </w:rPr>
              <w:t xml:space="preserve"> </w:t>
            </w:r>
            <w:proofErr w:type="spellStart"/>
            <w:r w:rsidRPr="006F0BB0">
              <w:rPr>
                <w:sz w:val="18"/>
                <w:szCs w:val="18"/>
                <w:lang w:val="en-CA" w:eastAsia="en-CA"/>
              </w:rPr>
              <w:t>Dominicana</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0F9FE5D" w14:textId="77777777" w:rsidR="006F0BB0" w:rsidRPr="006F0BB0" w:rsidRDefault="006F0BB0" w:rsidP="007D1DBA">
            <w:pPr>
              <w:jc w:val="right"/>
              <w:rPr>
                <w:sz w:val="18"/>
                <w:szCs w:val="18"/>
                <w:lang w:val="en-CA" w:eastAsia="en-CA"/>
              </w:rPr>
            </w:pPr>
            <w:r w:rsidRPr="006F0BB0">
              <w:rPr>
                <w:sz w:val="18"/>
                <w:szCs w:val="18"/>
              </w:rPr>
              <w:t>2 406 616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19FF5FF" w14:textId="77777777" w:rsidR="006F0BB0" w:rsidRPr="006F0BB0" w:rsidRDefault="006F0BB0" w:rsidP="007D1DBA">
            <w:pPr>
              <w:jc w:val="right"/>
              <w:rPr>
                <w:sz w:val="18"/>
                <w:szCs w:val="18"/>
                <w:lang w:val="en-CA" w:eastAsia="en-CA"/>
              </w:rPr>
            </w:pPr>
            <w:r w:rsidRPr="006F0BB0">
              <w:rPr>
                <w:sz w:val="18"/>
                <w:szCs w:val="18"/>
              </w:rPr>
              <w:t>2 647 278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0AD2B07" w14:textId="77777777" w:rsidR="006F0BB0" w:rsidRPr="006F0BB0" w:rsidRDefault="006F0BB0" w:rsidP="007D1DBA">
            <w:pPr>
              <w:jc w:val="right"/>
              <w:rPr>
                <w:sz w:val="18"/>
                <w:szCs w:val="18"/>
                <w:lang w:val="en-CA" w:eastAsia="en-CA"/>
              </w:rPr>
            </w:pPr>
            <w:r w:rsidRPr="006F0BB0">
              <w:rPr>
                <w:sz w:val="18"/>
                <w:szCs w:val="18"/>
              </w:rPr>
              <w:t>2 912 005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E587AE5" w14:textId="77777777" w:rsidR="006F0BB0" w:rsidRPr="006F0BB0" w:rsidRDefault="006F0BB0" w:rsidP="007D1DBA">
            <w:pPr>
              <w:jc w:val="right"/>
              <w:rPr>
                <w:sz w:val="18"/>
                <w:szCs w:val="18"/>
                <w:lang w:val="en-CA" w:eastAsia="en-CA"/>
              </w:rPr>
            </w:pPr>
            <w:r w:rsidRPr="006F0BB0">
              <w:rPr>
                <w:sz w:val="18"/>
                <w:szCs w:val="18"/>
              </w:rPr>
              <w:t>3 203 206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36F6461" w14:textId="77777777" w:rsidR="006F0BB0" w:rsidRPr="006F0BB0" w:rsidRDefault="006F0BB0" w:rsidP="007D1DBA">
            <w:pPr>
              <w:jc w:val="right"/>
              <w:rPr>
                <w:sz w:val="18"/>
                <w:szCs w:val="18"/>
                <w:lang w:val="en-CA" w:eastAsia="en-CA"/>
              </w:rPr>
            </w:pPr>
            <w:r w:rsidRPr="006F0BB0">
              <w:rPr>
                <w:sz w:val="18"/>
                <w:szCs w:val="18"/>
              </w:rPr>
              <w:t>3 523 526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36AB821" w14:textId="77777777" w:rsidR="006F0BB0" w:rsidRPr="006F0BB0" w:rsidRDefault="006F0BB0" w:rsidP="007D1DBA">
            <w:pPr>
              <w:jc w:val="right"/>
              <w:rPr>
                <w:sz w:val="18"/>
                <w:szCs w:val="18"/>
                <w:lang w:val="en-CA" w:eastAsia="en-CA"/>
              </w:rPr>
            </w:pPr>
            <w:r w:rsidRPr="006F0BB0">
              <w:rPr>
                <w:sz w:val="18"/>
                <w:szCs w:val="18"/>
              </w:rPr>
              <w:t>3 875 879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0268A20" w14:textId="77777777" w:rsidR="006F0BB0" w:rsidRPr="006F0BB0" w:rsidRDefault="006F0BB0" w:rsidP="007D1DBA">
            <w:pPr>
              <w:jc w:val="right"/>
              <w:rPr>
                <w:sz w:val="18"/>
                <w:szCs w:val="18"/>
                <w:lang w:val="en-CA" w:eastAsia="en-CA"/>
              </w:rPr>
            </w:pPr>
            <w:r w:rsidRPr="006F0BB0">
              <w:rPr>
                <w:sz w:val="18"/>
                <w:szCs w:val="18"/>
              </w:rPr>
              <w:t>2 920 830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18DDA0B" w14:textId="77777777" w:rsidR="006F0BB0" w:rsidRPr="006F0BB0" w:rsidRDefault="006F0BB0" w:rsidP="007D1DBA">
            <w:pPr>
              <w:jc w:val="right"/>
              <w:rPr>
                <w:sz w:val="18"/>
                <w:szCs w:val="18"/>
                <w:lang w:val="en-CA" w:eastAsia="en-CA"/>
              </w:rPr>
            </w:pPr>
            <w:r w:rsidRPr="006F0BB0">
              <w:rPr>
                <w:sz w:val="18"/>
                <w:szCs w:val="18"/>
              </w:rPr>
              <w:t>4 001 689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9F2D1D4" w14:textId="77777777" w:rsidR="006F0BB0" w:rsidRPr="006F0BB0" w:rsidRDefault="006F0BB0" w:rsidP="007D1DBA">
            <w:pPr>
              <w:jc w:val="right"/>
              <w:rPr>
                <w:sz w:val="18"/>
                <w:szCs w:val="18"/>
                <w:lang w:val="en-CA" w:eastAsia="en-CA"/>
              </w:rPr>
            </w:pPr>
            <w:r w:rsidRPr="006F0BB0">
              <w:rPr>
                <w:sz w:val="18"/>
                <w:szCs w:val="18"/>
              </w:rPr>
              <w:t>96,9%</w:t>
            </w:r>
          </w:p>
        </w:tc>
      </w:tr>
      <w:tr w:rsidR="006F0BB0" w:rsidRPr="006F0BB0" w14:paraId="0D5B121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ECF8AF3" w14:textId="77777777" w:rsidR="006F0BB0" w:rsidRPr="006F0BB0" w:rsidRDefault="006F0BB0" w:rsidP="007D1DBA">
            <w:pPr>
              <w:jc w:val="left"/>
              <w:rPr>
                <w:sz w:val="18"/>
                <w:szCs w:val="18"/>
                <w:lang w:val="en-CA" w:eastAsia="en-CA"/>
              </w:rPr>
            </w:pPr>
            <w:r w:rsidRPr="006F0BB0">
              <w:rPr>
                <w:sz w:val="18"/>
                <w:szCs w:val="18"/>
                <w:lang w:val="en-CA" w:eastAsia="en-CA"/>
              </w:rPr>
              <w:t>Fiji</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B127F24" w14:textId="77777777" w:rsidR="006F0BB0" w:rsidRPr="006F0BB0" w:rsidRDefault="006F0BB0" w:rsidP="007D1DBA">
            <w:pPr>
              <w:jc w:val="right"/>
              <w:rPr>
                <w:sz w:val="18"/>
                <w:szCs w:val="18"/>
                <w:lang w:val="en-CA" w:eastAsia="en-CA"/>
              </w:rPr>
            </w:pPr>
            <w:r w:rsidRPr="006F0BB0">
              <w:rPr>
                <w:sz w:val="18"/>
                <w:szCs w:val="18"/>
              </w:rPr>
              <w:t>280 203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FA47374" w14:textId="77777777" w:rsidR="006F0BB0" w:rsidRPr="006F0BB0" w:rsidRDefault="006F0BB0" w:rsidP="007D1DBA">
            <w:pPr>
              <w:jc w:val="right"/>
              <w:rPr>
                <w:sz w:val="18"/>
                <w:szCs w:val="18"/>
                <w:lang w:val="en-CA" w:eastAsia="en-CA"/>
              </w:rPr>
            </w:pPr>
            <w:r w:rsidRPr="006F0BB0">
              <w:rPr>
                <w:sz w:val="18"/>
                <w:szCs w:val="18"/>
              </w:rPr>
              <w:t>308 223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2EDE7DB" w14:textId="77777777" w:rsidR="006F0BB0" w:rsidRPr="006F0BB0" w:rsidRDefault="006F0BB0" w:rsidP="007D1DBA">
            <w:pPr>
              <w:jc w:val="right"/>
              <w:rPr>
                <w:sz w:val="18"/>
                <w:szCs w:val="18"/>
                <w:lang w:val="en-CA" w:eastAsia="en-CA"/>
              </w:rPr>
            </w:pPr>
            <w:r w:rsidRPr="006F0BB0">
              <w:rPr>
                <w:sz w:val="18"/>
                <w:szCs w:val="18"/>
              </w:rPr>
              <w:t>339 046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BE497AB" w14:textId="77777777" w:rsidR="006F0BB0" w:rsidRPr="006F0BB0" w:rsidRDefault="006F0BB0" w:rsidP="007D1DBA">
            <w:pPr>
              <w:jc w:val="right"/>
              <w:rPr>
                <w:sz w:val="18"/>
                <w:szCs w:val="18"/>
                <w:lang w:val="en-CA" w:eastAsia="en-CA"/>
              </w:rPr>
            </w:pPr>
            <w:r w:rsidRPr="006F0BB0">
              <w:rPr>
                <w:sz w:val="18"/>
                <w:szCs w:val="18"/>
              </w:rPr>
              <w:t>372 950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B9B7687" w14:textId="77777777" w:rsidR="006F0BB0" w:rsidRPr="006F0BB0" w:rsidRDefault="006F0BB0" w:rsidP="007D1DBA">
            <w:pPr>
              <w:jc w:val="right"/>
              <w:rPr>
                <w:sz w:val="18"/>
                <w:szCs w:val="18"/>
                <w:lang w:val="en-CA" w:eastAsia="en-CA"/>
              </w:rPr>
            </w:pPr>
            <w:r w:rsidRPr="006F0BB0">
              <w:rPr>
                <w:sz w:val="18"/>
                <w:szCs w:val="18"/>
              </w:rPr>
              <w:t>410 245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61EF92D" w14:textId="77777777" w:rsidR="006F0BB0" w:rsidRPr="006F0BB0" w:rsidRDefault="006F0BB0" w:rsidP="007D1DBA">
            <w:pPr>
              <w:jc w:val="right"/>
              <w:rPr>
                <w:sz w:val="18"/>
                <w:szCs w:val="18"/>
                <w:lang w:val="en-CA" w:eastAsia="en-CA"/>
              </w:rPr>
            </w:pPr>
            <w:r w:rsidRPr="006F0BB0">
              <w:rPr>
                <w:sz w:val="18"/>
                <w:szCs w:val="18"/>
              </w:rPr>
              <w:t>451 270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D4A0EE8" w14:textId="77777777" w:rsidR="006F0BB0" w:rsidRPr="006F0BB0" w:rsidRDefault="006F0BB0" w:rsidP="007D1DBA">
            <w:pPr>
              <w:jc w:val="right"/>
              <w:rPr>
                <w:sz w:val="18"/>
                <w:szCs w:val="18"/>
                <w:lang w:val="en-CA" w:eastAsia="en-CA"/>
              </w:rPr>
            </w:pPr>
            <w:r w:rsidRPr="006F0BB0">
              <w:rPr>
                <w:sz w:val="18"/>
                <w:szCs w:val="18"/>
              </w:rPr>
              <w:t>340 073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D2AD923" w14:textId="77777777" w:rsidR="006F0BB0" w:rsidRPr="006F0BB0" w:rsidRDefault="006F0BB0" w:rsidP="007D1DBA">
            <w:pPr>
              <w:jc w:val="right"/>
              <w:rPr>
                <w:sz w:val="18"/>
                <w:szCs w:val="18"/>
                <w:lang w:val="en-CA" w:eastAsia="en-CA"/>
              </w:rPr>
            </w:pPr>
            <w:r w:rsidRPr="006F0BB0">
              <w:rPr>
                <w:sz w:val="18"/>
                <w:szCs w:val="18"/>
              </w:rPr>
              <w:t>462 739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FD8DB20" w14:textId="77777777" w:rsidR="006F0BB0" w:rsidRPr="006F0BB0" w:rsidRDefault="006F0BB0" w:rsidP="007D1DBA">
            <w:pPr>
              <w:jc w:val="right"/>
              <w:rPr>
                <w:sz w:val="18"/>
                <w:szCs w:val="18"/>
                <w:lang w:val="en-CA" w:eastAsia="en-CA"/>
              </w:rPr>
            </w:pPr>
            <w:r w:rsidRPr="006F0BB0">
              <w:rPr>
                <w:sz w:val="18"/>
                <w:szCs w:val="18"/>
              </w:rPr>
              <w:t>97,5%</w:t>
            </w:r>
          </w:p>
        </w:tc>
      </w:tr>
      <w:tr w:rsidR="006F0BB0" w:rsidRPr="006F0BB0" w14:paraId="51EC08F4"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9D12642" w14:textId="77777777" w:rsidR="006F0BB0" w:rsidRPr="006F0BB0" w:rsidRDefault="006F0BB0" w:rsidP="007D1DBA">
            <w:pPr>
              <w:jc w:val="left"/>
              <w:rPr>
                <w:sz w:val="18"/>
                <w:szCs w:val="18"/>
                <w:lang w:val="en-CA" w:eastAsia="en-CA"/>
              </w:rPr>
            </w:pPr>
            <w:r w:rsidRPr="006F0BB0">
              <w:rPr>
                <w:sz w:val="18"/>
                <w:szCs w:val="18"/>
                <w:lang w:val="en-CA" w:eastAsia="en-CA"/>
              </w:rPr>
              <w:t>Santa Lucía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7B5BD7E" w14:textId="77777777" w:rsidR="006F0BB0" w:rsidRPr="006F0BB0" w:rsidRDefault="006F0BB0" w:rsidP="007D1DBA">
            <w:pPr>
              <w:jc w:val="right"/>
              <w:rPr>
                <w:sz w:val="18"/>
                <w:szCs w:val="18"/>
                <w:lang w:val="en-CA" w:eastAsia="en-CA"/>
              </w:rPr>
            </w:pPr>
            <w:r w:rsidRPr="006F0BB0">
              <w:rPr>
                <w:sz w:val="18"/>
                <w:szCs w:val="18"/>
              </w:rPr>
              <w:t xml:space="preserve">Santa </w:t>
            </w:r>
            <w:proofErr w:type="spellStart"/>
            <w:r w:rsidRPr="006F0BB0">
              <w:rPr>
                <w:sz w:val="18"/>
                <w:szCs w:val="18"/>
              </w:rPr>
              <w:t>Lucí</w:t>
            </w:r>
            <w:proofErr w:type="spellEnd"/>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2336D01" w14:textId="77777777" w:rsidR="006F0BB0" w:rsidRPr="006F0BB0" w:rsidRDefault="006F0BB0" w:rsidP="007D1DBA">
            <w:pPr>
              <w:jc w:val="right"/>
              <w:rPr>
                <w:sz w:val="18"/>
                <w:szCs w:val="18"/>
                <w:lang w:val="en-CA" w:eastAsia="en-CA"/>
              </w:rPr>
            </w:pPr>
            <w:r w:rsidRPr="006F0BB0">
              <w:rPr>
                <w:sz w:val="18"/>
                <w:szCs w:val="18"/>
              </w:rPr>
              <w:t>59 872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9E99E39" w14:textId="77777777" w:rsidR="006F0BB0" w:rsidRPr="006F0BB0" w:rsidRDefault="006F0BB0" w:rsidP="007D1DBA">
            <w:pPr>
              <w:jc w:val="right"/>
              <w:rPr>
                <w:sz w:val="18"/>
                <w:szCs w:val="18"/>
                <w:lang w:val="en-CA" w:eastAsia="en-CA"/>
              </w:rPr>
            </w:pPr>
            <w:r w:rsidRPr="006F0BB0">
              <w:rPr>
                <w:sz w:val="18"/>
                <w:szCs w:val="18"/>
              </w:rPr>
              <w:t>65 859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267C8E6" w14:textId="77777777" w:rsidR="006F0BB0" w:rsidRPr="006F0BB0" w:rsidRDefault="006F0BB0" w:rsidP="007D1DBA">
            <w:pPr>
              <w:jc w:val="right"/>
              <w:rPr>
                <w:sz w:val="18"/>
                <w:szCs w:val="18"/>
                <w:lang w:val="en-CA" w:eastAsia="en-CA"/>
              </w:rPr>
            </w:pPr>
            <w:r w:rsidRPr="006F0BB0">
              <w:rPr>
                <w:sz w:val="18"/>
                <w:szCs w:val="18"/>
              </w:rPr>
              <w:t>72 445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92F161" w14:textId="77777777" w:rsidR="006F0BB0" w:rsidRPr="006F0BB0" w:rsidRDefault="006F0BB0" w:rsidP="007D1DBA">
            <w:pPr>
              <w:jc w:val="right"/>
              <w:rPr>
                <w:sz w:val="18"/>
                <w:szCs w:val="18"/>
                <w:lang w:val="en-CA" w:eastAsia="en-CA"/>
              </w:rPr>
            </w:pPr>
            <w:r w:rsidRPr="006F0BB0">
              <w:rPr>
                <w:sz w:val="18"/>
                <w:szCs w:val="18"/>
              </w:rPr>
              <w:t>79 689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A42D733" w14:textId="77777777" w:rsidR="006F0BB0" w:rsidRPr="006F0BB0" w:rsidRDefault="006F0BB0" w:rsidP="007D1DBA">
            <w:pPr>
              <w:jc w:val="right"/>
              <w:rPr>
                <w:sz w:val="18"/>
                <w:szCs w:val="18"/>
                <w:lang w:val="en-CA" w:eastAsia="en-CA"/>
              </w:rPr>
            </w:pPr>
            <w:r w:rsidRPr="006F0BB0">
              <w:rPr>
                <w:sz w:val="18"/>
                <w:szCs w:val="18"/>
              </w:rPr>
              <w:t>87 658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146ABE0" w14:textId="77777777" w:rsidR="006F0BB0" w:rsidRPr="006F0BB0" w:rsidRDefault="006F0BB0" w:rsidP="007D1DBA">
            <w:pPr>
              <w:jc w:val="right"/>
              <w:rPr>
                <w:sz w:val="18"/>
                <w:szCs w:val="18"/>
                <w:lang w:val="en-CA" w:eastAsia="en-CA"/>
              </w:rPr>
            </w:pPr>
            <w:r w:rsidRPr="006F0BB0">
              <w:rPr>
                <w:sz w:val="18"/>
                <w:szCs w:val="18"/>
              </w:rPr>
              <w:t>66 059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F3C93E2" w14:textId="77777777" w:rsidR="006F0BB0" w:rsidRPr="006F0BB0" w:rsidRDefault="006F0BB0" w:rsidP="007D1DBA">
            <w:pPr>
              <w:jc w:val="right"/>
              <w:rPr>
                <w:sz w:val="18"/>
                <w:szCs w:val="18"/>
                <w:lang w:val="en-CA" w:eastAsia="en-CA"/>
              </w:rPr>
            </w:pPr>
            <w:r w:rsidRPr="006F0BB0">
              <w:rPr>
                <w:sz w:val="18"/>
                <w:szCs w:val="18"/>
              </w:rPr>
              <w:t>89 071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20200F7" w14:textId="77777777" w:rsidR="006F0BB0" w:rsidRPr="006F0BB0" w:rsidRDefault="006F0BB0" w:rsidP="007D1DBA">
            <w:pPr>
              <w:jc w:val="right"/>
              <w:rPr>
                <w:sz w:val="18"/>
                <w:szCs w:val="18"/>
                <w:lang w:val="en-CA" w:eastAsia="en-CA"/>
              </w:rPr>
            </w:pPr>
            <w:r w:rsidRPr="006F0BB0">
              <w:rPr>
                <w:sz w:val="18"/>
                <w:szCs w:val="18"/>
              </w:rPr>
              <w:t>98,4%</w:t>
            </w:r>
          </w:p>
        </w:tc>
      </w:tr>
      <w:tr w:rsidR="006F0BB0" w:rsidRPr="006F0BB0" w14:paraId="2D34EC2A"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72050FB" w14:textId="77777777" w:rsidR="006F0BB0" w:rsidRPr="006F0BB0" w:rsidRDefault="006F0BB0" w:rsidP="007D1DBA">
            <w:pPr>
              <w:jc w:val="left"/>
              <w:rPr>
                <w:sz w:val="18"/>
                <w:szCs w:val="18"/>
                <w:lang w:val="en-CA" w:eastAsia="en-CA"/>
              </w:rPr>
            </w:pPr>
            <w:r w:rsidRPr="006F0BB0">
              <w:rPr>
                <w:sz w:val="18"/>
                <w:szCs w:val="18"/>
                <w:lang w:val="en-CA" w:eastAsia="en-CA"/>
              </w:rPr>
              <w:t>Colombia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DCF8CF1" w14:textId="77777777" w:rsidR="006F0BB0" w:rsidRPr="006F0BB0" w:rsidRDefault="006F0BB0" w:rsidP="007D1DBA">
            <w:pPr>
              <w:jc w:val="right"/>
              <w:rPr>
                <w:sz w:val="18"/>
                <w:szCs w:val="18"/>
                <w:lang w:val="en-CA" w:eastAsia="en-CA"/>
              </w:rPr>
            </w:pPr>
            <w:r w:rsidRPr="006F0BB0">
              <w:rPr>
                <w:sz w:val="18"/>
                <w:szCs w:val="18"/>
              </w:rPr>
              <w:t>5 270 350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E5ED8A2" w14:textId="77777777" w:rsidR="006F0BB0" w:rsidRPr="006F0BB0" w:rsidRDefault="006F0BB0" w:rsidP="007D1DBA">
            <w:pPr>
              <w:jc w:val="right"/>
              <w:rPr>
                <w:sz w:val="18"/>
                <w:szCs w:val="18"/>
                <w:lang w:val="en-CA" w:eastAsia="en-CA"/>
              </w:rPr>
            </w:pPr>
            <w:r w:rsidRPr="006F0BB0">
              <w:rPr>
                <w:sz w:val="18"/>
                <w:szCs w:val="18"/>
              </w:rPr>
              <w:t>5 797 385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7A9ABF3" w14:textId="77777777" w:rsidR="006F0BB0" w:rsidRPr="006F0BB0" w:rsidRDefault="006F0BB0" w:rsidP="007D1DBA">
            <w:pPr>
              <w:jc w:val="right"/>
              <w:rPr>
                <w:sz w:val="18"/>
                <w:szCs w:val="18"/>
                <w:lang w:val="en-CA" w:eastAsia="en-CA"/>
              </w:rPr>
            </w:pPr>
            <w:r w:rsidRPr="006F0BB0">
              <w:rPr>
                <w:sz w:val="18"/>
                <w:szCs w:val="18"/>
              </w:rPr>
              <w:t>6 377 124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3364EBC" w14:textId="77777777" w:rsidR="006F0BB0" w:rsidRPr="006F0BB0" w:rsidRDefault="006F0BB0" w:rsidP="007D1DBA">
            <w:pPr>
              <w:jc w:val="right"/>
              <w:rPr>
                <w:sz w:val="18"/>
                <w:szCs w:val="18"/>
                <w:lang w:val="en-CA" w:eastAsia="en-CA"/>
              </w:rPr>
            </w:pPr>
            <w:r w:rsidRPr="006F0BB0">
              <w:rPr>
                <w:sz w:val="18"/>
                <w:szCs w:val="18"/>
              </w:rPr>
              <w:t>7 014 836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5776ABF" w14:textId="77777777" w:rsidR="006F0BB0" w:rsidRPr="006F0BB0" w:rsidRDefault="006F0BB0" w:rsidP="007D1DBA">
            <w:pPr>
              <w:jc w:val="right"/>
              <w:rPr>
                <w:sz w:val="18"/>
                <w:szCs w:val="18"/>
                <w:lang w:val="en-CA" w:eastAsia="en-CA"/>
              </w:rPr>
            </w:pPr>
            <w:r w:rsidRPr="006F0BB0">
              <w:rPr>
                <w:sz w:val="18"/>
                <w:szCs w:val="18"/>
              </w:rPr>
              <w:t>7 716 319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147032B" w14:textId="77777777" w:rsidR="006F0BB0" w:rsidRPr="006F0BB0" w:rsidRDefault="006F0BB0" w:rsidP="007D1DBA">
            <w:pPr>
              <w:jc w:val="right"/>
              <w:rPr>
                <w:sz w:val="18"/>
                <w:szCs w:val="18"/>
                <w:lang w:val="en-CA" w:eastAsia="en-CA"/>
              </w:rPr>
            </w:pPr>
            <w:r w:rsidRPr="006F0BB0">
              <w:rPr>
                <w:sz w:val="18"/>
                <w:szCs w:val="18"/>
              </w:rPr>
              <w:t>8 487 951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C516408" w14:textId="77777777" w:rsidR="006F0BB0" w:rsidRPr="006F0BB0" w:rsidRDefault="006F0BB0" w:rsidP="007D1DBA">
            <w:pPr>
              <w:jc w:val="right"/>
              <w:rPr>
                <w:sz w:val="18"/>
                <w:szCs w:val="18"/>
                <w:lang w:val="en-CA" w:eastAsia="en-CA"/>
              </w:rPr>
            </w:pPr>
            <w:r w:rsidRPr="006F0BB0">
              <w:rPr>
                <w:sz w:val="18"/>
                <w:szCs w:val="18"/>
              </w:rPr>
              <w:t>6 396 448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97777D3" w14:textId="77777777" w:rsidR="006F0BB0" w:rsidRPr="006F0BB0" w:rsidRDefault="006F0BB0" w:rsidP="007D1DBA">
            <w:pPr>
              <w:jc w:val="right"/>
              <w:rPr>
                <w:sz w:val="18"/>
                <w:szCs w:val="18"/>
                <w:lang w:val="en-CA" w:eastAsia="en-CA"/>
              </w:rPr>
            </w:pPr>
            <w:r w:rsidRPr="006F0BB0">
              <w:rPr>
                <w:sz w:val="18"/>
                <w:szCs w:val="18"/>
              </w:rPr>
              <w:t>8 578 512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73CA93A" w14:textId="77777777" w:rsidR="006F0BB0" w:rsidRPr="006F0BB0" w:rsidRDefault="006F0BB0" w:rsidP="007D1DBA">
            <w:pPr>
              <w:jc w:val="right"/>
              <w:rPr>
                <w:sz w:val="18"/>
                <w:szCs w:val="18"/>
                <w:lang w:val="en-CA" w:eastAsia="en-CA"/>
              </w:rPr>
            </w:pPr>
            <w:r w:rsidRPr="006F0BB0">
              <w:rPr>
                <w:sz w:val="18"/>
                <w:szCs w:val="18"/>
              </w:rPr>
              <w:t>98,9%</w:t>
            </w:r>
          </w:p>
        </w:tc>
      </w:tr>
      <w:tr w:rsidR="006F0BB0" w:rsidRPr="006F0BB0" w14:paraId="3FD1F2C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254D5C8" w14:textId="77777777" w:rsidR="006F0BB0" w:rsidRPr="006F0BB0" w:rsidRDefault="006F0BB0" w:rsidP="007D1DBA">
            <w:pPr>
              <w:jc w:val="left"/>
              <w:rPr>
                <w:sz w:val="18"/>
                <w:szCs w:val="18"/>
                <w:lang w:val="en-CA" w:eastAsia="en-CA"/>
              </w:rPr>
            </w:pPr>
            <w:r w:rsidRPr="006F0BB0">
              <w:rPr>
                <w:sz w:val="18"/>
                <w:szCs w:val="18"/>
                <w:lang w:val="en-CA" w:eastAsia="en-CA"/>
              </w:rPr>
              <w:t>Botswana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B9A4148" w14:textId="77777777" w:rsidR="006F0BB0" w:rsidRPr="006F0BB0" w:rsidRDefault="006F0BB0" w:rsidP="007D1DBA">
            <w:pPr>
              <w:jc w:val="right"/>
              <w:rPr>
                <w:sz w:val="18"/>
                <w:szCs w:val="18"/>
                <w:lang w:val="en-CA" w:eastAsia="en-CA"/>
              </w:rPr>
            </w:pPr>
            <w:r w:rsidRPr="006F0BB0">
              <w:rPr>
                <w:sz w:val="18"/>
                <w:szCs w:val="18"/>
              </w:rPr>
              <w:t>574 066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7C74904" w14:textId="77777777" w:rsidR="006F0BB0" w:rsidRPr="006F0BB0" w:rsidRDefault="006F0BB0" w:rsidP="007D1DBA">
            <w:pPr>
              <w:jc w:val="right"/>
              <w:rPr>
                <w:sz w:val="18"/>
                <w:szCs w:val="18"/>
                <w:lang w:val="en-CA" w:eastAsia="en-CA"/>
              </w:rPr>
            </w:pPr>
            <w:r w:rsidRPr="006F0BB0">
              <w:rPr>
                <w:sz w:val="18"/>
                <w:szCs w:val="18"/>
              </w:rPr>
              <w:t>631 473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348DA9F" w14:textId="77777777" w:rsidR="006F0BB0" w:rsidRPr="006F0BB0" w:rsidRDefault="006F0BB0" w:rsidP="007D1DBA">
            <w:pPr>
              <w:jc w:val="right"/>
              <w:rPr>
                <w:sz w:val="18"/>
                <w:szCs w:val="18"/>
                <w:lang w:val="en-CA" w:eastAsia="en-CA"/>
              </w:rPr>
            </w:pPr>
            <w:r w:rsidRPr="006F0BB0">
              <w:rPr>
                <w:sz w:val="18"/>
                <w:szCs w:val="18"/>
              </w:rPr>
              <w:t>694 620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CF7DA22" w14:textId="77777777" w:rsidR="006F0BB0" w:rsidRPr="006F0BB0" w:rsidRDefault="006F0BB0" w:rsidP="007D1DBA">
            <w:pPr>
              <w:jc w:val="right"/>
              <w:rPr>
                <w:sz w:val="18"/>
                <w:szCs w:val="18"/>
                <w:lang w:val="en-CA" w:eastAsia="en-CA"/>
              </w:rPr>
            </w:pPr>
            <w:r w:rsidRPr="006F0BB0">
              <w:rPr>
                <w:sz w:val="18"/>
                <w:szCs w:val="18"/>
              </w:rPr>
              <w:t>764 082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B78120F" w14:textId="77777777" w:rsidR="006F0BB0" w:rsidRPr="006F0BB0" w:rsidRDefault="006F0BB0" w:rsidP="007D1DBA">
            <w:pPr>
              <w:jc w:val="right"/>
              <w:rPr>
                <w:sz w:val="18"/>
                <w:szCs w:val="18"/>
                <w:lang w:val="en-CA" w:eastAsia="en-CA"/>
              </w:rPr>
            </w:pPr>
            <w:r w:rsidRPr="006F0BB0">
              <w:rPr>
                <w:sz w:val="18"/>
                <w:szCs w:val="18"/>
              </w:rPr>
              <w:t>840 490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8599CC6" w14:textId="77777777" w:rsidR="006F0BB0" w:rsidRPr="006F0BB0" w:rsidRDefault="006F0BB0" w:rsidP="007D1DBA">
            <w:pPr>
              <w:jc w:val="right"/>
              <w:rPr>
                <w:sz w:val="18"/>
                <w:szCs w:val="18"/>
                <w:lang w:val="en-CA" w:eastAsia="en-CA"/>
              </w:rPr>
            </w:pPr>
            <w:r w:rsidRPr="006F0BB0">
              <w:rPr>
                <w:sz w:val="18"/>
                <w:szCs w:val="18"/>
              </w:rPr>
              <w:t>924 539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E00ACE" w14:textId="77777777" w:rsidR="006F0BB0" w:rsidRPr="006F0BB0" w:rsidRDefault="006F0BB0" w:rsidP="007D1DBA">
            <w:pPr>
              <w:jc w:val="right"/>
              <w:rPr>
                <w:sz w:val="18"/>
                <w:szCs w:val="18"/>
                <w:lang w:val="en-CA" w:eastAsia="en-CA"/>
              </w:rPr>
            </w:pPr>
            <w:r w:rsidRPr="006F0BB0">
              <w:rPr>
                <w:sz w:val="18"/>
                <w:szCs w:val="18"/>
              </w:rPr>
              <w:t>696 725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E0B677C" w14:textId="77777777" w:rsidR="006F0BB0" w:rsidRPr="006F0BB0" w:rsidRDefault="006F0BB0" w:rsidP="007D1DBA">
            <w:pPr>
              <w:jc w:val="right"/>
              <w:rPr>
                <w:sz w:val="18"/>
                <w:szCs w:val="18"/>
                <w:lang w:val="en-CA" w:eastAsia="en-CA"/>
              </w:rPr>
            </w:pPr>
            <w:r w:rsidRPr="006F0BB0">
              <w:rPr>
                <w:sz w:val="18"/>
                <w:szCs w:val="18"/>
              </w:rPr>
              <w:t>932 072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68DFA8D" w14:textId="77777777" w:rsidR="006F0BB0" w:rsidRPr="006F0BB0" w:rsidRDefault="006F0BB0" w:rsidP="007D1DBA">
            <w:pPr>
              <w:jc w:val="right"/>
              <w:rPr>
                <w:sz w:val="18"/>
                <w:szCs w:val="18"/>
                <w:lang w:val="en-CA" w:eastAsia="en-CA"/>
              </w:rPr>
            </w:pPr>
            <w:r w:rsidRPr="006F0BB0">
              <w:rPr>
                <w:sz w:val="18"/>
                <w:szCs w:val="18"/>
              </w:rPr>
              <w:t>99,2%</w:t>
            </w:r>
          </w:p>
        </w:tc>
      </w:tr>
      <w:tr w:rsidR="006F0BB0" w:rsidRPr="006F0BB0" w14:paraId="765A7EA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45A8F95" w14:textId="77777777" w:rsidR="006F0BB0" w:rsidRPr="006F0BB0" w:rsidRDefault="006F0BB0" w:rsidP="007D1DBA">
            <w:pPr>
              <w:jc w:val="left"/>
              <w:rPr>
                <w:sz w:val="18"/>
                <w:szCs w:val="18"/>
                <w:lang w:val="en-CA" w:eastAsia="en-CA"/>
              </w:rPr>
            </w:pPr>
            <w:r w:rsidRPr="006F0BB0">
              <w:rPr>
                <w:sz w:val="18"/>
                <w:szCs w:val="18"/>
                <w:lang w:val="en-CA" w:eastAsia="en-CA"/>
              </w:rPr>
              <w:t>Paraguay</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1432D2E" w14:textId="77777777" w:rsidR="006F0BB0" w:rsidRPr="006F0BB0" w:rsidRDefault="006F0BB0" w:rsidP="007D1DBA">
            <w:pPr>
              <w:jc w:val="right"/>
              <w:rPr>
                <w:sz w:val="18"/>
                <w:szCs w:val="18"/>
                <w:lang w:val="en-CA" w:eastAsia="en-CA"/>
              </w:rPr>
            </w:pPr>
            <w:r w:rsidRPr="006F0BB0">
              <w:rPr>
                <w:sz w:val="18"/>
                <w:szCs w:val="18"/>
              </w:rPr>
              <w:t>934 649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92926D7" w14:textId="77777777" w:rsidR="006F0BB0" w:rsidRPr="006F0BB0" w:rsidRDefault="006F0BB0" w:rsidP="007D1DBA">
            <w:pPr>
              <w:jc w:val="right"/>
              <w:rPr>
                <w:sz w:val="18"/>
                <w:szCs w:val="18"/>
                <w:lang w:val="en-CA" w:eastAsia="en-CA"/>
              </w:rPr>
            </w:pPr>
            <w:r w:rsidRPr="006F0BB0">
              <w:rPr>
                <w:sz w:val="18"/>
                <w:szCs w:val="18"/>
              </w:rPr>
              <w:t>1 028 114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AC3B383" w14:textId="77777777" w:rsidR="006F0BB0" w:rsidRPr="006F0BB0" w:rsidRDefault="006F0BB0" w:rsidP="007D1DBA">
            <w:pPr>
              <w:jc w:val="right"/>
              <w:rPr>
                <w:sz w:val="18"/>
                <w:szCs w:val="18"/>
                <w:lang w:val="en-CA" w:eastAsia="en-CA"/>
              </w:rPr>
            </w:pPr>
            <w:r w:rsidRPr="006F0BB0">
              <w:rPr>
                <w:sz w:val="18"/>
                <w:szCs w:val="18"/>
              </w:rPr>
              <w:t>1 130 925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0CA8547" w14:textId="77777777" w:rsidR="006F0BB0" w:rsidRPr="006F0BB0" w:rsidRDefault="006F0BB0" w:rsidP="007D1DBA">
            <w:pPr>
              <w:jc w:val="right"/>
              <w:rPr>
                <w:sz w:val="18"/>
                <w:szCs w:val="18"/>
                <w:lang w:val="en-CA" w:eastAsia="en-CA"/>
              </w:rPr>
            </w:pPr>
            <w:r w:rsidRPr="006F0BB0">
              <w:rPr>
                <w:sz w:val="18"/>
                <w:szCs w:val="18"/>
              </w:rPr>
              <w:t>1 244 018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467C2B9" w14:textId="77777777" w:rsidR="006F0BB0" w:rsidRPr="006F0BB0" w:rsidRDefault="006F0BB0" w:rsidP="007D1DBA">
            <w:pPr>
              <w:jc w:val="right"/>
              <w:rPr>
                <w:sz w:val="18"/>
                <w:szCs w:val="18"/>
                <w:lang w:val="en-CA" w:eastAsia="en-CA"/>
              </w:rPr>
            </w:pPr>
            <w:r w:rsidRPr="006F0BB0">
              <w:rPr>
                <w:sz w:val="18"/>
                <w:szCs w:val="18"/>
              </w:rPr>
              <w:t>1 368 420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BA5E315" w14:textId="77777777" w:rsidR="006F0BB0" w:rsidRPr="006F0BB0" w:rsidRDefault="006F0BB0" w:rsidP="007D1DBA">
            <w:pPr>
              <w:jc w:val="right"/>
              <w:rPr>
                <w:sz w:val="18"/>
                <w:szCs w:val="18"/>
                <w:lang w:val="en-CA" w:eastAsia="en-CA"/>
              </w:rPr>
            </w:pPr>
            <w:r w:rsidRPr="006F0BB0">
              <w:rPr>
                <w:sz w:val="18"/>
                <w:szCs w:val="18"/>
              </w:rPr>
              <w:t>1 505 262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6059F74" w14:textId="77777777" w:rsidR="006F0BB0" w:rsidRPr="006F0BB0" w:rsidRDefault="006F0BB0" w:rsidP="007D1DBA">
            <w:pPr>
              <w:jc w:val="right"/>
              <w:rPr>
                <w:sz w:val="18"/>
                <w:szCs w:val="18"/>
                <w:lang w:val="en-CA" w:eastAsia="en-CA"/>
              </w:rPr>
            </w:pPr>
            <w:r w:rsidRPr="006F0BB0">
              <w:rPr>
                <w:sz w:val="18"/>
                <w:szCs w:val="18"/>
              </w:rPr>
              <w:t>1 134 352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0C304AD" w14:textId="77777777" w:rsidR="006F0BB0" w:rsidRPr="006F0BB0" w:rsidRDefault="006F0BB0" w:rsidP="007D1DBA">
            <w:pPr>
              <w:jc w:val="right"/>
              <w:rPr>
                <w:sz w:val="18"/>
                <w:szCs w:val="18"/>
                <w:lang w:val="en-CA" w:eastAsia="en-CA"/>
              </w:rPr>
            </w:pPr>
            <w:r w:rsidRPr="006F0BB0">
              <w:rPr>
                <w:sz w:val="18"/>
                <w:szCs w:val="18"/>
              </w:rPr>
              <w:t>1 513 426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4972B07" w14:textId="77777777" w:rsidR="006F0BB0" w:rsidRPr="006F0BB0" w:rsidRDefault="006F0BB0" w:rsidP="007D1DBA">
            <w:pPr>
              <w:jc w:val="right"/>
              <w:rPr>
                <w:sz w:val="18"/>
                <w:szCs w:val="18"/>
                <w:lang w:val="en-CA" w:eastAsia="en-CA"/>
              </w:rPr>
            </w:pPr>
            <w:r w:rsidRPr="006F0BB0">
              <w:rPr>
                <w:sz w:val="18"/>
                <w:szCs w:val="18"/>
              </w:rPr>
              <w:t>99,5%</w:t>
            </w:r>
          </w:p>
        </w:tc>
      </w:tr>
      <w:tr w:rsidR="006F0BB0" w:rsidRPr="006F0BB0" w14:paraId="318CD51D"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8B91DEB"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Pakistán</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0BD66A9" w14:textId="77777777" w:rsidR="006F0BB0" w:rsidRPr="006F0BB0" w:rsidRDefault="006F0BB0" w:rsidP="007D1DBA">
            <w:pPr>
              <w:jc w:val="right"/>
              <w:rPr>
                <w:sz w:val="18"/>
                <w:szCs w:val="18"/>
                <w:lang w:val="en-CA" w:eastAsia="en-CA"/>
              </w:rPr>
            </w:pPr>
            <w:r w:rsidRPr="006F0BB0">
              <w:rPr>
                <w:sz w:val="18"/>
                <w:szCs w:val="18"/>
              </w:rPr>
              <w:t>7 435 247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D183444" w14:textId="77777777" w:rsidR="006F0BB0" w:rsidRPr="006F0BB0" w:rsidRDefault="006F0BB0" w:rsidP="007D1DBA">
            <w:pPr>
              <w:jc w:val="right"/>
              <w:rPr>
                <w:sz w:val="18"/>
                <w:szCs w:val="18"/>
                <w:lang w:val="en-CA" w:eastAsia="en-CA"/>
              </w:rPr>
            </w:pPr>
            <w:r w:rsidRPr="006F0BB0">
              <w:rPr>
                <w:sz w:val="18"/>
                <w:szCs w:val="18"/>
              </w:rPr>
              <w:t>8 178 772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499EA7E" w14:textId="77777777" w:rsidR="006F0BB0" w:rsidRPr="006F0BB0" w:rsidRDefault="006F0BB0" w:rsidP="007D1DBA">
            <w:pPr>
              <w:jc w:val="right"/>
              <w:rPr>
                <w:sz w:val="18"/>
                <w:szCs w:val="18"/>
                <w:lang w:val="en-CA" w:eastAsia="en-CA"/>
              </w:rPr>
            </w:pPr>
            <w:r w:rsidRPr="006F0BB0">
              <w:rPr>
                <w:sz w:val="18"/>
                <w:szCs w:val="18"/>
              </w:rPr>
              <w:t>8 996 649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FC5E326" w14:textId="77777777" w:rsidR="006F0BB0" w:rsidRPr="006F0BB0" w:rsidRDefault="006F0BB0" w:rsidP="007D1DBA">
            <w:pPr>
              <w:jc w:val="right"/>
              <w:rPr>
                <w:sz w:val="18"/>
                <w:szCs w:val="18"/>
                <w:lang w:val="en-CA" w:eastAsia="en-CA"/>
              </w:rPr>
            </w:pPr>
            <w:r w:rsidRPr="006F0BB0">
              <w:rPr>
                <w:sz w:val="18"/>
                <w:szCs w:val="18"/>
              </w:rPr>
              <w:t>9 896 314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A820EA" w14:textId="77777777" w:rsidR="006F0BB0" w:rsidRPr="006F0BB0" w:rsidRDefault="006F0BB0" w:rsidP="007D1DBA">
            <w:pPr>
              <w:jc w:val="right"/>
              <w:rPr>
                <w:sz w:val="18"/>
                <w:szCs w:val="18"/>
                <w:lang w:val="en-CA" w:eastAsia="en-CA"/>
              </w:rPr>
            </w:pPr>
            <w:r w:rsidRPr="006F0BB0">
              <w:rPr>
                <w:sz w:val="18"/>
                <w:szCs w:val="18"/>
              </w:rPr>
              <w:t>10 885 945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E039170" w14:textId="77777777" w:rsidR="006F0BB0" w:rsidRPr="006F0BB0" w:rsidRDefault="006F0BB0" w:rsidP="007D1DBA">
            <w:pPr>
              <w:jc w:val="right"/>
              <w:rPr>
                <w:sz w:val="18"/>
                <w:szCs w:val="18"/>
                <w:lang w:val="en-CA" w:eastAsia="en-CA"/>
              </w:rPr>
            </w:pPr>
            <w:r w:rsidRPr="006F0BB0">
              <w:rPr>
                <w:sz w:val="18"/>
                <w:szCs w:val="18"/>
              </w:rPr>
              <w:t>11 974 540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9EF6D1F" w14:textId="77777777" w:rsidR="006F0BB0" w:rsidRPr="006F0BB0" w:rsidRDefault="006F0BB0" w:rsidP="007D1DBA">
            <w:pPr>
              <w:jc w:val="right"/>
              <w:rPr>
                <w:sz w:val="18"/>
                <w:szCs w:val="18"/>
                <w:lang w:val="en-CA" w:eastAsia="en-CA"/>
              </w:rPr>
            </w:pPr>
            <w:r w:rsidRPr="006F0BB0">
              <w:rPr>
                <w:sz w:val="18"/>
                <w:szCs w:val="18"/>
              </w:rPr>
              <w:t>9 023 911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13A2CC8" w14:textId="77777777" w:rsidR="006F0BB0" w:rsidRPr="006F0BB0" w:rsidRDefault="006F0BB0" w:rsidP="007D1DBA">
            <w:pPr>
              <w:jc w:val="right"/>
              <w:rPr>
                <w:sz w:val="18"/>
                <w:szCs w:val="18"/>
                <w:lang w:val="en-CA" w:eastAsia="en-CA"/>
              </w:rPr>
            </w:pPr>
            <w:r w:rsidRPr="006F0BB0">
              <w:rPr>
                <w:sz w:val="18"/>
                <w:szCs w:val="18"/>
              </w:rPr>
              <w:t>11 969 751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FD4CB6C" w14:textId="77777777" w:rsidR="006F0BB0" w:rsidRPr="006F0BB0" w:rsidRDefault="006F0BB0" w:rsidP="007D1DBA">
            <w:pPr>
              <w:jc w:val="right"/>
              <w:rPr>
                <w:sz w:val="18"/>
                <w:szCs w:val="18"/>
                <w:lang w:val="en-CA" w:eastAsia="en-CA"/>
              </w:rPr>
            </w:pPr>
            <w:r w:rsidRPr="006F0BB0">
              <w:rPr>
                <w:sz w:val="18"/>
                <w:szCs w:val="18"/>
              </w:rPr>
              <w:t>100,0%</w:t>
            </w:r>
          </w:p>
        </w:tc>
      </w:tr>
      <w:tr w:rsidR="006F0BB0" w:rsidRPr="006F0BB0" w14:paraId="20C71BB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2D87C13" w14:textId="77777777" w:rsidR="006F0BB0" w:rsidRPr="006F0BB0" w:rsidRDefault="006F0BB0" w:rsidP="007D1DBA">
            <w:pPr>
              <w:jc w:val="left"/>
              <w:rPr>
                <w:sz w:val="18"/>
                <w:szCs w:val="18"/>
                <w:lang w:val="en-CA" w:eastAsia="en-CA"/>
              </w:rPr>
            </w:pPr>
            <w:r w:rsidRPr="006F0BB0">
              <w:rPr>
                <w:sz w:val="18"/>
                <w:szCs w:val="18"/>
                <w:lang w:val="en-CA" w:eastAsia="en-CA"/>
              </w:rPr>
              <w:t>Guyana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61CA3C4" w14:textId="77777777" w:rsidR="006F0BB0" w:rsidRPr="006F0BB0" w:rsidRDefault="006F0BB0" w:rsidP="007D1DBA">
            <w:pPr>
              <w:jc w:val="right"/>
              <w:rPr>
                <w:sz w:val="18"/>
                <w:szCs w:val="18"/>
                <w:lang w:val="en-CA" w:eastAsia="en-CA"/>
              </w:rPr>
            </w:pPr>
            <w:r w:rsidRPr="006F0BB0">
              <w:rPr>
                <w:sz w:val="18"/>
                <w:szCs w:val="18"/>
              </w:rPr>
              <w:t>92 782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3C37F41" w14:textId="77777777" w:rsidR="006F0BB0" w:rsidRPr="006F0BB0" w:rsidRDefault="006F0BB0" w:rsidP="007D1DBA">
            <w:pPr>
              <w:jc w:val="right"/>
              <w:rPr>
                <w:sz w:val="18"/>
                <w:szCs w:val="18"/>
                <w:lang w:val="en-CA" w:eastAsia="en-CA"/>
              </w:rPr>
            </w:pPr>
            <w:r w:rsidRPr="006F0BB0">
              <w:rPr>
                <w:sz w:val="18"/>
                <w:szCs w:val="18"/>
              </w:rPr>
              <w:t>102 060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DF5C46C" w14:textId="77777777" w:rsidR="006F0BB0" w:rsidRPr="006F0BB0" w:rsidRDefault="006F0BB0" w:rsidP="007D1DBA">
            <w:pPr>
              <w:jc w:val="right"/>
              <w:rPr>
                <w:sz w:val="18"/>
                <w:szCs w:val="18"/>
                <w:lang w:val="en-CA" w:eastAsia="en-CA"/>
              </w:rPr>
            </w:pPr>
            <w:r w:rsidRPr="006F0BB0">
              <w:rPr>
                <w:sz w:val="18"/>
                <w:szCs w:val="18"/>
              </w:rPr>
              <w:t>112 266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87D149D" w14:textId="77777777" w:rsidR="006F0BB0" w:rsidRPr="006F0BB0" w:rsidRDefault="006F0BB0" w:rsidP="007D1DBA">
            <w:pPr>
              <w:jc w:val="right"/>
              <w:rPr>
                <w:sz w:val="18"/>
                <w:szCs w:val="18"/>
                <w:lang w:val="en-CA" w:eastAsia="en-CA"/>
              </w:rPr>
            </w:pPr>
            <w:r w:rsidRPr="006F0BB0">
              <w:rPr>
                <w:sz w:val="18"/>
                <w:szCs w:val="18"/>
              </w:rPr>
              <w:t>123 493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18C9969" w14:textId="77777777" w:rsidR="006F0BB0" w:rsidRPr="006F0BB0" w:rsidRDefault="006F0BB0" w:rsidP="007D1DBA">
            <w:pPr>
              <w:jc w:val="right"/>
              <w:rPr>
                <w:sz w:val="18"/>
                <w:szCs w:val="18"/>
                <w:lang w:val="en-CA" w:eastAsia="en-CA"/>
              </w:rPr>
            </w:pPr>
            <w:r w:rsidRPr="006F0BB0">
              <w:rPr>
                <w:sz w:val="18"/>
                <w:szCs w:val="18"/>
              </w:rPr>
              <w:t>135 842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9E62AD5" w14:textId="77777777" w:rsidR="006F0BB0" w:rsidRPr="006F0BB0" w:rsidRDefault="006F0BB0" w:rsidP="007D1DBA">
            <w:pPr>
              <w:jc w:val="right"/>
              <w:rPr>
                <w:sz w:val="18"/>
                <w:szCs w:val="18"/>
                <w:lang w:val="en-CA" w:eastAsia="en-CA"/>
              </w:rPr>
            </w:pPr>
            <w:r w:rsidRPr="006F0BB0">
              <w:rPr>
                <w:sz w:val="18"/>
                <w:szCs w:val="18"/>
              </w:rPr>
              <w:t>149 426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E06177A" w14:textId="77777777" w:rsidR="006F0BB0" w:rsidRPr="006F0BB0" w:rsidRDefault="006F0BB0" w:rsidP="007D1DBA">
            <w:pPr>
              <w:jc w:val="right"/>
              <w:rPr>
                <w:sz w:val="18"/>
                <w:szCs w:val="18"/>
                <w:lang w:val="en-CA" w:eastAsia="en-CA"/>
              </w:rPr>
            </w:pPr>
            <w:r w:rsidRPr="006F0BB0">
              <w:rPr>
                <w:sz w:val="18"/>
                <w:szCs w:val="18"/>
              </w:rPr>
              <w:t>112 606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ABF84F5" w14:textId="77777777" w:rsidR="006F0BB0" w:rsidRPr="006F0BB0" w:rsidRDefault="006F0BB0" w:rsidP="007D1DBA">
            <w:pPr>
              <w:jc w:val="right"/>
              <w:rPr>
                <w:sz w:val="18"/>
                <w:szCs w:val="18"/>
                <w:lang w:val="en-CA" w:eastAsia="en-CA"/>
              </w:rPr>
            </w:pPr>
            <w:r w:rsidRPr="006F0BB0">
              <w:rPr>
                <w:sz w:val="18"/>
                <w:szCs w:val="18"/>
              </w:rPr>
              <w:t>149 096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05C521D" w14:textId="77777777" w:rsidR="006F0BB0" w:rsidRPr="006F0BB0" w:rsidRDefault="006F0BB0" w:rsidP="007D1DBA">
            <w:pPr>
              <w:jc w:val="right"/>
              <w:rPr>
                <w:sz w:val="18"/>
                <w:szCs w:val="18"/>
                <w:lang w:val="en-CA" w:eastAsia="en-CA"/>
              </w:rPr>
            </w:pPr>
            <w:r w:rsidRPr="006F0BB0">
              <w:rPr>
                <w:sz w:val="18"/>
                <w:szCs w:val="18"/>
              </w:rPr>
              <w:t>100,2%</w:t>
            </w:r>
          </w:p>
        </w:tc>
      </w:tr>
      <w:tr w:rsidR="006F0BB0" w:rsidRPr="006F0BB0" w14:paraId="14ED0CDA"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17E4A91" w14:textId="77777777" w:rsidR="006F0BB0" w:rsidRPr="006F0BB0" w:rsidRDefault="006F0BB0" w:rsidP="007D1DBA">
            <w:pPr>
              <w:jc w:val="left"/>
              <w:rPr>
                <w:sz w:val="18"/>
                <w:szCs w:val="18"/>
                <w:lang w:val="en-CA" w:eastAsia="en-CA"/>
              </w:rPr>
            </w:pPr>
            <w:r w:rsidRPr="006F0BB0">
              <w:rPr>
                <w:sz w:val="18"/>
                <w:szCs w:val="18"/>
                <w:lang w:val="en-CA" w:eastAsia="en-CA"/>
              </w:rPr>
              <w:lastRenderedPageBreak/>
              <w:t>Zimbabwe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4FF5A6B" w14:textId="77777777" w:rsidR="006F0BB0" w:rsidRPr="006F0BB0" w:rsidRDefault="006F0BB0" w:rsidP="007D1DBA">
            <w:pPr>
              <w:jc w:val="right"/>
              <w:rPr>
                <w:sz w:val="18"/>
                <w:szCs w:val="18"/>
                <w:lang w:val="en-CA" w:eastAsia="en-CA"/>
              </w:rPr>
            </w:pPr>
            <w:r w:rsidRPr="006F0BB0">
              <w:rPr>
                <w:sz w:val="18"/>
                <w:szCs w:val="18"/>
              </w:rPr>
              <w:t>1 024 385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33C881F" w14:textId="77777777" w:rsidR="006F0BB0" w:rsidRPr="006F0BB0" w:rsidRDefault="006F0BB0" w:rsidP="007D1DBA">
            <w:pPr>
              <w:jc w:val="right"/>
              <w:rPr>
                <w:sz w:val="18"/>
                <w:szCs w:val="18"/>
                <w:lang w:val="en-CA" w:eastAsia="en-CA"/>
              </w:rPr>
            </w:pPr>
            <w:r w:rsidRPr="006F0BB0">
              <w:rPr>
                <w:sz w:val="18"/>
                <w:szCs w:val="18"/>
              </w:rPr>
              <w:t>1 126 824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43EF185" w14:textId="77777777" w:rsidR="006F0BB0" w:rsidRPr="006F0BB0" w:rsidRDefault="006F0BB0" w:rsidP="007D1DBA">
            <w:pPr>
              <w:jc w:val="right"/>
              <w:rPr>
                <w:sz w:val="18"/>
                <w:szCs w:val="18"/>
                <w:lang w:val="en-CA" w:eastAsia="en-CA"/>
              </w:rPr>
            </w:pPr>
            <w:r w:rsidRPr="006F0BB0">
              <w:rPr>
                <w:sz w:val="18"/>
                <w:szCs w:val="18"/>
              </w:rPr>
              <w:t>1 239 506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DC43023" w14:textId="77777777" w:rsidR="006F0BB0" w:rsidRPr="006F0BB0" w:rsidRDefault="006F0BB0" w:rsidP="007D1DBA">
            <w:pPr>
              <w:jc w:val="right"/>
              <w:rPr>
                <w:sz w:val="18"/>
                <w:szCs w:val="18"/>
                <w:lang w:val="en-CA" w:eastAsia="en-CA"/>
              </w:rPr>
            </w:pPr>
            <w:r w:rsidRPr="006F0BB0">
              <w:rPr>
                <w:sz w:val="18"/>
                <w:szCs w:val="18"/>
              </w:rPr>
              <w:t>1 363 456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77B116" w14:textId="77777777" w:rsidR="006F0BB0" w:rsidRPr="006F0BB0" w:rsidRDefault="006F0BB0" w:rsidP="007D1DBA">
            <w:pPr>
              <w:jc w:val="right"/>
              <w:rPr>
                <w:sz w:val="18"/>
                <w:szCs w:val="18"/>
                <w:lang w:val="en-CA" w:eastAsia="en-CA"/>
              </w:rPr>
            </w:pPr>
            <w:r w:rsidRPr="006F0BB0">
              <w:rPr>
                <w:sz w:val="18"/>
                <w:szCs w:val="18"/>
              </w:rPr>
              <w:t>1 499 802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CD19B4C" w14:textId="77777777" w:rsidR="006F0BB0" w:rsidRPr="006F0BB0" w:rsidRDefault="006F0BB0" w:rsidP="007D1DBA">
            <w:pPr>
              <w:jc w:val="right"/>
              <w:rPr>
                <w:sz w:val="18"/>
                <w:szCs w:val="18"/>
                <w:lang w:val="en-CA" w:eastAsia="en-CA"/>
              </w:rPr>
            </w:pPr>
            <w:r w:rsidRPr="006F0BB0">
              <w:rPr>
                <w:sz w:val="18"/>
                <w:szCs w:val="18"/>
              </w:rPr>
              <w:t>1 649 782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03F6137" w14:textId="77777777" w:rsidR="006F0BB0" w:rsidRPr="006F0BB0" w:rsidRDefault="006F0BB0" w:rsidP="007D1DBA">
            <w:pPr>
              <w:jc w:val="right"/>
              <w:rPr>
                <w:sz w:val="18"/>
                <w:szCs w:val="18"/>
                <w:lang w:val="en-CA" w:eastAsia="en-CA"/>
              </w:rPr>
            </w:pPr>
            <w:r w:rsidRPr="006F0BB0">
              <w:rPr>
                <w:sz w:val="18"/>
                <w:szCs w:val="18"/>
              </w:rPr>
              <w:t>1 243 262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815411" w14:textId="77777777" w:rsidR="006F0BB0" w:rsidRPr="006F0BB0" w:rsidRDefault="006F0BB0" w:rsidP="007D1DBA">
            <w:pPr>
              <w:jc w:val="right"/>
              <w:rPr>
                <w:sz w:val="18"/>
                <w:szCs w:val="18"/>
                <w:lang w:val="en-CA" w:eastAsia="en-CA"/>
              </w:rPr>
            </w:pPr>
            <w:r w:rsidRPr="006F0BB0">
              <w:rPr>
                <w:sz w:val="18"/>
                <w:szCs w:val="18"/>
              </w:rPr>
              <w:t>1 607 764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E830F41" w14:textId="77777777" w:rsidR="006F0BB0" w:rsidRPr="006F0BB0" w:rsidRDefault="006F0BB0" w:rsidP="007D1DBA">
            <w:pPr>
              <w:jc w:val="right"/>
              <w:rPr>
                <w:sz w:val="18"/>
                <w:szCs w:val="18"/>
                <w:lang w:val="en-CA" w:eastAsia="en-CA"/>
              </w:rPr>
            </w:pPr>
            <w:r w:rsidRPr="006F0BB0">
              <w:rPr>
                <w:sz w:val="18"/>
                <w:szCs w:val="18"/>
              </w:rPr>
              <w:t>102,6%</w:t>
            </w:r>
          </w:p>
        </w:tc>
      </w:tr>
      <w:tr w:rsidR="006F0BB0" w:rsidRPr="006F0BB0" w14:paraId="6BD7B3A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512D1AC" w14:textId="77777777" w:rsidR="006F0BB0" w:rsidRPr="006F0BB0" w:rsidRDefault="006F0BB0" w:rsidP="007D1DBA">
            <w:pPr>
              <w:jc w:val="left"/>
              <w:rPr>
                <w:sz w:val="18"/>
                <w:szCs w:val="18"/>
                <w:lang w:val="en-CA" w:eastAsia="en-CA"/>
              </w:rPr>
            </w:pPr>
            <w:r w:rsidRPr="006F0BB0">
              <w:rPr>
                <w:sz w:val="18"/>
                <w:szCs w:val="18"/>
                <w:lang w:val="en-CA" w:eastAsia="en-CA"/>
              </w:rPr>
              <w:t>Guinea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E02A275" w14:textId="77777777" w:rsidR="006F0BB0" w:rsidRPr="006F0BB0" w:rsidRDefault="006F0BB0" w:rsidP="007D1DBA">
            <w:pPr>
              <w:jc w:val="right"/>
              <w:rPr>
                <w:sz w:val="18"/>
                <w:szCs w:val="18"/>
                <w:lang w:val="en-CA" w:eastAsia="en-CA"/>
              </w:rPr>
            </w:pPr>
            <w:r w:rsidRPr="006F0BB0">
              <w:rPr>
                <w:sz w:val="18"/>
                <w:szCs w:val="18"/>
              </w:rPr>
              <w:t>1 391 166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61F165A" w14:textId="77777777" w:rsidR="006F0BB0" w:rsidRPr="006F0BB0" w:rsidRDefault="006F0BB0" w:rsidP="007D1DBA">
            <w:pPr>
              <w:jc w:val="right"/>
              <w:rPr>
                <w:sz w:val="18"/>
                <w:szCs w:val="18"/>
                <w:lang w:val="en-CA" w:eastAsia="en-CA"/>
              </w:rPr>
            </w:pPr>
            <w:r w:rsidRPr="006F0BB0">
              <w:rPr>
                <w:sz w:val="18"/>
                <w:szCs w:val="18"/>
              </w:rPr>
              <w:t>1 530 282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1A96F35" w14:textId="77777777" w:rsidR="006F0BB0" w:rsidRPr="006F0BB0" w:rsidRDefault="006F0BB0" w:rsidP="007D1DBA">
            <w:pPr>
              <w:jc w:val="right"/>
              <w:rPr>
                <w:sz w:val="18"/>
                <w:szCs w:val="18"/>
                <w:lang w:val="en-CA" w:eastAsia="en-CA"/>
              </w:rPr>
            </w:pPr>
            <w:r w:rsidRPr="006F0BB0">
              <w:rPr>
                <w:sz w:val="18"/>
                <w:szCs w:val="18"/>
              </w:rPr>
              <w:t>1 683 310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C1C2F66" w14:textId="77777777" w:rsidR="006F0BB0" w:rsidRPr="006F0BB0" w:rsidRDefault="006F0BB0" w:rsidP="007D1DBA">
            <w:pPr>
              <w:jc w:val="right"/>
              <w:rPr>
                <w:sz w:val="18"/>
                <w:szCs w:val="18"/>
                <w:lang w:val="en-CA" w:eastAsia="en-CA"/>
              </w:rPr>
            </w:pPr>
            <w:r w:rsidRPr="006F0BB0">
              <w:rPr>
                <w:sz w:val="18"/>
                <w:szCs w:val="18"/>
              </w:rPr>
              <w:t>1 851 641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0535285" w14:textId="77777777" w:rsidR="006F0BB0" w:rsidRPr="006F0BB0" w:rsidRDefault="006F0BB0" w:rsidP="007D1DBA">
            <w:pPr>
              <w:jc w:val="right"/>
              <w:rPr>
                <w:sz w:val="18"/>
                <w:szCs w:val="18"/>
                <w:lang w:val="en-CA" w:eastAsia="en-CA"/>
              </w:rPr>
            </w:pPr>
            <w:r w:rsidRPr="006F0BB0">
              <w:rPr>
                <w:sz w:val="18"/>
                <w:szCs w:val="18"/>
              </w:rPr>
              <w:t>2 036 805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7917289" w14:textId="77777777" w:rsidR="006F0BB0" w:rsidRPr="006F0BB0" w:rsidRDefault="006F0BB0" w:rsidP="007D1DBA">
            <w:pPr>
              <w:jc w:val="right"/>
              <w:rPr>
                <w:sz w:val="18"/>
                <w:szCs w:val="18"/>
                <w:lang w:val="en-CA" w:eastAsia="en-CA"/>
              </w:rPr>
            </w:pPr>
            <w:r w:rsidRPr="006F0BB0">
              <w:rPr>
                <w:sz w:val="18"/>
                <w:szCs w:val="18"/>
              </w:rPr>
              <w:t>2 240 486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1E3D0C7" w14:textId="77777777" w:rsidR="006F0BB0" w:rsidRPr="006F0BB0" w:rsidRDefault="006F0BB0" w:rsidP="007D1DBA">
            <w:pPr>
              <w:jc w:val="right"/>
              <w:rPr>
                <w:sz w:val="18"/>
                <w:szCs w:val="18"/>
                <w:lang w:val="en-CA" w:eastAsia="en-CA"/>
              </w:rPr>
            </w:pPr>
            <w:r w:rsidRPr="006F0BB0">
              <w:rPr>
                <w:sz w:val="18"/>
                <w:szCs w:val="18"/>
              </w:rPr>
              <w:t>1 688 411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BCD486C" w14:textId="77777777" w:rsidR="006F0BB0" w:rsidRPr="006F0BB0" w:rsidRDefault="006F0BB0" w:rsidP="007D1DBA">
            <w:pPr>
              <w:jc w:val="right"/>
              <w:rPr>
                <w:sz w:val="18"/>
                <w:szCs w:val="18"/>
                <w:lang w:val="en-CA" w:eastAsia="en-CA"/>
              </w:rPr>
            </w:pPr>
            <w:r w:rsidRPr="006F0BB0">
              <w:rPr>
                <w:sz w:val="18"/>
                <w:szCs w:val="18"/>
              </w:rPr>
              <w:t>2 172 059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D6020CF" w14:textId="77777777" w:rsidR="006F0BB0" w:rsidRPr="006F0BB0" w:rsidRDefault="006F0BB0" w:rsidP="007D1DBA">
            <w:pPr>
              <w:jc w:val="right"/>
              <w:rPr>
                <w:sz w:val="18"/>
                <w:szCs w:val="18"/>
                <w:lang w:val="en-CA" w:eastAsia="en-CA"/>
              </w:rPr>
            </w:pPr>
            <w:r w:rsidRPr="006F0BB0">
              <w:rPr>
                <w:sz w:val="18"/>
                <w:szCs w:val="18"/>
              </w:rPr>
              <w:t>103,2%</w:t>
            </w:r>
          </w:p>
        </w:tc>
      </w:tr>
      <w:tr w:rsidR="006F0BB0" w:rsidRPr="006F0BB0" w14:paraId="5AC9B04E"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D135998" w14:textId="77777777" w:rsidR="006F0BB0" w:rsidRPr="006F0BB0" w:rsidRDefault="006F0BB0" w:rsidP="007D1DBA">
            <w:pPr>
              <w:jc w:val="left"/>
              <w:rPr>
                <w:sz w:val="18"/>
                <w:szCs w:val="18"/>
                <w:lang w:val="en-CA" w:eastAsia="en-CA"/>
              </w:rPr>
            </w:pPr>
            <w:r w:rsidRPr="006F0BB0">
              <w:rPr>
                <w:sz w:val="18"/>
                <w:szCs w:val="18"/>
                <w:lang w:val="en-CA" w:eastAsia="en-CA"/>
              </w:rPr>
              <w:t>Madagascar</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A60ECEA" w14:textId="77777777" w:rsidR="006F0BB0" w:rsidRPr="006F0BB0" w:rsidRDefault="006F0BB0" w:rsidP="007D1DBA">
            <w:pPr>
              <w:jc w:val="right"/>
              <w:rPr>
                <w:sz w:val="18"/>
                <w:szCs w:val="18"/>
                <w:lang w:val="en-CA" w:eastAsia="en-CA"/>
              </w:rPr>
            </w:pPr>
            <w:r w:rsidRPr="006F0BB0">
              <w:rPr>
                <w:sz w:val="18"/>
                <w:szCs w:val="18"/>
              </w:rPr>
              <w:t>1 558 144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36DBEE5" w14:textId="77777777" w:rsidR="006F0BB0" w:rsidRPr="006F0BB0" w:rsidRDefault="006F0BB0" w:rsidP="007D1DBA">
            <w:pPr>
              <w:jc w:val="right"/>
              <w:rPr>
                <w:sz w:val="18"/>
                <w:szCs w:val="18"/>
                <w:lang w:val="en-CA" w:eastAsia="en-CA"/>
              </w:rPr>
            </w:pPr>
            <w:r w:rsidRPr="006F0BB0">
              <w:rPr>
                <w:sz w:val="18"/>
                <w:szCs w:val="18"/>
              </w:rPr>
              <w:t>1 713 958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4415AFD" w14:textId="77777777" w:rsidR="006F0BB0" w:rsidRPr="006F0BB0" w:rsidRDefault="006F0BB0" w:rsidP="007D1DBA">
            <w:pPr>
              <w:jc w:val="right"/>
              <w:rPr>
                <w:sz w:val="18"/>
                <w:szCs w:val="18"/>
                <w:lang w:val="en-CA" w:eastAsia="en-CA"/>
              </w:rPr>
            </w:pPr>
            <w:r w:rsidRPr="006F0BB0">
              <w:rPr>
                <w:sz w:val="18"/>
                <w:szCs w:val="18"/>
              </w:rPr>
              <w:t>1 885 354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4C893A" w14:textId="77777777" w:rsidR="006F0BB0" w:rsidRPr="006F0BB0" w:rsidRDefault="006F0BB0" w:rsidP="007D1DBA">
            <w:pPr>
              <w:jc w:val="right"/>
              <w:rPr>
                <w:sz w:val="18"/>
                <w:szCs w:val="18"/>
                <w:lang w:val="en-CA" w:eastAsia="en-CA"/>
              </w:rPr>
            </w:pPr>
            <w:r w:rsidRPr="006F0BB0">
              <w:rPr>
                <w:sz w:val="18"/>
                <w:szCs w:val="18"/>
              </w:rPr>
              <w:t>2 073 889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53976CD" w14:textId="77777777" w:rsidR="006F0BB0" w:rsidRPr="006F0BB0" w:rsidRDefault="006F0BB0" w:rsidP="007D1DBA">
            <w:pPr>
              <w:jc w:val="right"/>
              <w:rPr>
                <w:sz w:val="18"/>
                <w:szCs w:val="18"/>
                <w:lang w:val="en-CA" w:eastAsia="en-CA"/>
              </w:rPr>
            </w:pPr>
            <w:r w:rsidRPr="006F0BB0">
              <w:rPr>
                <w:sz w:val="18"/>
                <w:szCs w:val="18"/>
              </w:rPr>
              <w:t>2 281 278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88F4C32" w14:textId="77777777" w:rsidR="006F0BB0" w:rsidRPr="006F0BB0" w:rsidRDefault="006F0BB0" w:rsidP="007D1DBA">
            <w:pPr>
              <w:jc w:val="right"/>
              <w:rPr>
                <w:sz w:val="18"/>
                <w:szCs w:val="18"/>
                <w:lang w:val="en-CA" w:eastAsia="en-CA"/>
              </w:rPr>
            </w:pPr>
            <w:r w:rsidRPr="006F0BB0">
              <w:rPr>
                <w:sz w:val="18"/>
                <w:szCs w:val="18"/>
              </w:rPr>
              <w:t>2 509 406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C6AFD13" w14:textId="77777777" w:rsidR="006F0BB0" w:rsidRPr="006F0BB0" w:rsidRDefault="006F0BB0" w:rsidP="007D1DBA">
            <w:pPr>
              <w:jc w:val="right"/>
              <w:rPr>
                <w:sz w:val="18"/>
                <w:szCs w:val="18"/>
                <w:lang w:val="en-CA" w:eastAsia="en-CA"/>
              </w:rPr>
            </w:pPr>
            <w:r w:rsidRPr="006F0BB0">
              <w:rPr>
                <w:sz w:val="18"/>
                <w:szCs w:val="18"/>
              </w:rPr>
              <w:t>1 891 067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F7B6C62" w14:textId="77777777" w:rsidR="006F0BB0" w:rsidRPr="006F0BB0" w:rsidRDefault="006F0BB0" w:rsidP="007D1DBA">
            <w:pPr>
              <w:jc w:val="right"/>
              <w:rPr>
                <w:sz w:val="18"/>
                <w:szCs w:val="18"/>
                <w:lang w:val="en-CA" w:eastAsia="en-CA"/>
              </w:rPr>
            </w:pPr>
            <w:r w:rsidRPr="006F0BB0">
              <w:rPr>
                <w:sz w:val="18"/>
                <w:szCs w:val="18"/>
              </w:rPr>
              <w:t>2 423 880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CF9EB6E" w14:textId="77777777" w:rsidR="006F0BB0" w:rsidRPr="006F0BB0" w:rsidRDefault="006F0BB0" w:rsidP="007D1DBA">
            <w:pPr>
              <w:jc w:val="right"/>
              <w:rPr>
                <w:sz w:val="18"/>
                <w:szCs w:val="18"/>
                <w:lang w:val="en-CA" w:eastAsia="en-CA"/>
              </w:rPr>
            </w:pPr>
            <w:r w:rsidRPr="006F0BB0">
              <w:rPr>
                <w:sz w:val="18"/>
                <w:szCs w:val="18"/>
              </w:rPr>
              <w:t>103,5%</w:t>
            </w:r>
          </w:p>
        </w:tc>
      </w:tr>
      <w:tr w:rsidR="006F0BB0" w:rsidRPr="006F0BB0" w14:paraId="10E07B3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67D75E8" w14:textId="77777777" w:rsidR="006F0BB0" w:rsidRPr="006F0BB0" w:rsidRDefault="006F0BB0" w:rsidP="007D1DBA">
            <w:pPr>
              <w:jc w:val="left"/>
              <w:rPr>
                <w:sz w:val="18"/>
                <w:szCs w:val="18"/>
                <w:lang w:val="en-CA" w:eastAsia="en-CA"/>
              </w:rPr>
            </w:pPr>
            <w:r w:rsidRPr="006F0BB0">
              <w:rPr>
                <w:sz w:val="18"/>
                <w:szCs w:val="18"/>
                <w:lang w:val="en-CA" w:eastAsia="en-CA"/>
              </w:rPr>
              <w:t xml:space="preserve">Trinidad y </w:t>
            </w:r>
            <w:proofErr w:type="spellStart"/>
            <w:r w:rsidRPr="006F0BB0">
              <w:rPr>
                <w:sz w:val="18"/>
                <w:szCs w:val="18"/>
                <w:lang w:val="en-CA" w:eastAsia="en-CA"/>
              </w:rPr>
              <w:t>Tabago</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6210965" w14:textId="77777777" w:rsidR="006F0BB0" w:rsidRPr="006F0BB0" w:rsidRDefault="006F0BB0" w:rsidP="007D1DBA">
            <w:pPr>
              <w:jc w:val="right"/>
              <w:rPr>
                <w:sz w:val="18"/>
                <w:szCs w:val="18"/>
                <w:lang w:val="en-CA" w:eastAsia="en-CA"/>
              </w:rPr>
            </w:pPr>
            <w:r w:rsidRPr="006F0BB0">
              <w:rPr>
                <w:sz w:val="18"/>
                <w:szCs w:val="18"/>
              </w:rPr>
              <w:t>2 755 910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C721F71" w14:textId="77777777" w:rsidR="006F0BB0" w:rsidRPr="006F0BB0" w:rsidRDefault="006F0BB0" w:rsidP="007D1DBA">
            <w:pPr>
              <w:jc w:val="right"/>
              <w:rPr>
                <w:sz w:val="18"/>
                <w:szCs w:val="18"/>
                <w:lang w:val="en-CA" w:eastAsia="en-CA"/>
              </w:rPr>
            </w:pPr>
            <w:r w:rsidRPr="006F0BB0">
              <w:rPr>
                <w:sz w:val="18"/>
                <w:szCs w:val="18"/>
              </w:rPr>
              <w:t>3 031 501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12CEAED" w14:textId="77777777" w:rsidR="006F0BB0" w:rsidRPr="006F0BB0" w:rsidRDefault="006F0BB0" w:rsidP="007D1DBA">
            <w:pPr>
              <w:jc w:val="right"/>
              <w:rPr>
                <w:sz w:val="18"/>
                <w:szCs w:val="18"/>
                <w:lang w:val="en-CA" w:eastAsia="en-CA"/>
              </w:rPr>
            </w:pPr>
            <w:r w:rsidRPr="006F0BB0">
              <w:rPr>
                <w:sz w:val="18"/>
                <w:szCs w:val="18"/>
              </w:rPr>
              <w:t>3 334 651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33D3468" w14:textId="77777777" w:rsidR="006F0BB0" w:rsidRPr="006F0BB0" w:rsidRDefault="006F0BB0" w:rsidP="007D1DBA">
            <w:pPr>
              <w:jc w:val="right"/>
              <w:rPr>
                <w:sz w:val="18"/>
                <w:szCs w:val="18"/>
                <w:lang w:val="en-CA" w:eastAsia="en-CA"/>
              </w:rPr>
            </w:pPr>
            <w:r w:rsidRPr="006F0BB0">
              <w:rPr>
                <w:sz w:val="18"/>
                <w:szCs w:val="18"/>
              </w:rPr>
              <w:t>3 668 116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E1036FF" w14:textId="77777777" w:rsidR="006F0BB0" w:rsidRPr="006F0BB0" w:rsidRDefault="006F0BB0" w:rsidP="007D1DBA">
            <w:pPr>
              <w:jc w:val="right"/>
              <w:rPr>
                <w:sz w:val="18"/>
                <w:szCs w:val="18"/>
                <w:lang w:val="en-CA" w:eastAsia="en-CA"/>
              </w:rPr>
            </w:pPr>
            <w:r w:rsidRPr="006F0BB0">
              <w:rPr>
                <w:sz w:val="18"/>
                <w:szCs w:val="18"/>
              </w:rPr>
              <w:t>4 034 928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F1ABDD7" w14:textId="77777777" w:rsidR="006F0BB0" w:rsidRPr="006F0BB0" w:rsidRDefault="006F0BB0" w:rsidP="007D1DBA">
            <w:pPr>
              <w:jc w:val="right"/>
              <w:rPr>
                <w:sz w:val="18"/>
                <w:szCs w:val="18"/>
                <w:lang w:val="en-CA" w:eastAsia="en-CA"/>
              </w:rPr>
            </w:pPr>
            <w:r w:rsidRPr="006F0BB0">
              <w:rPr>
                <w:sz w:val="18"/>
                <w:szCs w:val="18"/>
              </w:rPr>
              <w:t>4 438 421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FF1AC7C" w14:textId="77777777" w:rsidR="006F0BB0" w:rsidRPr="006F0BB0" w:rsidRDefault="006F0BB0" w:rsidP="007D1DBA">
            <w:pPr>
              <w:jc w:val="right"/>
              <w:rPr>
                <w:sz w:val="18"/>
                <w:szCs w:val="18"/>
                <w:lang w:val="en-CA" w:eastAsia="en-CA"/>
              </w:rPr>
            </w:pPr>
            <w:r w:rsidRPr="006F0BB0">
              <w:rPr>
                <w:sz w:val="18"/>
                <w:szCs w:val="18"/>
              </w:rPr>
              <w:t>3 344 756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72E08B" w14:textId="77777777" w:rsidR="006F0BB0" w:rsidRPr="006F0BB0" w:rsidRDefault="006F0BB0" w:rsidP="007D1DBA">
            <w:pPr>
              <w:jc w:val="right"/>
              <w:rPr>
                <w:sz w:val="18"/>
                <w:szCs w:val="18"/>
                <w:lang w:val="en-CA" w:eastAsia="en-CA"/>
              </w:rPr>
            </w:pPr>
            <w:r w:rsidRPr="006F0BB0">
              <w:rPr>
                <w:sz w:val="18"/>
                <w:szCs w:val="18"/>
              </w:rPr>
              <w:t>4 275 467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31D29FD" w14:textId="77777777" w:rsidR="006F0BB0" w:rsidRPr="006F0BB0" w:rsidRDefault="006F0BB0" w:rsidP="007D1DBA">
            <w:pPr>
              <w:jc w:val="right"/>
              <w:rPr>
                <w:sz w:val="18"/>
                <w:szCs w:val="18"/>
                <w:lang w:val="en-CA" w:eastAsia="en-CA"/>
              </w:rPr>
            </w:pPr>
            <w:r w:rsidRPr="006F0BB0">
              <w:rPr>
                <w:sz w:val="18"/>
                <w:szCs w:val="18"/>
              </w:rPr>
              <w:t>103,8%</w:t>
            </w:r>
          </w:p>
        </w:tc>
      </w:tr>
      <w:tr w:rsidR="006F0BB0" w:rsidRPr="006F0BB0" w14:paraId="5D35BB3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EE2EE0F" w14:textId="77777777" w:rsidR="006F0BB0" w:rsidRPr="006F0BB0" w:rsidRDefault="006F0BB0" w:rsidP="007D1DBA">
            <w:pPr>
              <w:jc w:val="left"/>
              <w:rPr>
                <w:sz w:val="18"/>
                <w:szCs w:val="18"/>
                <w:lang w:val="en-CA" w:eastAsia="en-CA"/>
              </w:rPr>
            </w:pPr>
            <w:r w:rsidRPr="006F0BB0">
              <w:rPr>
                <w:sz w:val="18"/>
                <w:szCs w:val="18"/>
                <w:lang w:val="en-CA" w:eastAsia="en-CA"/>
              </w:rPr>
              <w:t>Benin</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2D3651B" w14:textId="77777777" w:rsidR="006F0BB0" w:rsidRPr="006F0BB0" w:rsidRDefault="006F0BB0" w:rsidP="007D1DBA">
            <w:pPr>
              <w:jc w:val="right"/>
              <w:rPr>
                <w:sz w:val="18"/>
                <w:szCs w:val="18"/>
                <w:lang w:val="en-CA" w:eastAsia="en-CA"/>
              </w:rPr>
            </w:pPr>
            <w:r w:rsidRPr="006F0BB0">
              <w:rPr>
                <w:sz w:val="18"/>
                <w:szCs w:val="18"/>
              </w:rPr>
              <w:t>1 507 956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2DA845D" w14:textId="77777777" w:rsidR="006F0BB0" w:rsidRPr="006F0BB0" w:rsidRDefault="006F0BB0" w:rsidP="007D1DBA">
            <w:pPr>
              <w:jc w:val="right"/>
              <w:rPr>
                <w:sz w:val="18"/>
                <w:szCs w:val="18"/>
                <w:lang w:val="en-CA" w:eastAsia="en-CA"/>
              </w:rPr>
            </w:pPr>
            <w:r w:rsidRPr="006F0BB0">
              <w:rPr>
                <w:sz w:val="18"/>
                <w:szCs w:val="18"/>
              </w:rPr>
              <w:t>1 658 752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414CF88" w14:textId="77777777" w:rsidR="006F0BB0" w:rsidRPr="006F0BB0" w:rsidRDefault="006F0BB0" w:rsidP="007D1DBA">
            <w:pPr>
              <w:jc w:val="right"/>
              <w:rPr>
                <w:sz w:val="18"/>
                <w:szCs w:val="18"/>
                <w:lang w:val="en-CA" w:eastAsia="en-CA"/>
              </w:rPr>
            </w:pPr>
            <w:r w:rsidRPr="006F0BB0">
              <w:rPr>
                <w:sz w:val="18"/>
                <w:szCs w:val="18"/>
              </w:rPr>
              <w:t>1 824 627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D6A7609" w14:textId="77777777" w:rsidR="006F0BB0" w:rsidRPr="006F0BB0" w:rsidRDefault="006F0BB0" w:rsidP="007D1DBA">
            <w:pPr>
              <w:jc w:val="right"/>
              <w:rPr>
                <w:sz w:val="18"/>
                <w:szCs w:val="18"/>
                <w:lang w:val="en-CA" w:eastAsia="en-CA"/>
              </w:rPr>
            </w:pPr>
            <w:r w:rsidRPr="006F0BB0">
              <w:rPr>
                <w:sz w:val="18"/>
                <w:szCs w:val="18"/>
              </w:rPr>
              <w:t>2 007 089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83F2B1C" w14:textId="77777777" w:rsidR="006F0BB0" w:rsidRPr="006F0BB0" w:rsidRDefault="006F0BB0" w:rsidP="007D1DBA">
            <w:pPr>
              <w:jc w:val="right"/>
              <w:rPr>
                <w:sz w:val="18"/>
                <w:szCs w:val="18"/>
                <w:lang w:val="en-CA" w:eastAsia="en-CA"/>
              </w:rPr>
            </w:pPr>
            <w:r w:rsidRPr="006F0BB0">
              <w:rPr>
                <w:sz w:val="18"/>
                <w:szCs w:val="18"/>
              </w:rPr>
              <w:t>2 207 798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A65A41F" w14:textId="77777777" w:rsidR="006F0BB0" w:rsidRPr="006F0BB0" w:rsidRDefault="006F0BB0" w:rsidP="007D1DBA">
            <w:pPr>
              <w:jc w:val="right"/>
              <w:rPr>
                <w:sz w:val="18"/>
                <w:szCs w:val="18"/>
                <w:lang w:val="en-CA" w:eastAsia="en-CA"/>
              </w:rPr>
            </w:pPr>
            <w:r w:rsidRPr="006F0BB0">
              <w:rPr>
                <w:sz w:val="18"/>
                <w:szCs w:val="18"/>
              </w:rPr>
              <w:t>2 428 578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855EFA9" w14:textId="77777777" w:rsidR="006F0BB0" w:rsidRPr="006F0BB0" w:rsidRDefault="006F0BB0" w:rsidP="007D1DBA">
            <w:pPr>
              <w:jc w:val="right"/>
              <w:rPr>
                <w:sz w:val="18"/>
                <w:szCs w:val="18"/>
                <w:lang w:val="en-CA" w:eastAsia="en-CA"/>
              </w:rPr>
            </w:pPr>
            <w:r w:rsidRPr="006F0BB0">
              <w:rPr>
                <w:sz w:val="18"/>
                <w:szCs w:val="18"/>
              </w:rPr>
              <w:t>1 830 156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3D7FB4A" w14:textId="77777777" w:rsidR="006F0BB0" w:rsidRPr="006F0BB0" w:rsidRDefault="006F0BB0" w:rsidP="007D1DBA">
            <w:pPr>
              <w:jc w:val="right"/>
              <w:rPr>
                <w:sz w:val="18"/>
                <w:szCs w:val="18"/>
                <w:lang w:val="en-CA" w:eastAsia="en-CA"/>
              </w:rPr>
            </w:pPr>
            <w:r w:rsidRPr="006F0BB0">
              <w:rPr>
                <w:sz w:val="18"/>
                <w:szCs w:val="18"/>
              </w:rPr>
              <w:t>2 339 004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FD01801" w14:textId="77777777" w:rsidR="006F0BB0" w:rsidRPr="006F0BB0" w:rsidRDefault="006F0BB0" w:rsidP="007D1DBA">
            <w:pPr>
              <w:jc w:val="right"/>
              <w:rPr>
                <w:sz w:val="18"/>
                <w:szCs w:val="18"/>
                <w:lang w:val="en-CA" w:eastAsia="en-CA"/>
              </w:rPr>
            </w:pPr>
            <w:r w:rsidRPr="006F0BB0">
              <w:rPr>
                <w:sz w:val="18"/>
                <w:szCs w:val="18"/>
              </w:rPr>
              <w:t>103,8%</w:t>
            </w:r>
          </w:p>
        </w:tc>
      </w:tr>
      <w:tr w:rsidR="006F0BB0" w:rsidRPr="006F0BB0" w14:paraId="008AA95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15B6F63" w14:textId="77777777" w:rsidR="006F0BB0" w:rsidRPr="006F0BB0" w:rsidRDefault="006F0BB0" w:rsidP="007D1DBA">
            <w:pPr>
              <w:jc w:val="left"/>
              <w:rPr>
                <w:sz w:val="18"/>
                <w:szCs w:val="18"/>
                <w:lang w:val="en-CA" w:eastAsia="en-CA"/>
              </w:rPr>
            </w:pPr>
            <w:r w:rsidRPr="006F0BB0">
              <w:rPr>
                <w:sz w:val="18"/>
                <w:szCs w:val="18"/>
                <w:lang w:val="en-CA" w:eastAsia="en-CA"/>
              </w:rPr>
              <w:t>Oman</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BCD1D54" w14:textId="77777777" w:rsidR="006F0BB0" w:rsidRPr="006F0BB0" w:rsidRDefault="006F0BB0" w:rsidP="007D1DBA">
            <w:pPr>
              <w:jc w:val="right"/>
              <w:rPr>
                <w:sz w:val="18"/>
                <w:szCs w:val="18"/>
                <w:lang w:val="en-CA" w:eastAsia="en-CA"/>
              </w:rPr>
            </w:pPr>
            <w:r w:rsidRPr="006F0BB0">
              <w:rPr>
                <w:sz w:val="18"/>
                <w:szCs w:val="18"/>
              </w:rPr>
              <w:t>1 988 072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6EAFCCD" w14:textId="77777777" w:rsidR="006F0BB0" w:rsidRPr="006F0BB0" w:rsidRDefault="006F0BB0" w:rsidP="007D1DBA">
            <w:pPr>
              <w:jc w:val="right"/>
              <w:rPr>
                <w:sz w:val="18"/>
                <w:szCs w:val="18"/>
                <w:lang w:val="en-CA" w:eastAsia="en-CA"/>
              </w:rPr>
            </w:pPr>
            <w:r w:rsidRPr="006F0BB0">
              <w:rPr>
                <w:sz w:val="18"/>
                <w:szCs w:val="18"/>
              </w:rPr>
              <w:t>2 186 879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FF123C8" w14:textId="77777777" w:rsidR="006F0BB0" w:rsidRPr="006F0BB0" w:rsidRDefault="006F0BB0" w:rsidP="007D1DBA">
            <w:pPr>
              <w:jc w:val="right"/>
              <w:rPr>
                <w:sz w:val="18"/>
                <w:szCs w:val="18"/>
                <w:lang w:val="en-CA" w:eastAsia="en-CA"/>
              </w:rPr>
            </w:pPr>
            <w:r w:rsidRPr="006F0BB0">
              <w:rPr>
                <w:sz w:val="18"/>
                <w:szCs w:val="18"/>
              </w:rPr>
              <w:t>2 405 567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0F68B4B" w14:textId="77777777" w:rsidR="006F0BB0" w:rsidRPr="006F0BB0" w:rsidRDefault="006F0BB0" w:rsidP="007D1DBA">
            <w:pPr>
              <w:jc w:val="right"/>
              <w:rPr>
                <w:sz w:val="18"/>
                <w:szCs w:val="18"/>
                <w:lang w:val="en-CA" w:eastAsia="en-CA"/>
              </w:rPr>
            </w:pPr>
            <w:r w:rsidRPr="006F0BB0">
              <w:rPr>
                <w:sz w:val="18"/>
                <w:szCs w:val="18"/>
              </w:rPr>
              <w:t>2 646 124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D4A9BB4" w14:textId="77777777" w:rsidR="006F0BB0" w:rsidRPr="006F0BB0" w:rsidRDefault="006F0BB0" w:rsidP="007D1DBA">
            <w:pPr>
              <w:jc w:val="right"/>
              <w:rPr>
                <w:sz w:val="18"/>
                <w:szCs w:val="18"/>
                <w:lang w:val="en-CA" w:eastAsia="en-CA"/>
              </w:rPr>
            </w:pPr>
            <w:r w:rsidRPr="006F0BB0">
              <w:rPr>
                <w:sz w:val="18"/>
                <w:szCs w:val="18"/>
              </w:rPr>
              <w:t>2 910 736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24431F7" w14:textId="77777777" w:rsidR="006F0BB0" w:rsidRPr="006F0BB0" w:rsidRDefault="006F0BB0" w:rsidP="007D1DBA">
            <w:pPr>
              <w:jc w:val="right"/>
              <w:rPr>
                <w:sz w:val="18"/>
                <w:szCs w:val="18"/>
                <w:lang w:val="en-CA" w:eastAsia="en-CA"/>
              </w:rPr>
            </w:pPr>
            <w:r w:rsidRPr="006F0BB0">
              <w:rPr>
                <w:sz w:val="18"/>
                <w:szCs w:val="18"/>
              </w:rPr>
              <w:t>3 201 810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D3DA7F2" w14:textId="77777777" w:rsidR="006F0BB0" w:rsidRPr="006F0BB0" w:rsidRDefault="006F0BB0" w:rsidP="007D1DBA">
            <w:pPr>
              <w:jc w:val="right"/>
              <w:rPr>
                <w:sz w:val="18"/>
                <w:szCs w:val="18"/>
                <w:lang w:val="en-CA" w:eastAsia="en-CA"/>
              </w:rPr>
            </w:pPr>
            <w:r w:rsidRPr="006F0BB0">
              <w:rPr>
                <w:sz w:val="18"/>
                <w:szCs w:val="18"/>
              </w:rPr>
              <w:t>2 412 857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160D93D" w14:textId="77777777" w:rsidR="006F0BB0" w:rsidRPr="006F0BB0" w:rsidRDefault="006F0BB0" w:rsidP="007D1DBA">
            <w:pPr>
              <w:jc w:val="right"/>
              <w:rPr>
                <w:sz w:val="18"/>
                <w:szCs w:val="18"/>
                <w:lang w:val="en-CA" w:eastAsia="en-CA"/>
              </w:rPr>
            </w:pPr>
            <w:r w:rsidRPr="006F0BB0">
              <w:rPr>
                <w:sz w:val="18"/>
                <w:szCs w:val="18"/>
              </w:rPr>
              <w:t>3 068 180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B7AC956" w14:textId="77777777" w:rsidR="006F0BB0" w:rsidRPr="006F0BB0" w:rsidRDefault="006F0BB0" w:rsidP="007D1DBA">
            <w:pPr>
              <w:jc w:val="right"/>
              <w:rPr>
                <w:sz w:val="18"/>
                <w:szCs w:val="18"/>
                <w:lang w:val="en-CA" w:eastAsia="en-CA"/>
              </w:rPr>
            </w:pPr>
            <w:r w:rsidRPr="006F0BB0">
              <w:rPr>
                <w:sz w:val="18"/>
                <w:szCs w:val="18"/>
              </w:rPr>
              <w:t>104,4%</w:t>
            </w:r>
          </w:p>
        </w:tc>
      </w:tr>
      <w:tr w:rsidR="006F0BB0" w:rsidRPr="006F0BB0" w14:paraId="547AA41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28FDBFA" w14:textId="77777777" w:rsidR="006F0BB0" w:rsidRPr="006F0BB0" w:rsidRDefault="006F0BB0" w:rsidP="007D1DBA">
            <w:pPr>
              <w:jc w:val="left"/>
              <w:rPr>
                <w:sz w:val="18"/>
                <w:szCs w:val="18"/>
                <w:lang w:val="en-CA" w:eastAsia="en-CA"/>
              </w:rPr>
            </w:pPr>
            <w:r w:rsidRPr="006F0BB0">
              <w:rPr>
                <w:sz w:val="18"/>
                <w:szCs w:val="18"/>
                <w:lang w:val="en-CA" w:eastAsia="en-CA"/>
              </w:rPr>
              <w:t>Suriname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3F6F072" w14:textId="77777777" w:rsidR="006F0BB0" w:rsidRPr="006F0BB0" w:rsidRDefault="006F0BB0" w:rsidP="007D1DBA">
            <w:pPr>
              <w:jc w:val="right"/>
              <w:rPr>
                <w:sz w:val="18"/>
                <w:szCs w:val="18"/>
                <w:lang w:val="en-CA" w:eastAsia="en-CA"/>
              </w:rPr>
            </w:pPr>
            <w:r w:rsidRPr="006F0BB0">
              <w:rPr>
                <w:sz w:val="18"/>
                <w:szCs w:val="18"/>
              </w:rPr>
              <w:t>132 696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373168F" w14:textId="77777777" w:rsidR="006F0BB0" w:rsidRPr="006F0BB0" w:rsidRDefault="006F0BB0" w:rsidP="007D1DBA">
            <w:pPr>
              <w:jc w:val="right"/>
              <w:rPr>
                <w:sz w:val="18"/>
                <w:szCs w:val="18"/>
                <w:lang w:val="en-CA" w:eastAsia="en-CA"/>
              </w:rPr>
            </w:pPr>
            <w:r w:rsidRPr="006F0BB0">
              <w:rPr>
                <w:sz w:val="18"/>
                <w:szCs w:val="18"/>
              </w:rPr>
              <w:t>145 966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135614A" w14:textId="77777777" w:rsidR="006F0BB0" w:rsidRPr="006F0BB0" w:rsidRDefault="006F0BB0" w:rsidP="007D1DBA">
            <w:pPr>
              <w:jc w:val="right"/>
              <w:rPr>
                <w:sz w:val="18"/>
                <w:szCs w:val="18"/>
                <w:lang w:val="en-CA" w:eastAsia="en-CA"/>
              </w:rPr>
            </w:pPr>
            <w:r w:rsidRPr="006F0BB0">
              <w:rPr>
                <w:sz w:val="18"/>
                <w:szCs w:val="18"/>
              </w:rPr>
              <w:t>160 562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7E218BF" w14:textId="77777777" w:rsidR="006F0BB0" w:rsidRPr="006F0BB0" w:rsidRDefault="006F0BB0" w:rsidP="007D1DBA">
            <w:pPr>
              <w:jc w:val="right"/>
              <w:rPr>
                <w:sz w:val="18"/>
                <w:szCs w:val="18"/>
                <w:lang w:val="en-CA" w:eastAsia="en-CA"/>
              </w:rPr>
            </w:pPr>
            <w:r w:rsidRPr="006F0BB0">
              <w:rPr>
                <w:sz w:val="18"/>
                <w:szCs w:val="18"/>
              </w:rPr>
              <w:t>176 618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7DC0817" w14:textId="77777777" w:rsidR="006F0BB0" w:rsidRPr="006F0BB0" w:rsidRDefault="006F0BB0" w:rsidP="007D1DBA">
            <w:pPr>
              <w:jc w:val="right"/>
              <w:rPr>
                <w:sz w:val="18"/>
                <w:szCs w:val="18"/>
                <w:lang w:val="en-CA" w:eastAsia="en-CA"/>
              </w:rPr>
            </w:pPr>
            <w:r w:rsidRPr="006F0BB0">
              <w:rPr>
                <w:sz w:val="18"/>
                <w:szCs w:val="18"/>
              </w:rPr>
              <w:t>194 280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F2F36BE" w14:textId="77777777" w:rsidR="006F0BB0" w:rsidRPr="006F0BB0" w:rsidRDefault="006F0BB0" w:rsidP="007D1DBA">
            <w:pPr>
              <w:jc w:val="right"/>
              <w:rPr>
                <w:sz w:val="18"/>
                <w:szCs w:val="18"/>
                <w:lang w:val="en-CA" w:eastAsia="en-CA"/>
              </w:rPr>
            </w:pPr>
            <w:r w:rsidRPr="006F0BB0">
              <w:rPr>
                <w:sz w:val="18"/>
                <w:szCs w:val="18"/>
              </w:rPr>
              <w:t>213 708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153EF70" w14:textId="77777777" w:rsidR="006F0BB0" w:rsidRPr="006F0BB0" w:rsidRDefault="006F0BB0" w:rsidP="007D1DBA">
            <w:pPr>
              <w:jc w:val="right"/>
              <w:rPr>
                <w:sz w:val="18"/>
                <w:szCs w:val="18"/>
                <w:lang w:val="en-CA" w:eastAsia="en-CA"/>
              </w:rPr>
            </w:pPr>
            <w:r w:rsidRPr="006F0BB0">
              <w:rPr>
                <w:sz w:val="18"/>
                <w:szCs w:val="18"/>
              </w:rPr>
              <w:t>161 049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C15826A" w14:textId="77777777" w:rsidR="006F0BB0" w:rsidRPr="006F0BB0" w:rsidRDefault="006F0BB0" w:rsidP="007D1DBA">
            <w:pPr>
              <w:jc w:val="right"/>
              <w:rPr>
                <w:sz w:val="18"/>
                <w:szCs w:val="18"/>
                <w:lang w:val="en-CA" w:eastAsia="en-CA"/>
              </w:rPr>
            </w:pPr>
            <w:r w:rsidRPr="006F0BB0">
              <w:rPr>
                <w:sz w:val="18"/>
                <w:szCs w:val="18"/>
              </w:rPr>
              <w:t>203 442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038F778" w14:textId="77777777" w:rsidR="006F0BB0" w:rsidRPr="006F0BB0" w:rsidRDefault="006F0BB0" w:rsidP="007D1DBA">
            <w:pPr>
              <w:jc w:val="right"/>
              <w:rPr>
                <w:sz w:val="18"/>
                <w:szCs w:val="18"/>
                <w:lang w:val="en-CA" w:eastAsia="en-CA"/>
              </w:rPr>
            </w:pPr>
            <w:r w:rsidRPr="006F0BB0">
              <w:rPr>
                <w:sz w:val="18"/>
                <w:szCs w:val="18"/>
              </w:rPr>
              <w:t>105,0%</w:t>
            </w:r>
          </w:p>
        </w:tc>
      </w:tr>
      <w:tr w:rsidR="006F0BB0" w:rsidRPr="006F0BB0" w14:paraId="4916BF7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FF4E22F"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Etiopía</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096263F" w14:textId="77777777" w:rsidR="006F0BB0" w:rsidRPr="006F0BB0" w:rsidRDefault="006F0BB0" w:rsidP="007D1DBA">
            <w:pPr>
              <w:jc w:val="right"/>
              <w:rPr>
                <w:sz w:val="18"/>
                <w:szCs w:val="18"/>
                <w:lang w:val="en-CA" w:eastAsia="en-CA"/>
              </w:rPr>
            </w:pPr>
            <w:r w:rsidRPr="006F0BB0">
              <w:rPr>
                <w:sz w:val="18"/>
                <w:szCs w:val="18"/>
              </w:rPr>
              <w:t>369 744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4644C9" w14:textId="77777777" w:rsidR="006F0BB0" w:rsidRPr="006F0BB0" w:rsidRDefault="006F0BB0" w:rsidP="007D1DBA">
            <w:pPr>
              <w:jc w:val="right"/>
              <w:rPr>
                <w:sz w:val="18"/>
                <w:szCs w:val="18"/>
                <w:lang w:val="en-CA" w:eastAsia="en-CA"/>
              </w:rPr>
            </w:pPr>
            <w:r w:rsidRPr="006F0BB0">
              <w:rPr>
                <w:sz w:val="18"/>
                <w:szCs w:val="18"/>
              </w:rPr>
              <w:t>406 718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1C99D46" w14:textId="77777777" w:rsidR="006F0BB0" w:rsidRPr="006F0BB0" w:rsidRDefault="006F0BB0" w:rsidP="007D1DBA">
            <w:pPr>
              <w:jc w:val="right"/>
              <w:rPr>
                <w:sz w:val="18"/>
                <w:szCs w:val="18"/>
                <w:lang w:val="en-CA" w:eastAsia="en-CA"/>
              </w:rPr>
            </w:pPr>
            <w:r w:rsidRPr="006F0BB0">
              <w:rPr>
                <w:sz w:val="18"/>
                <w:szCs w:val="18"/>
              </w:rPr>
              <w:t>447 390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EA3607F" w14:textId="77777777" w:rsidR="006F0BB0" w:rsidRPr="006F0BB0" w:rsidRDefault="006F0BB0" w:rsidP="007D1DBA">
            <w:pPr>
              <w:jc w:val="right"/>
              <w:rPr>
                <w:sz w:val="18"/>
                <w:szCs w:val="18"/>
                <w:lang w:val="en-CA" w:eastAsia="en-CA"/>
              </w:rPr>
            </w:pPr>
            <w:r w:rsidRPr="006F0BB0">
              <w:rPr>
                <w:sz w:val="18"/>
                <w:szCs w:val="18"/>
              </w:rPr>
              <w:t>492 129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CB9A85A" w14:textId="77777777" w:rsidR="006F0BB0" w:rsidRPr="006F0BB0" w:rsidRDefault="006F0BB0" w:rsidP="007D1DBA">
            <w:pPr>
              <w:jc w:val="right"/>
              <w:rPr>
                <w:sz w:val="18"/>
                <w:szCs w:val="18"/>
                <w:lang w:val="en-CA" w:eastAsia="en-CA"/>
              </w:rPr>
            </w:pPr>
            <w:r w:rsidRPr="006F0BB0">
              <w:rPr>
                <w:sz w:val="18"/>
                <w:szCs w:val="18"/>
              </w:rPr>
              <w:t>541 342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97C51B8" w14:textId="77777777" w:rsidR="006F0BB0" w:rsidRPr="006F0BB0" w:rsidRDefault="006F0BB0" w:rsidP="007D1DBA">
            <w:pPr>
              <w:jc w:val="right"/>
              <w:rPr>
                <w:sz w:val="18"/>
                <w:szCs w:val="18"/>
                <w:lang w:val="en-CA" w:eastAsia="en-CA"/>
              </w:rPr>
            </w:pPr>
            <w:r w:rsidRPr="006F0BB0">
              <w:rPr>
                <w:sz w:val="18"/>
                <w:szCs w:val="18"/>
              </w:rPr>
              <w:t>595 476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157F58E" w14:textId="77777777" w:rsidR="006F0BB0" w:rsidRPr="006F0BB0" w:rsidRDefault="006F0BB0" w:rsidP="007D1DBA">
            <w:pPr>
              <w:jc w:val="right"/>
              <w:rPr>
                <w:sz w:val="18"/>
                <w:szCs w:val="18"/>
                <w:lang w:val="en-CA" w:eastAsia="en-CA"/>
              </w:rPr>
            </w:pPr>
            <w:r w:rsidRPr="006F0BB0">
              <w:rPr>
                <w:sz w:val="18"/>
                <w:szCs w:val="18"/>
              </w:rPr>
              <w:t>448 746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6743024" w14:textId="77777777" w:rsidR="006F0BB0" w:rsidRPr="006F0BB0" w:rsidRDefault="006F0BB0" w:rsidP="007D1DBA">
            <w:pPr>
              <w:jc w:val="right"/>
              <w:rPr>
                <w:sz w:val="18"/>
                <w:szCs w:val="18"/>
                <w:lang w:val="en-CA" w:eastAsia="en-CA"/>
              </w:rPr>
            </w:pPr>
            <w:r w:rsidRPr="006F0BB0">
              <w:rPr>
                <w:sz w:val="18"/>
                <w:szCs w:val="18"/>
              </w:rPr>
              <w:t>566 396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267899B" w14:textId="77777777" w:rsidR="006F0BB0" w:rsidRPr="006F0BB0" w:rsidRDefault="006F0BB0" w:rsidP="007D1DBA">
            <w:pPr>
              <w:jc w:val="right"/>
              <w:rPr>
                <w:sz w:val="18"/>
                <w:szCs w:val="18"/>
                <w:lang w:val="en-CA" w:eastAsia="en-CA"/>
              </w:rPr>
            </w:pPr>
            <w:r w:rsidRPr="006F0BB0">
              <w:rPr>
                <w:sz w:val="18"/>
                <w:szCs w:val="18"/>
              </w:rPr>
              <w:t>105,1%</w:t>
            </w:r>
          </w:p>
        </w:tc>
      </w:tr>
      <w:tr w:rsidR="006F0BB0" w:rsidRPr="006F0BB0" w14:paraId="07E1F40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8BB64D7" w14:textId="77777777" w:rsidR="006F0BB0" w:rsidRPr="006F0BB0" w:rsidRDefault="006F0BB0" w:rsidP="007D1DBA">
            <w:pPr>
              <w:jc w:val="left"/>
              <w:rPr>
                <w:sz w:val="18"/>
                <w:szCs w:val="18"/>
                <w:lang w:val="en-CA" w:eastAsia="en-CA"/>
              </w:rPr>
            </w:pPr>
            <w:r w:rsidRPr="006F0BB0">
              <w:rPr>
                <w:sz w:val="18"/>
                <w:szCs w:val="18"/>
                <w:lang w:val="en-CA" w:eastAsia="en-CA"/>
              </w:rPr>
              <w:t>Panama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8183937" w14:textId="77777777" w:rsidR="006F0BB0" w:rsidRPr="006F0BB0" w:rsidRDefault="006F0BB0" w:rsidP="007D1DBA">
            <w:pPr>
              <w:jc w:val="right"/>
              <w:rPr>
                <w:sz w:val="18"/>
                <w:szCs w:val="18"/>
                <w:lang w:val="en-CA" w:eastAsia="en-CA"/>
              </w:rPr>
            </w:pPr>
            <w:r w:rsidRPr="006F0BB0">
              <w:rPr>
                <w:sz w:val="18"/>
                <w:szCs w:val="18"/>
              </w:rPr>
              <w:t>1 565 901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57B3CA" w14:textId="77777777" w:rsidR="006F0BB0" w:rsidRPr="006F0BB0" w:rsidRDefault="006F0BB0" w:rsidP="007D1DBA">
            <w:pPr>
              <w:jc w:val="right"/>
              <w:rPr>
                <w:sz w:val="18"/>
                <w:szCs w:val="18"/>
                <w:lang w:val="en-CA" w:eastAsia="en-CA"/>
              </w:rPr>
            </w:pPr>
            <w:r w:rsidRPr="006F0BB0">
              <w:rPr>
                <w:sz w:val="18"/>
                <w:szCs w:val="18"/>
              </w:rPr>
              <w:t>1 722 491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3995127" w14:textId="77777777" w:rsidR="006F0BB0" w:rsidRPr="006F0BB0" w:rsidRDefault="006F0BB0" w:rsidP="007D1DBA">
            <w:pPr>
              <w:jc w:val="right"/>
              <w:rPr>
                <w:sz w:val="18"/>
                <w:szCs w:val="18"/>
                <w:lang w:val="en-CA" w:eastAsia="en-CA"/>
              </w:rPr>
            </w:pPr>
            <w:r w:rsidRPr="006F0BB0">
              <w:rPr>
                <w:sz w:val="18"/>
                <w:szCs w:val="18"/>
              </w:rPr>
              <w:t>1 894 740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BCB4047" w14:textId="77777777" w:rsidR="006F0BB0" w:rsidRPr="006F0BB0" w:rsidRDefault="006F0BB0" w:rsidP="007D1DBA">
            <w:pPr>
              <w:jc w:val="right"/>
              <w:rPr>
                <w:sz w:val="18"/>
                <w:szCs w:val="18"/>
                <w:lang w:val="en-CA" w:eastAsia="en-CA"/>
              </w:rPr>
            </w:pPr>
            <w:r w:rsidRPr="006F0BB0">
              <w:rPr>
                <w:sz w:val="18"/>
                <w:szCs w:val="18"/>
              </w:rPr>
              <w:t>2 084 214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F6DA7FB" w14:textId="77777777" w:rsidR="006F0BB0" w:rsidRPr="006F0BB0" w:rsidRDefault="006F0BB0" w:rsidP="007D1DBA">
            <w:pPr>
              <w:jc w:val="right"/>
              <w:rPr>
                <w:sz w:val="18"/>
                <w:szCs w:val="18"/>
                <w:lang w:val="en-CA" w:eastAsia="en-CA"/>
              </w:rPr>
            </w:pPr>
            <w:r w:rsidRPr="006F0BB0">
              <w:rPr>
                <w:sz w:val="18"/>
                <w:szCs w:val="18"/>
              </w:rPr>
              <w:t>2 292 636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CD206E5" w14:textId="77777777" w:rsidR="006F0BB0" w:rsidRPr="006F0BB0" w:rsidRDefault="006F0BB0" w:rsidP="007D1DBA">
            <w:pPr>
              <w:jc w:val="right"/>
              <w:rPr>
                <w:sz w:val="18"/>
                <w:szCs w:val="18"/>
                <w:lang w:val="en-CA" w:eastAsia="en-CA"/>
              </w:rPr>
            </w:pPr>
            <w:r w:rsidRPr="006F0BB0">
              <w:rPr>
                <w:sz w:val="18"/>
                <w:szCs w:val="18"/>
              </w:rPr>
              <w:t>2 521 899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05F80AB" w14:textId="77777777" w:rsidR="006F0BB0" w:rsidRPr="006F0BB0" w:rsidRDefault="006F0BB0" w:rsidP="007D1DBA">
            <w:pPr>
              <w:jc w:val="right"/>
              <w:rPr>
                <w:sz w:val="18"/>
                <w:szCs w:val="18"/>
                <w:lang w:val="en-CA" w:eastAsia="en-CA"/>
              </w:rPr>
            </w:pPr>
            <w:r w:rsidRPr="006F0BB0">
              <w:rPr>
                <w:sz w:val="18"/>
                <w:szCs w:val="18"/>
              </w:rPr>
              <w:t>1 900 482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AD7F52B" w14:textId="77777777" w:rsidR="006F0BB0" w:rsidRPr="006F0BB0" w:rsidRDefault="006F0BB0" w:rsidP="007D1DBA">
            <w:pPr>
              <w:jc w:val="right"/>
              <w:rPr>
                <w:sz w:val="18"/>
                <w:szCs w:val="18"/>
                <w:lang w:val="en-CA" w:eastAsia="en-CA"/>
              </w:rPr>
            </w:pPr>
            <w:r w:rsidRPr="006F0BB0">
              <w:rPr>
                <w:sz w:val="18"/>
                <w:szCs w:val="18"/>
              </w:rPr>
              <w:t>2 390 074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9E52C52" w14:textId="77777777" w:rsidR="006F0BB0" w:rsidRPr="006F0BB0" w:rsidRDefault="006F0BB0" w:rsidP="007D1DBA">
            <w:pPr>
              <w:jc w:val="right"/>
              <w:rPr>
                <w:sz w:val="18"/>
                <w:szCs w:val="18"/>
                <w:lang w:val="en-CA" w:eastAsia="en-CA"/>
              </w:rPr>
            </w:pPr>
            <w:r w:rsidRPr="006F0BB0">
              <w:rPr>
                <w:sz w:val="18"/>
                <w:szCs w:val="18"/>
              </w:rPr>
              <w:t>105,5%</w:t>
            </w:r>
          </w:p>
        </w:tc>
      </w:tr>
      <w:tr w:rsidR="006F0BB0" w:rsidRPr="006F0BB0" w14:paraId="1DC96A87"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25B406F" w14:textId="77777777" w:rsidR="006F0BB0" w:rsidRPr="006F0BB0" w:rsidRDefault="006F0BB0" w:rsidP="007D1DBA">
            <w:pPr>
              <w:jc w:val="left"/>
              <w:rPr>
                <w:sz w:val="18"/>
                <w:szCs w:val="18"/>
                <w:lang w:val="en-CA" w:eastAsia="en-CA"/>
              </w:rPr>
            </w:pPr>
            <w:r w:rsidRPr="006F0BB0">
              <w:rPr>
                <w:sz w:val="18"/>
                <w:szCs w:val="18"/>
                <w:lang w:val="en-CA" w:eastAsia="en-CA"/>
              </w:rPr>
              <w:t>Filipinas</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1C382EC" w14:textId="77777777" w:rsidR="006F0BB0" w:rsidRPr="006F0BB0" w:rsidRDefault="006F0BB0" w:rsidP="007D1DBA">
            <w:pPr>
              <w:jc w:val="right"/>
              <w:rPr>
                <w:sz w:val="18"/>
                <w:szCs w:val="18"/>
                <w:lang w:val="en-CA" w:eastAsia="en-CA"/>
              </w:rPr>
            </w:pPr>
            <w:r w:rsidRPr="006F0BB0">
              <w:rPr>
                <w:sz w:val="18"/>
                <w:szCs w:val="18"/>
              </w:rPr>
              <w:t>8 143 976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4824BBD" w14:textId="77777777" w:rsidR="006F0BB0" w:rsidRPr="006F0BB0" w:rsidRDefault="006F0BB0" w:rsidP="007D1DBA">
            <w:pPr>
              <w:jc w:val="right"/>
              <w:rPr>
                <w:sz w:val="18"/>
                <w:szCs w:val="18"/>
                <w:lang w:val="en-CA" w:eastAsia="en-CA"/>
              </w:rPr>
            </w:pPr>
            <w:r w:rsidRPr="006F0BB0">
              <w:rPr>
                <w:sz w:val="18"/>
                <w:szCs w:val="18"/>
              </w:rPr>
              <w:t>8 958 374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5A05E62" w14:textId="77777777" w:rsidR="006F0BB0" w:rsidRPr="006F0BB0" w:rsidRDefault="006F0BB0" w:rsidP="007D1DBA">
            <w:pPr>
              <w:jc w:val="right"/>
              <w:rPr>
                <w:sz w:val="18"/>
                <w:szCs w:val="18"/>
                <w:lang w:val="en-CA" w:eastAsia="en-CA"/>
              </w:rPr>
            </w:pPr>
            <w:r w:rsidRPr="006F0BB0">
              <w:rPr>
                <w:sz w:val="18"/>
                <w:szCs w:val="18"/>
              </w:rPr>
              <w:t>9 854 211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451A7CD" w14:textId="77777777" w:rsidR="006F0BB0" w:rsidRPr="006F0BB0" w:rsidRDefault="006F0BB0" w:rsidP="007D1DBA">
            <w:pPr>
              <w:jc w:val="right"/>
              <w:rPr>
                <w:sz w:val="18"/>
                <w:szCs w:val="18"/>
                <w:lang w:val="en-CA" w:eastAsia="en-CA"/>
              </w:rPr>
            </w:pPr>
            <w:r w:rsidRPr="006F0BB0">
              <w:rPr>
                <w:sz w:val="18"/>
                <w:szCs w:val="18"/>
              </w:rPr>
              <w:t>10 839 632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9F20EA" w14:textId="77777777" w:rsidR="006F0BB0" w:rsidRPr="006F0BB0" w:rsidRDefault="006F0BB0" w:rsidP="007D1DBA">
            <w:pPr>
              <w:jc w:val="right"/>
              <w:rPr>
                <w:sz w:val="18"/>
                <w:szCs w:val="18"/>
                <w:lang w:val="en-CA" w:eastAsia="en-CA"/>
              </w:rPr>
            </w:pPr>
            <w:r w:rsidRPr="006F0BB0">
              <w:rPr>
                <w:sz w:val="18"/>
                <w:szCs w:val="18"/>
              </w:rPr>
              <w:t>11 923 595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2BE88C0" w14:textId="77777777" w:rsidR="006F0BB0" w:rsidRPr="006F0BB0" w:rsidRDefault="006F0BB0" w:rsidP="007D1DBA">
            <w:pPr>
              <w:jc w:val="right"/>
              <w:rPr>
                <w:sz w:val="18"/>
                <w:szCs w:val="18"/>
                <w:lang w:val="en-CA" w:eastAsia="en-CA"/>
              </w:rPr>
            </w:pPr>
            <w:r w:rsidRPr="006F0BB0">
              <w:rPr>
                <w:sz w:val="18"/>
                <w:szCs w:val="18"/>
              </w:rPr>
              <w:t>13 115 955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290FC20" w14:textId="77777777" w:rsidR="006F0BB0" w:rsidRPr="006F0BB0" w:rsidRDefault="006F0BB0" w:rsidP="007D1DBA">
            <w:pPr>
              <w:jc w:val="right"/>
              <w:rPr>
                <w:sz w:val="18"/>
                <w:szCs w:val="18"/>
                <w:lang w:val="en-CA" w:eastAsia="en-CA"/>
              </w:rPr>
            </w:pPr>
            <w:r w:rsidRPr="006F0BB0">
              <w:rPr>
                <w:sz w:val="18"/>
                <w:szCs w:val="18"/>
              </w:rPr>
              <w:t>9 884 072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F253151" w14:textId="77777777" w:rsidR="006F0BB0" w:rsidRPr="006F0BB0" w:rsidRDefault="006F0BB0" w:rsidP="007D1DBA">
            <w:pPr>
              <w:jc w:val="right"/>
              <w:rPr>
                <w:sz w:val="18"/>
                <w:szCs w:val="18"/>
                <w:lang w:val="en-CA" w:eastAsia="en-CA"/>
              </w:rPr>
            </w:pPr>
            <w:r w:rsidRPr="006F0BB0">
              <w:rPr>
                <w:sz w:val="18"/>
                <w:szCs w:val="18"/>
              </w:rPr>
              <w:t>12 413 313</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0E1B429" w14:textId="77777777" w:rsidR="006F0BB0" w:rsidRPr="006F0BB0" w:rsidRDefault="006F0BB0" w:rsidP="007D1DBA">
            <w:pPr>
              <w:jc w:val="right"/>
              <w:rPr>
                <w:sz w:val="18"/>
                <w:szCs w:val="18"/>
                <w:lang w:val="en-CA" w:eastAsia="en-CA"/>
              </w:rPr>
            </w:pPr>
            <w:r w:rsidRPr="006F0BB0">
              <w:rPr>
                <w:sz w:val="18"/>
                <w:szCs w:val="18"/>
              </w:rPr>
              <w:t>105,7%</w:t>
            </w:r>
          </w:p>
        </w:tc>
      </w:tr>
      <w:tr w:rsidR="006F0BB0" w:rsidRPr="006F0BB0" w14:paraId="0C8EF4CF"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3088A98" w14:textId="77777777" w:rsidR="006F0BB0" w:rsidRPr="006F0BB0" w:rsidRDefault="006F0BB0" w:rsidP="007D1DBA">
            <w:pPr>
              <w:jc w:val="left"/>
              <w:rPr>
                <w:sz w:val="18"/>
                <w:szCs w:val="18"/>
                <w:lang w:val="en-CA" w:eastAsia="en-CA"/>
              </w:rPr>
            </w:pPr>
            <w:r w:rsidRPr="006F0BB0">
              <w:rPr>
                <w:sz w:val="18"/>
                <w:szCs w:val="18"/>
                <w:lang w:val="es-419" w:eastAsia="es-419"/>
              </w:rPr>
              <w:t>República Democrática Popular Lao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9B9C2FD" w14:textId="77777777" w:rsidR="006F0BB0" w:rsidRPr="006F0BB0" w:rsidRDefault="006F0BB0" w:rsidP="007D1DBA">
            <w:pPr>
              <w:jc w:val="right"/>
              <w:rPr>
                <w:sz w:val="18"/>
                <w:szCs w:val="18"/>
                <w:lang w:val="en-CA" w:eastAsia="en-CA"/>
              </w:rPr>
            </w:pPr>
            <w:r w:rsidRPr="006F0BB0">
              <w:rPr>
                <w:sz w:val="18"/>
                <w:szCs w:val="18"/>
              </w:rPr>
              <w:t>159 041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67A0840" w14:textId="77777777" w:rsidR="006F0BB0" w:rsidRPr="006F0BB0" w:rsidRDefault="006F0BB0" w:rsidP="007D1DBA">
            <w:pPr>
              <w:jc w:val="right"/>
              <w:rPr>
                <w:sz w:val="18"/>
                <w:szCs w:val="18"/>
                <w:lang w:val="en-CA" w:eastAsia="en-CA"/>
              </w:rPr>
            </w:pPr>
            <w:r w:rsidRPr="006F0BB0">
              <w:rPr>
                <w:sz w:val="18"/>
                <w:szCs w:val="18"/>
              </w:rPr>
              <w:t>174 945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29B5CC4" w14:textId="77777777" w:rsidR="006F0BB0" w:rsidRPr="006F0BB0" w:rsidRDefault="006F0BB0" w:rsidP="007D1DBA">
            <w:pPr>
              <w:jc w:val="right"/>
              <w:rPr>
                <w:sz w:val="18"/>
                <w:szCs w:val="18"/>
                <w:lang w:val="en-CA" w:eastAsia="en-CA"/>
              </w:rPr>
            </w:pPr>
            <w:r w:rsidRPr="006F0BB0">
              <w:rPr>
                <w:sz w:val="18"/>
                <w:szCs w:val="18"/>
              </w:rPr>
              <w:t>192 440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D4272B1" w14:textId="77777777" w:rsidR="006F0BB0" w:rsidRPr="006F0BB0" w:rsidRDefault="006F0BB0" w:rsidP="007D1DBA">
            <w:pPr>
              <w:jc w:val="right"/>
              <w:rPr>
                <w:sz w:val="18"/>
                <w:szCs w:val="18"/>
                <w:lang w:val="en-CA" w:eastAsia="en-CA"/>
              </w:rPr>
            </w:pPr>
            <w:r w:rsidRPr="006F0BB0">
              <w:rPr>
                <w:sz w:val="18"/>
                <w:szCs w:val="18"/>
              </w:rPr>
              <w:t>211 684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936BF94" w14:textId="77777777" w:rsidR="006F0BB0" w:rsidRPr="006F0BB0" w:rsidRDefault="006F0BB0" w:rsidP="007D1DBA">
            <w:pPr>
              <w:jc w:val="right"/>
              <w:rPr>
                <w:sz w:val="18"/>
                <w:szCs w:val="18"/>
                <w:lang w:val="en-CA" w:eastAsia="en-CA"/>
              </w:rPr>
            </w:pPr>
            <w:r w:rsidRPr="006F0BB0">
              <w:rPr>
                <w:sz w:val="18"/>
                <w:szCs w:val="18"/>
              </w:rPr>
              <w:t>232 852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46061FC" w14:textId="77777777" w:rsidR="006F0BB0" w:rsidRPr="006F0BB0" w:rsidRDefault="006F0BB0" w:rsidP="007D1DBA">
            <w:pPr>
              <w:jc w:val="right"/>
              <w:rPr>
                <w:sz w:val="18"/>
                <w:szCs w:val="18"/>
                <w:lang w:val="en-CA" w:eastAsia="en-CA"/>
              </w:rPr>
            </w:pPr>
            <w:r w:rsidRPr="006F0BB0">
              <w:rPr>
                <w:sz w:val="18"/>
                <w:szCs w:val="18"/>
              </w:rPr>
              <w:t>256 137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09BFCDA" w14:textId="77777777" w:rsidR="006F0BB0" w:rsidRPr="006F0BB0" w:rsidRDefault="006F0BB0" w:rsidP="007D1DBA">
            <w:pPr>
              <w:jc w:val="right"/>
              <w:rPr>
                <w:sz w:val="18"/>
                <w:szCs w:val="18"/>
                <w:lang w:val="en-CA" w:eastAsia="en-CA"/>
              </w:rPr>
            </w:pPr>
            <w:r w:rsidRPr="006F0BB0">
              <w:rPr>
                <w:sz w:val="18"/>
                <w:szCs w:val="18"/>
              </w:rPr>
              <w:t>193 023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B401E25" w14:textId="77777777" w:rsidR="006F0BB0" w:rsidRPr="006F0BB0" w:rsidRDefault="006F0BB0" w:rsidP="007D1DBA">
            <w:pPr>
              <w:jc w:val="right"/>
              <w:rPr>
                <w:sz w:val="18"/>
                <w:szCs w:val="18"/>
                <w:lang w:val="en-CA" w:eastAsia="en-CA"/>
              </w:rPr>
            </w:pPr>
            <w:r w:rsidRPr="006F0BB0">
              <w:rPr>
                <w:sz w:val="18"/>
                <w:szCs w:val="18"/>
              </w:rPr>
              <w:t>242 348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5D1614F" w14:textId="77777777" w:rsidR="006F0BB0" w:rsidRPr="006F0BB0" w:rsidRDefault="006F0BB0" w:rsidP="007D1DBA">
            <w:pPr>
              <w:jc w:val="right"/>
              <w:rPr>
                <w:sz w:val="18"/>
                <w:szCs w:val="18"/>
                <w:lang w:val="en-CA" w:eastAsia="en-CA"/>
              </w:rPr>
            </w:pPr>
            <w:r w:rsidRPr="006F0BB0">
              <w:rPr>
                <w:sz w:val="18"/>
                <w:szCs w:val="18"/>
              </w:rPr>
              <w:t>105,7%</w:t>
            </w:r>
          </w:p>
        </w:tc>
      </w:tr>
      <w:tr w:rsidR="006F0BB0" w:rsidRPr="006F0BB0" w14:paraId="2481E32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3526C42"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Turquía</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C100F9E" w14:textId="77777777" w:rsidR="006F0BB0" w:rsidRPr="006F0BB0" w:rsidRDefault="006F0BB0" w:rsidP="007D1DBA">
            <w:pPr>
              <w:jc w:val="right"/>
              <w:rPr>
                <w:sz w:val="18"/>
                <w:szCs w:val="18"/>
                <w:lang w:val="en-CA" w:eastAsia="en-CA"/>
              </w:rPr>
            </w:pPr>
            <w:r w:rsidRPr="006F0BB0">
              <w:rPr>
                <w:sz w:val="18"/>
                <w:szCs w:val="18"/>
              </w:rPr>
              <w:t>28 156 692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F3412F7" w14:textId="77777777" w:rsidR="006F0BB0" w:rsidRPr="006F0BB0" w:rsidRDefault="006F0BB0" w:rsidP="007D1DBA">
            <w:pPr>
              <w:jc w:val="right"/>
              <w:rPr>
                <w:sz w:val="18"/>
                <w:szCs w:val="18"/>
                <w:lang w:val="en-CA" w:eastAsia="en-CA"/>
              </w:rPr>
            </w:pPr>
            <w:r w:rsidRPr="006F0BB0">
              <w:rPr>
                <w:sz w:val="18"/>
                <w:szCs w:val="18"/>
              </w:rPr>
              <w:t>30 972 361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BC85D3B" w14:textId="77777777" w:rsidR="006F0BB0" w:rsidRPr="006F0BB0" w:rsidRDefault="006F0BB0" w:rsidP="007D1DBA">
            <w:pPr>
              <w:jc w:val="right"/>
              <w:rPr>
                <w:sz w:val="18"/>
                <w:szCs w:val="18"/>
                <w:lang w:val="en-CA" w:eastAsia="en-CA"/>
              </w:rPr>
            </w:pPr>
            <w:r w:rsidRPr="006F0BB0">
              <w:rPr>
                <w:sz w:val="18"/>
                <w:szCs w:val="18"/>
              </w:rPr>
              <w:t>34 069 597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0AD6F8E" w14:textId="77777777" w:rsidR="006F0BB0" w:rsidRPr="006F0BB0" w:rsidRDefault="006F0BB0" w:rsidP="007D1DBA">
            <w:pPr>
              <w:jc w:val="right"/>
              <w:rPr>
                <w:sz w:val="18"/>
                <w:szCs w:val="18"/>
                <w:lang w:val="en-CA" w:eastAsia="en-CA"/>
              </w:rPr>
            </w:pPr>
            <w:r w:rsidRPr="006F0BB0">
              <w:rPr>
                <w:sz w:val="18"/>
                <w:szCs w:val="18"/>
              </w:rPr>
              <w:t>37 476 557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89D9398" w14:textId="77777777" w:rsidR="006F0BB0" w:rsidRPr="006F0BB0" w:rsidRDefault="006F0BB0" w:rsidP="007D1DBA">
            <w:pPr>
              <w:jc w:val="right"/>
              <w:rPr>
                <w:sz w:val="18"/>
                <w:szCs w:val="18"/>
                <w:lang w:val="en-CA" w:eastAsia="en-CA"/>
              </w:rPr>
            </w:pPr>
            <w:r w:rsidRPr="006F0BB0">
              <w:rPr>
                <w:sz w:val="18"/>
                <w:szCs w:val="18"/>
              </w:rPr>
              <w:t>41 224 213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0341578" w14:textId="77777777" w:rsidR="006F0BB0" w:rsidRPr="006F0BB0" w:rsidRDefault="006F0BB0" w:rsidP="007D1DBA">
            <w:pPr>
              <w:jc w:val="right"/>
              <w:rPr>
                <w:sz w:val="18"/>
                <w:szCs w:val="18"/>
                <w:lang w:val="en-CA" w:eastAsia="en-CA"/>
              </w:rPr>
            </w:pPr>
            <w:r w:rsidRPr="006F0BB0">
              <w:rPr>
                <w:sz w:val="18"/>
                <w:szCs w:val="18"/>
              </w:rPr>
              <w:t>45 346 634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928821E" w14:textId="77777777" w:rsidR="006F0BB0" w:rsidRPr="006F0BB0" w:rsidRDefault="006F0BB0" w:rsidP="007D1DBA">
            <w:pPr>
              <w:jc w:val="right"/>
              <w:rPr>
                <w:sz w:val="18"/>
                <w:szCs w:val="18"/>
                <w:lang w:val="en-CA" w:eastAsia="en-CA"/>
              </w:rPr>
            </w:pPr>
            <w:r w:rsidRPr="006F0BB0">
              <w:rPr>
                <w:sz w:val="18"/>
                <w:szCs w:val="18"/>
              </w:rPr>
              <w:t>34 172 839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214BDD3" w14:textId="77777777" w:rsidR="006F0BB0" w:rsidRPr="006F0BB0" w:rsidRDefault="006F0BB0" w:rsidP="007D1DBA">
            <w:pPr>
              <w:jc w:val="right"/>
              <w:rPr>
                <w:sz w:val="18"/>
                <w:szCs w:val="18"/>
                <w:lang w:val="en-CA" w:eastAsia="en-CA"/>
              </w:rPr>
            </w:pPr>
            <w:r w:rsidRPr="006F0BB0">
              <w:rPr>
                <w:sz w:val="18"/>
                <w:szCs w:val="18"/>
              </w:rPr>
              <w:t>42 827 010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0C3041F" w14:textId="77777777" w:rsidR="006F0BB0" w:rsidRPr="006F0BB0" w:rsidRDefault="006F0BB0" w:rsidP="007D1DBA">
            <w:pPr>
              <w:jc w:val="right"/>
              <w:rPr>
                <w:sz w:val="18"/>
                <w:szCs w:val="18"/>
                <w:lang w:val="en-CA" w:eastAsia="en-CA"/>
              </w:rPr>
            </w:pPr>
            <w:r w:rsidRPr="006F0BB0">
              <w:rPr>
                <w:sz w:val="18"/>
                <w:szCs w:val="18"/>
              </w:rPr>
              <w:t>105,9%</w:t>
            </w:r>
          </w:p>
        </w:tc>
      </w:tr>
      <w:tr w:rsidR="006F0BB0" w:rsidRPr="006F0BB0" w14:paraId="6F286B7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5F3B9AA"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Brasil</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2268394" w14:textId="77777777" w:rsidR="006F0BB0" w:rsidRPr="006F0BB0" w:rsidRDefault="006F0BB0" w:rsidP="007D1DBA">
            <w:pPr>
              <w:jc w:val="right"/>
              <w:rPr>
                <w:sz w:val="18"/>
                <w:szCs w:val="18"/>
                <w:lang w:val="en-CA" w:eastAsia="en-CA"/>
              </w:rPr>
            </w:pPr>
            <w:r w:rsidRPr="006F0BB0">
              <w:rPr>
                <w:sz w:val="18"/>
                <w:szCs w:val="18"/>
              </w:rPr>
              <w:t>65 627 001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928FEB" w14:textId="77777777" w:rsidR="006F0BB0" w:rsidRPr="006F0BB0" w:rsidRDefault="006F0BB0" w:rsidP="007D1DBA">
            <w:pPr>
              <w:jc w:val="right"/>
              <w:rPr>
                <w:sz w:val="18"/>
                <w:szCs w:val="18"/>
                <w:lang w:val="en-CA" w:eastAsia="en-CA"/>
              </w:rPr>
            </w:pPr>
            <w:r w:rsidRPr="006F0BB0">
              <w:rPr>
                <w:sz w:val="18"/>
                <w:szCs w:val="18"/>
              </w:rPr>
              <w:t>72 189 701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3A80B55" w14:textId="77777777" w:rsidR="006F0BB0" w:rsidRPr="006F0BB0" w:rsidRDefault="006F0BB0" w:rsidP="007D1DBA">
            <w:pPr>
              <w:jc w:val="right"/>
              <w:rPr>
                <w:sz w:val="18"/>
                <w:szCs w:val="18"/>
                <w:lang w:val="en-CA" w:eastAsia="en-CA"/>
              </w:rPr>
            </w:pPr>
            <w:r w:rsidRPr="006F0BB0">
              <w:rPr>
                <w:sz w:val="18"/>
                <w:szCs w:val="18"/>
              </w:rPr>
              <w:t>79 408 671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0C77101" w14:textId="77777777" w:rsidR="006F0BB0" w:rsidRPr="006F0BB0" w:rsidRDefault="006F0BB0" w:rsidP="007D1DBA">
            <w:pPr>
              <w:jc w:val="right"/>
              <w:rPr>
                <w:sz w:val="18"/>
                <w:szCs w:val="18"/>
                <w:lang w:val="en-CA" w:eastAsia="en-CA"/>
              </w:rPr>
            </w:pPr>
            <w:r w:rsidRPr="006F0BB0">
              <w:rPr>
                <w:sz w:val="18"/>
                <w:szCs w:val="18"/>
              </w:rPr>
              <w:t>87 349 538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E4704E2" w14:textId="77777777" w:rsidR="006F0BB0" w:rsidRPr="006F0BB0" w:rsidRDefault="006F0BB0" w:rsidP="007D1DBA">
            <w:pPr>
              <w:jc w:val="right"/>
              <w:rPr>
                <w:sz w:val="18"/>
                <w:szCs w:val="18"/>
                <w:lang w:val="en-CA" w:eastAsia="en-CA"/>
              </w:rPr>
            </w:pPr>
            <w:r w:rsidRPr="006F0BB0">
              <w:rPr>
                <w:sz w:val="18"/>
                <w:szCs w:val="18"/>
              </w:rPr>
              <w:t>96 084 492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59343EB" w14:textId="77777777" w:rsidR="006F0BB0" w:rsidRPr="006F0BB0" w:rsidRDefault="006F0BB0" w:rsidP="007D1DBA">
            <w:pPr>
              <w:jc w:val="right"/>
              <w:rPr>
                <w:sz w:val="18"/>
                <w:szCs w:val="18"/>
                <w:lang w:val="en-CA" w:eastAsia="en-CA"/>
              </w:rPr>
            </w:pPr>
            <w:r w:rsidRPr="006F0BB0">
              <w:rPr>
                <w:sz w:val="18"/>
                <w:szCs w:val="18"/>
              </w:rPr>
              <w:t>105 692 941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DA164E9" w14:textId="77777777" w:rsidR="006F0BB0" w:rsidRPr="006F0BB0" w:rsidRDefault="006F0BB0" w:rsidP="007D1DBA">
            <w:pPr>
              <w:jc w:val="right"/>
              <w:rPr>
                <w:sz w:val="18"/>
                <w:szCs w:val="18"/>
                <w:lang w:val="en-CA" w:eastAsia="en-CA"/>
              </w:rPr>
            </w:pPr>
            <w:r w:rsidRPr="006F0BB0">
              <w:rPr>
                <w:sz w:val="18"/>
                <w:szCs w:val="18"/>
              </w:rPr>
              <w:t>79 649 304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3A936FA" w14:textId="77777777" w:rsidR="006F0BB0" w:rsidRPr="006F0BB0" w:rsidRDefault="006F0BB0" w:rsidP="007D1DBA">
            <w:pPr>
              <w:jc w:val="right"/>
              <w:rPr>
                <w:sz w:val="18"/>
                <w:szCs w:val="18"/>
                <w:lang w:val="en-CA" w:eastAsia="en-CA"/>
              </w:rPr>
            </w:pPr>
            <w:r w:rsidRPr="006F0BB0">
              <w:rPr>
                <w:sz w:val="18"/>
                <w:szCs w:val="18"/>
              </w:rPr>
              <w:t>98 955 866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DAF0A3B" w14:textId="77777777" w:rsidR="006F0BB0" w:rsidRPr="006F0BB0" w:rsidRDefault="006F0BB0" w:rsidP="007D1DBA">
            <w:pPr>
              <w:jc w:val="right"/>
              <w:rPr>
                <w:sz w:val="18"/>
                <w:szCs w:val="18"/>
                <w:lang w:val="en-CA" w:eastAsia="en-CA"/>
              </w:rPr>
            </w:pPr>
            <w:r w:rsidRPr="006F0BB0">
              <w:rPr>
                <w:sz w:val="18"/>
                <w:szCs w:val="18"/>
              </w:rPr>
              <w:t>106,8%</w:t>
            </w:r>
          </w:p>
        </w:tc>
      </w:tr>
      <w:tr w:rsidR="006F0BB0" w:rsidRPr="006F0BB0" w14:paraId="004BEC8B"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CAFEC7A" w14:textId="77777777" w:rsidR="006F0BB0" w:rsidRPr="006F0BB0" w:rsidRDefault="006F0BB0" w:rsidP="007D1DBA">
            <w:pPr>
              <w:jc w:val="left"/>
              <w:rPr>
                <w:sz w:val="18"/>
                <w:szCs w:val="18"/>
                <w:lang w:val="en-CA" w:eastAsia="en-CA"/>
              </w:rPr>
            </w:pPr>
            <w:r w:rsidRPr="006F0BB0">
              <w:rPr>
                <w:sz w:val="18"/>
                <w:szCs w:val="18"/>
                <w:lang w:val="en-CA" w:eastAsia="en-CA"/>
              </w:rPr>
              <w:t>Mauricio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40FF757" w14:textId="77777777" w:rsidR="006F0BB0" w:rsidRPr="006F0BB0" w:rsidRDefault="006F0BB0" w:rsidP="007D1DBA">
            <w:pPr>
              <w:jc w:val="right"/>
              <w:rPr>
                <w:sz w:val="18"/>
                <w:szCs w:val="18"/>
                <w:lang w:val="en-CA" w:eastAsia="en-CA"/>
              </w:rPr>
            </w:pPr>
            <w:r w:rsidRPr="006F0BB0">
              <w:rPr>
                <w:sz w:val="18"/>
                <w:szCs w:val="18"/>
              </w:rPr>
              <w:t>587 594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390712F" w14:textId="77777777" w:rsidR="006F0BB0" w:rsidRPr="006F0BB0" w:rsidRDefault="006F0BB0" w:rsidP="007D1DBA">
            <w:pPr>
              <w:jc w:val="right"/>
              <w:rPr>
                <w:sz w:val="18"/>
                <w:szCs w:val="18"/>
                <w:lang w:val="en-CA" w:eastAsia="en-CA"/>
              </w:rPr>
            </w:pPr>
            <w:r w:rsidRPr="006F0BB0">
              <w:rPr>
                <w:sz w:val="18"/>
                <w:szCs w:val="18"/>
              </w:rPr>
              <w:t>646 353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7531B34" w14:textId="77777777" w:rsidR="006F0BB0" w:rsidRPr="006F0BB0" w:rsidRDefault="006F0BB0" w:rsidP="007D1DBA">
            <w:pPr>
              <w:jc w:val="right"/>
              <w:rPr>
                <w:sz w:val="18"/>
                <w:szCs w:val="18"/>
                <w:lang w:val="en-CA" w:eastAsia="en-CA"/>
              </w:rPr>
            </w:pPr>
            <w:r w:rsidRPr="006F0BB0">
              <w:rPr>
                <w:sz w:val="18"/>
                <w:szCs w:val="18"/>
              </w:rPr>
              <w:t>710 989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A474893" w14:textId="77777777" w:rsidR="006F0BB0" w:rsidRPr="006F0BB0" w:rsidRDefault="006F0BB0" w:rsidP="007D1DBA">
            <w:pPr>
              <w:jc w:val="right"/>
              <w:rPr>
                <w:sz w:val="18"/>
                <w:szCs w:val="18"/>
                <w:lang w:val="en-CA" w:eastAsia="en-CA"/>
              </w:rPr>
            </w:pPr>
            <w:r w:rsidRPr="006F0BB0">
              <w:rPr>
                <w:sz w:val="18"/>
                <w:szCs w:val="18"/>
              </w:rPr>
              <w:t>782 088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BB7E919" w14:textId="77777777" w:rsidR="006F0BB0" w:rsidRPr="006F0BB0" w:rsidRDefault="006F0BB0" w:rsidP="007D1DBA">
            <w:pPr>
              <w:jc w:val="right"/>
              <w:rPr>
                <w:sz w:val="18"/>
                <w:szCs w:val="18"/>
                <w:lang w:val="en-CA" w:eastAsia="en-CA"/>
              </w:rPr>
            </w:pPr>
            <w:r w:rsidRPr="006F0BB0">
              <w:rPr>
                <w:sz w:val="18"/>
                <w:szCs w:val="18"/>
              </w:rPr>
              <w:t>860 296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97638AE" w14:textId="77777777" w:rsidR="006F0BB0" w:rsidRPr="006F0BB0" w:rsidRDefault="006F0BB0" w:rsidP="007D1DBA">
            <w:pPr>
              <w:jc w:val="right"/>
              <w:rPr>
                <w:sz w:val="18"/>
                <w:szCs w:val="18"/>
                <w:lang w:val="en-CA" w:eastAsia="en-CA"/>
              </w:rPr>
            </w:pPr>
            <w:r w:rsidRPr="006F0BB0">
              <w:rPr>
                <w:sz w:val="18"/>
                <w:szCs w:val="18"/>
              </w:rPr>
              <w:t>946 326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7692175" w14:textId="77777777" w:rsidR="006F0BB0" w:rsidRPr="006F0BB0" w:rsidRDefault="006F0BB0" w:rsidP="007D1DBA">
            <w:pPr>
              <w:jc w:val="right"/>
              <w:rPr>
                <w:sz w:val="18"/>
                <w:szCs w:val="18"/>
                <w:lang w:val="en-CA" w:eastAsia="en-CA"/>
              </w:rPr>
            </w:pPr>
            <w:r w:rsidRPr="006F0BB0">
              <w:rPr>
                <w:sz w:val="18"/>
                <w:szCs w:val="18"/>
              </w:rPr>
              <w:t>713 143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73572D3" w14:textId="77777777" w:rsidR="006F0BB0" w:rsidRPr="006F0BB0" w:rsidRDefault="006F0BB0" w:rsidP="007D1DBA">
            <w:pPr>
              <w:jc w:val="right"/>
              <w:rPr>
                <w:sz w:val="18"/>
                <w:szCs w:val="18"/>
                <w:lang w:val="en-CA" w:eastAsia="en-CA"/>
              </w:rPr>
            </w:pPr>
            <w:r w:rsidRPr="006F0BB0">
              <w:rPr>
                <w:sz w:val="18"/>
                <w:szCs w:val="18"/>
              </w:rPr>
              <w:t>882 304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882E304" w14:textId="77777777" w:rsidR="006F0BB0" w:rsidRPr="006F0BB0" w:rsidRDefault="006F0BB0" w:rsidP="007D1DBA">
            <w:pPr>
              <w:jc w:val="right"/>
              <w:rPr>
                <w:sz w:val="18"/>
                <w:szCs w:val="18"/>
                <w:lang w:val="en-CA" w:eastAsia="en-CA"/>
              </w:rPr>
            </w:pPr>
            <w:r w:rsidRPr="006F0BB0">
              <w:rPr>
                <w:sz w:val="18"/>
                <w:szCs w:val="18"/>
              </w:rPr>
              <w:t>107,3%</w:t>
            </w:r>
          </w:p>
        </w:tc>
      </w:tr>
      <w:tr w:rsidR="006F0BB0" w:rsidRPr="006F0BB0" w14:paraId="7858D7B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BBE4D09" w14:textId="77777777" w:rsidR="006F0BB0" w:rsidRPr="006F0BB0" w:rsidRDefault="006F0BB0" w:rsidP="007D1DBA">
            <w:pPr>
              <w:jc w:val="left"/>
              <w:rPr>
                <w:sz w:val="18"/>
                <w:szCs w:val="18"/>
                <w:lang w:val="en-CA" w:eastAsia="en-CA"/>
              </w:rPr>
            </w:pPr>
            <w:r w:rsidRPr="006F0BB0">
              <w:rPr>
                <w:sz w:val="18"/>
                <w:szCs w:val="18"/>
                <w:lang w:val="en-CA" w:eastAsia="en-CA"/>
              </w:rPr>
              <w:t>Perú</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E9E497B" w14:textId="77777777" w:rsidR="006F0BB0" w:rsidRPr="006F0BB0" w:rsidRDefault="006F0BB0" w:rsidP="007D1DBA">
            <w:pPr>
              <w:jc w:val="right"/>
              <w:rPr>
                <w:sz w:val="18"/>
                <w:szCs w:val="18"/>
                <w:lang w:val="en-CA" w:eastAsia="en-CA"/>
              </w:rPr>
            </w:pPr>
            <w:r w:rsidRPr="006F0BB0">
              <w:rPr>
                <w:sz w:val="18"/>
                <w:szCs w:val="18"/>
              </w:rPr>
              <w:t>1 910 807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975DB9C" w14:textId="77777777" w:rsidR="006F0BB0" w:rsidRPr="006F0BB0" w:rsidRDefault="006F0BB0" w:rsidP="007D1DBA">
            <w:pPr>
              <w:jc w:val="right"/>
              <w:rPr>
                <w:sz w:val="18"/>
                <w:szCs w:val="18"/>
                <w:lang w:val="en-CA" w:eastAsia="en-CA"/>
              </w:rPr>
            </w:pPr>
            <w:r w:rsidRPr="006F0BB0">
              <w:rPr>
                <w:sz w:val="18"/>
                <w:szCs w:val="18"/>
              </w:rPr>
              <w:t>2 101 888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976C70A" w14:textId="77777777" w:rsidR="006F0BB0" w:rsidRPr="006F0BB0" w:rsidRDefault="006F0BB0" w:rsidP="007D1DBA">
            <w:pPr>
              <w:jc w:val="right"/>
              <w:rPr>
                <w:sz w:val="18"/>
                <w:szCs w:val="18"/>
                <w:lang w:val="en-CA" w:eastAsia="en-CA"/>
              </w:rPr>
            </w:pPr>
            <w:r w:rsidRPr="006F0BB0">
              <w:rPr>
                <w:sz w:val="18"/>
                <w:szCs w:val="18"/>
              </w:rPr>
              <w:t>2 312 076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CBE9C87" w14:textId="77777777" w:rsidR="006F0BB0" w:rsidRPr="006F0BB0" w:rsidRDefault="006F0BB0" w:rsidP="007D1DBA">
            <w:pPr>
              <w:jc w:val="right"/>
              <w:rPr>
                <w:sz w:val="18"/>
                <w:szCs w:val="18"/>
                <w:lang w:val="en-CA" w:eastAsia="en-CA"/>
              </w:rPr>
            </w:pPr>
            <w:r w:rsidRPr="006F0BB0">
              <w:rPr>
                <w:sz w:val="18"/>
                <w:szCs w:val="18"/>
              </w:rPr>
              <w:t>2 543 284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787D556" w14:textId="77777777" w:rsidR="006F0BB0" w:rsidRPr="006F0BB0" w:rsidRDefault="006F0BB0" w:rsidP="007D1DBA">
            <w:pPr>
              <w:jc w:val="right"/>
              <w:rPr>
                <w:sz w:val="18"/>
                <w:szCs w:val="18"/>
                <w:lang w:val="en-CA" w:eastAsia="en-CA"/>
              </w:rPr>
            </w:pPr>
            <w:r w:rsidRPr="006F0BB0">
              <w:rPr>
                <w:sz w:val="18"/>
                <w:szCs w:val="18"/>
              </w:rPr>
              <w:t>2 797 613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1102C78" w14:textId="77777777" w:rsidR="006F0BB0" w:rsidRPr="006F0BB0" w:rsidRDefault="006F0BB0" w:rsidP="007D1DBA">
            <w:pPr>
              <w:jc w:val="right"/>
              <w:rPr>
                <w:sz w:val="18"/>
                <w:szCs w:val="18"/>
                <w:lang w:val="en-CA" w:eastAsia="en-CA"/>
              </w:rPr>
            </w:pPr>
            <w:r w:rsidRPr="006F0BB0">
              <w:rPr>
                <w:sz w:val="18"/>
                <w:szCs w:val="18"/>
              </w:rPr>
              <w:t>3 077 374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486C479" w14:textId="77777777" w:rsidR="006F0BB0" w:rsidRPr="006F0BB0" w:rsidRDefault="006F0BB0" w:rsidP="007D1DBA">
            <w:pPr>
              <w:jc w:val="right"/>
              <w:rPr>
                <w:sz w:val="18"/>
                <w:szCs w:val="18"/>
                <w:lang w:val="en-CA" w:eastAsia="en-CA"/>
              </w:rPr>
            </w:pPr>
            <w:r w:rsidRPr="006F0BB0">
              <w:rPr>
                <w:sz w:val="18"/>
                <w:szCs w:val="18"/>
              </w:rPr>
              <w:t>2 319 083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12C175E" w14:textId="77777777" w:rsidR="006F0BB0" w:rsidRPr="006F0BB0" w:rsidRDefault="006F0BB0" w:rsidP="007D1DBA">
            <w:pPr>
              <w:jc w:val="right"/>
              <w:rPr>
                <w:sz w:val="18"/>
                <w:szCs w:val="18"/>
                <w:lang w:val="en-CA" w:eastAsia="en-CA"/>
              </w:rPr>
            </w:pPr>
            <w:r w:rsidRPr="006F0BB0">
              <w:rPr>
                <w:sz w:val="18"/>
                <w:szCs w:val="18"/>
              </w:rPr>
              <w:t>2 863 716</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38960F0" w14:textId="77777777" w:rsidR="006F0BB0" w:rsidRPr="006F0BB0" w:rsidRDefault="006F0BB0" w:rsidP="007D1DBA">
            <w:pPr>
              <w:jc w:val="right"/>
              <w:rPr>
                <w:sz w:val="18"/>
                <w:szCs w:val="18"/>
                <w:lang w:val="en-CA" w:eastAsia="en-CA"/>
              </w:rPr>
            </w:pPr>
            <w:r w:rsidRPr="006F0BB0">
              <w:rPr>
                <w:sz w:val="18"/>
                <w:szCs w:val="18"/>
              </w:rPr>
              <w:t>107,5%</w:t>
            </w:r>
          </w:p>
        </w:tc>
      </w:tr>
      <w:tr w:rsidR="006F0BB0" w:rsidRPr="006F0BB0" w14:paraId="52D2B32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3576890" w14:textId="77777777" w:rsidR="006F0BB0" w:rsidRPr="006F0BB0" w:rsidRDefault="006F0BB0" w:rsidP="007D1DBA">
            <w:pPr>
              <w:jc w:val="left"/>
              <w:rPr>
                <w:sz w:val="18"/>
                <w:szCs w:val="18"/>
                <w:lang w:val="en-CA" w:eastAsia="en-CA"/>
              </w:rPr>
            </w:pPr>
            <w:r w:rsidRPr="006F0BB0">
              <w:rPr>
                <w:sz w:val="18"/>
                <w:szCs w:val="18"/>
                <w:lang w:val="en-CA" w:eastAsia="en-CA"/>
              </w:rPr>
              <w:t>Islas Cook</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B5305E6" w14:textId="77777777" w:rsidR="006F0BB0" w:rsidRPr="006F0BB0" w:rsidRDefault="006F0BB0" w:rsidP="007D1DBA">
            <w:pPr>
              <w:jc w:val="right"/>
              <w:rPr>
                <w:sz w:val="18"/>
                <w:szCs w:val="18"/>
                <w:lang w:val="en-CA" w:eastAsia="en-CA"/>
              </w:rPr>
            </w:pPr>
            <w:r w:rsidRPr="006F0BB0">
              <w:rPr>
                <w:sz w:val="18"/>
                <w:szCs w:val="18"/>
              </w:rPr>
              <w:t>3 757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161B20" w14:textId="77777777" w:rsidR="006F0BB0" w:rsidRPr="006F0BB0" w:rsidRDefault="006F0BB0" w:rsidP="007D1DBA">
            <w:pPr>
              <w:jc w:val="right"/>
              <w:rPr>
                <w:sz w:val="18"/>
                <w:szCs w:val="18"/>
                <w:lang w:val="en-CA" w:eastAsia="en-CA"/>
              </w:rPr>
            </w:pPr>
            <w:r w:rsidRPr="006F0BB0">
              <w:rPr>
                <w:sz w:val="18"/>
                <w:szCs w:val="18"/>
              </w:rPr>
              <w:t>4 133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A1B7AE9" w14:textId="77777777" w:rsidR="006F0BB0" w:rsidRPr="006F0BB0" w:rsidRDefault="006F0BB0" w:rsidP="007D1DBA">
            <w:pPr>
              <w:jc w:val="right"/>
              <w:rPr>
                <w:sz w:val="18"/>
                <w:szCs w:val="18"/>
                <w:lang w:val="en-CA" w:eastAsia="en-CA"/>
              </w:rPr>
            </w:pPr>
            <w:r w:rsidRPr="006F0BB0">
              <w:rPr>
                <w:sz w:val="18"/>
                <w:szCs w:val="18"/>
              </w:rPr>
              <w:t>4 546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46FFC7" w14:textId="77777777" w:rsidR="006F0BB0" w:rsidRPr="006F0BB0" w:rsidRDefault="006F0BB0" w:rsidP="007D1DBA">
            <w:pPr>
              <w:jc w:val="right"/>
              <w:rPr>
                <w:sz w:val="18"/>
                <w:szCs w:val="18"/>
                <w:lang w:val="en-CA" w:eastAsia="en-CA"/>
              </w:rPr>
            </w:pPr>
            <w:r w:rsidRPr="006F0BB0">
              <w:rPr>
                <w:sz w:val="18"/>
                <w:szCs w:val="18"/>
              </w:rPr>
              <w:t>5 001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DCF6BE7" w14:textId="77777777" w:rsidR="006F0BB0" w:rsidRPr="006F0BB0" w:rsidRDefault="006F0BB0" w:rsidP="007D1DBA">
            <w:pPr>
              <w:jc w:val="right"/>
              <w:rPr>
                <w:sz w:val="18"/>
                <w:szCs w:val="18"/>
                <w:lang w:val="en-CA" w:eastAsia="en-CA"/>
              </w:rPr>
            </w:pPr>
            <w:r w:rsidRPr="006F0BB0">
              <w:rPr>
                <w:sz w:val="18"/>
                <w:szCs w:val="18"/>
              </w:rPr>
              <w:t>5 501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96B6B70" w14:textId="77777777" w:rsidR="006F0BB0" w:rsidRPr="006F0BB0" w:rsidRDefault="006F0BB0" w:rsidP="007D1DBA">
            <w:pPr>
              <w:jc w:val="right"/>
              <w:rPr>
                <w:sz w:val="18"/>
                <w:szCs w:val="18"/>
                <w:lang w:val="en-CA" w:eastAsia="en-CA"/>
              </w:rPr>
            </w:pPr>
            <w:r w:rsidRPr="006F0BB0">
              <w:rPr>
                <w:sz w:val="18"/>
                <w:szCs w:val="18"/>
              </w:rPr>
              <w:t>6 051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9057E88" w14:textId="77777777" w:rsidR="006F0BB0" w:rsidRPr="006F0BB0" w:rsidRDefault="006F0BB0" w:rsidP="007D1DBA">
            <w:pPr>
              <w:jc w:val="right"/>
              <w:rPr>
                <w:sz w:val="18"/>
                <w:szCs w:val="18"/>
                <w:lang w:val="en-CA" w:eastAsia="en-CA"/>
              </w:rPr>
            </w:pPr>
            <w:r w:rsidRPr="006F0BB0">
              <w:rPr>
                <w:sz w:val="18"/>
                <w:szCs w:val="18"/>
              </w:rPr>
              <w:t>4 560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2D3EEE4" w14:textId="77777777" w:rsidR="006F0BB0" w:rsidRPr="006F0BB0" w:rsidRDefault="006F0BB0" w:rsidP="007D1DBA">
            <w:pPr>
              <w:jc w:val="right"/>
              <w:rPr>
                <w:sz w:val="18"/>
                <w:szCs w:val="18"/>
                <w:lang w:val="en-CA" w:eastAsia="en-CA"/>
              </w:rPr>
            </w:pPr>
            <w:r w:rsidRPr="006F0BB0">
              <w:rPr>
                <w:sz w:val="18"/>
                <w:szCs w:val="18"/>
              </w:rPr>
              <w:t>5 609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7805F3F" w14:textId="77777777" w:rsidR="006F0BB0" w:rsidRPr="006F0BB0" w:rsidRDefault="006F0BB0" w:rsidP="007D1DBA">
            <w:pPr>
              <w:jc w:val="right"/>
              <w:rPr>
                <w:sz w:val="18"/>
                <w:szCs w:val="18"/>
                <w:lang w:val="en-CA" w:eastAsia="en-CA"/>
              </w:rPr>
            </w:pPr>
            <w:r w:rsidRPr="006F0BB0">
              <w:rPr>
                <w:sz w:val="18"/>
                <w:szCs w:val="18"/>
              </w:rPr>
              <w:t>107,9%</w:t>
            </w:r>
          </w:p>
        </w:tc>
      </w:tr>
      <w:tr w:rsidR="006F0BB0" w:rsidRPr="006F0BB0" w14:paraId="04755568"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82EB826" w14:textId="77777777" w:rsidR="006F0BB0" w:rsidRPr="006F0BB0" w:rsidRDefault="006F0BB0" w:rsidP="007D1DBA">
            <w:pPr>
              <w:jc w:val="left"/>
              <w:rPr>
                <w:sz w:val="18"/>
                <w:szCs w:val="18"/>
                <w:lang w:val="en-CA" w:eastAsia="en-CA"/>
              </w:rPr>
            </w:pPr>
            <w:r w:rsidRPr="006F0BB0">
              <w:rPr>
                <w:sz w:val="18"/>
                <w:szCs w:val="18"/>
                <w:lang w:val="en-CA" w:eastAsia="en-CA"/>
              </w:rPr>
              <w:t>Honduras</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35B8EBB" w14:textId="77777777" w:rsidR="006F0BB0" w:rsidRPr="006F0BB0" w:rsidRDefault="006F0BB0" w:rsidP="007D1DBA">
            <w:pPr>
              <w:jc w:val="right"/>
              <w:rPr>
                <w:sz w:val="18"/>
                <w:szCs w:val="18"/>
                <w:lang w:val="en-CA" w:eastAsia="en-CA"/>
              </w:rPr>
            </w:pPr>
            <w:r w:rsidRPr="006F0BB0">
              <w:rPr>
                <w:sz w:val="18"/>
                <w:szCs w:val="18"/>
              </w:rPr>
              <w:t>1 431 079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A7F5866" w14:textId="77777777" w:rsidR="006F0BB0" w:rsidRPr="006F0BB0" w:rsidRDefault="006F0BB0" w:rsidP="007D1DBA">
            <w:pPr>
              <w:jc w:val="right"/>
              <w:rPr>
                <w:sz w:val="18"/>
                <w:szCs w:val="18"/>
                <w:lang w:val="en-CA" w:eastAsia="en-CA"/>
              </w:rPr>
            </w:pPr>
            <w:r w:rsidRPr="006F0BB0">
              <w:rPr>
                <w:sz w:val="18"/>
                <w:szCs w:val="18"/>
              </w:rPr>
              <w:t>1 574 187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26F314C" w14:textId="77777777" w:rsidR="006F0BB0" w:rsidRPr="006F0BB0" w:rsidRDefault="006F0BB0" w:rsidP="007D1DBA">
            <w:pPr>
              <w:jc w:val="right"/>
              <w:rPr>
                <w:sz w:val="18"/>
                <w:szCs w:val="18"/>
                <w:lang w:val="en-CA" w:eastAsia="en-CA"/>
              </w:rPr>
            </w:pPr>
            <w:r w:rsidRPr="006F0BB0">
              <w:rPr>
                <w:sz w:val="18"/>
                <w:szCs w:val="18"/>
              </w:rPr>
              <w:t>1 731 606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EC30E31" w14:textId="77777777" w:rsidR="006F0BB0" w:rsidRPr="006F0BB0" w:rsidRDefault="006F0BB0" w:rsidP="007D1DBA">
            <w:pPr>
              <w:jc w:val="right"/>
              <w:rPr>
                <w:sz w:val="18"/>
                <w:szCs w:val="18"/>
                <w:lang w:val="en-CA" w:eastAsia="en-CA"/>
              </w:rPr>
            </w:pPr>
            <w:r w:rsidRPr="006F0BB0">
              <w:rPr>
                <w:sz w:val="18"/>
                <w:szCs w:val="18"/>
              </w:rPr>
              <w:t>1 904 766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C0468FB" w14:textId="77777777" w:rsidR="006F0BB0" w:rsidRPr="006F0BB0" w:rsidRDefault="006F0BB0" w:rsidP="007D1DBA">
            <w:pPr>
              <w:jc w:val="right"/>
              <w:rPr>
                <w:sz w:val="18"/>
                <w:szCs w:val="18"/>
                <w:lang w:val="en-CA" w:eastAsia="en-CA"/>
              </w:rPr>
            </w:pPr>
            <w:r w:rsidRPr="006F0BB0">
              <w:rPr>
                <w:sz w:val="18"/>
                <w:szCs w:val="18"/>
              </w:rPr>
              <w:t>2 095 243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03C56B3" w14:textId="77777777" w:rsidR="006F0BB0" w:rsidRPr="006F0BB0" w:rsidRDefault="006F0BB0" w:rsidP="007D1DBA">
            <w:pPr>
              <w:jc w:val="right"/>
              <w:rPr>
                <w:sz w:val="18"/>
                <w:szCs w:val="18"/>
                <w:lang w:val="en-CA" w:eastAsia="en-CA"/>
              </w:rPr>
            </w:pPr>
            <w:r w:rsidRPr="006F0BB0">
              <w:rPr>
                <w:sz w:val="18"/>
                <w:szCs w:val="18"/>
              </w:rPr>
              <w:t>2 304 767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5D6F20F" w14:textId="77777777" w:rsidR="006F0BB0" w:rsidRPr="006F0BB0" w:rsidRDefault="006F0BB0" w:rsidP="007D1DBA">
            <w:pPr>
              <w:jc w:val="right"/>
              <w:rPr>
                <w:sz w:val="18"/>
                <w:szCs w:val="18"/>
                <w:lang w:val="en-CA" w:eastAsia="en-CA"/>
              </w:rPr>
            </w:pPr>
            <w:r w:rsidRPr="006F0BB0">
              <w:rPr>
                <w:sz w:val="18"/>
                <w:szCs w:val="18"/>
              </w:rPr>
              <w:t>1 736 853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2110BE8" w14:textId="77777777" w:rsidR="006F0BB0" w:rsidRPr="006F0BB0" w:rsidRDefault="006F0BB0" w:rsidP="007D1DBA">
            <w:pPr>
              <w:jc w:val="right"/>
              <w:rPr>
                <w:sz w:val="18"/>
                <w:szCs w:val="18"/>
                <w:lang w:val="en-CA" w:eastAsia="en-CA"/>
              </w:rPr>
            </w:pPr>
            <w:r w:rsidRPr="006F0BB0">
              <w:rPr>
                <w:sz w:val="18"/>
                <w:szCs w:val="18"/>
              </w:rPr>
              <w:t>2 130 162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30290AF" w14:textId="77777777" w:rsidR="006F0BB0" w:rsidRPr="006F0BB0" w:rsidRDefault="006F0BB0" w:rsidP="007D1DBA">
            <w:pPr>
              <w:jc w:val="right"/>
              <w:rPr>
                <w:sz w:val="18"/>
                <w:szCs w:val="18"/>
                <w:lang w:val="en-CA" w:eastAsia="en-CA"/>
              </w:rPr>
            </w:pPr>
            <w:r w:rsidRPr="006F0BB0">
              <w:rPr>
                <w:sz w:val="18"/>
                <w:szCs w:val="18"/>
              </w:rPr>
              <w:t>108,2%</w:t>
            </w:r>
          </w:p>
        </w:tc>
      </w:tr>
      <w:tr w:rsidR="006F0BB0" w:rsidRPr="006F0BB0" w14:paraId="0A774958"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45A235E" w14:textId="77777777" w:rsidR="006F0BB0" w:rsidRPr="006F0BB0" w:rsidRDefault="006F0BB0" w:rsidP="007D1DBA">
            <w:pPr>
              <w:jc w:val="left"/>
              <w:rPr>
                <w:sz w:val="18"/>
                <w:szCs w:val="18"/>
                <w:lang w:val="en-CA" w:eastAsia="en-CA"/>
              </w:rPr>
            </w:pPr>
            <w:r w:rsidRPr="006F0BB0">
              <w:rPr>
                <w:sz w:val="18"/>
                <w:szCs w:val="18"/>
                <w:lang w:val="en-CA" w:eastAsia="en-CA"/>
              </w:rPr>
              <w:t>Gabon</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10B838C" w14:textId="77777777" w:rsidR="006F0BB0" w:rsidRPr="006F0BB0" w:rsidRDefault="006F0BB0" w:rsidP="007D1DBA">
            <w:pPr>
              <w:jc w:val="right"/>
              <w:rPr>
                <w:sz w:val="18"/>
                <w:szCs w:val="18"/>
                <w:lang w:val="en-CA" w:eastAsia="en-CA"/>
              </w:rPr>
            </w:pPr>
            <w:r w:rsidRPr="006F0BB0">
              <w:rPr>
                <w:sz w:val="18"/>
                <w:szCs w:val="18"/>
              </w:rPr>
              <w:t>2 353 671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1C266C1" w14:textId="77777777" w:rsidR="006F0BB0" w:rsidRPr="006F0BB0" w:rsidRDefault="006F0BB0" w:rsidP="007D1DBA">
            <w:pPr>
              <w:jc w:val="right"/>
              <w:rPr>
                <w:sz w:val="18"/>
                <w:szCs w:val="18"/>
                <w:lang w:val="en-CA" w:eastAsia="en-CA"/>
              </w:rPr>
            </w:pPr>
            <w:r w:rsidRPr="006F0BB0">
              <w:rPr>
                <w:sz w:val="18"/>
                <w:szCs w:val="18"/>
              </w:rPr>
              <w:t>2 589 038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9ECCC3C" w14:textId="77777777" w:rsidR="006F0BB0" w:rsidRPr="006F0BB0" w:rsidRDefault="006F0BB0" w:rsidP="007D1DBA">
            <w:pPr>
              <w:jc w:val="right"/>
              <w:rPr>
                <w:sz w:val="18"/>
                <w:szCs w:val="18"/>
                <w:lang w:val="en-CA" w:eastAsia="en-CA"/>
              </w:rPr>
            </w:pPr>
            <w:r w:rsidRPr="006F0BB0">
              <w:rPr>
                <w:sz w:val="18"/>
                <w:szCs w:val="18"/>
              </w:rPr>
              <w:t>2 847 942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C63F6A2" w14:textId="77777777" w:rsidR="006F0BB0" w:rsidRPr="006F0BB0" w:rsidRDefault="006F0BB0" w:rsidP="007D1DBA">
            <w:pPr>
              <w:jc w:val="right"/>
              <w:rPr>
                <w:sz w:val="18"/>
                <w:szCs w:val="18"/>
                <w:lang w:val="en-CA" w:eastAsia="en-CA"/>
              </w:rPr>
            </w:pPr>
            <w:r w:rsidRPr="006F0BB0">
              <w:rPr>
                <w:sz w:val="18"/>
                <w:szCs w:val="18"/>
              </w:rPr>
              <w:t>3 132 736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1F980B7" w14:textId="77777777" w:rsidR="006F0BB0" w:rsidRPr="006F0BB0" w:rsidRDefault="006F0BB0" w:rsidP="007D1DBA">
            <w:pPr>
              <w:jc w:val="right"/>
              <w:rPr>
                <w:sz w:val="18"/>
                <w:szCs w:val="18"/>
                <w:lang w:val="en-CA" w:eastAsia="en-CA"/>
              </w:rPr>
            </w:pPr>
            <w:r w:rsidRPr="006F0BB0">
              <w:rPr>
                <w:sz w:val="18"/>
                <w:szCs w:val="18"/>
              </w:rPr>
              <w:t>3 446 010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BCBBA7B" w14:textId="77777777" w:rsidR="006F0BB0" w:rsidRPr="006F0BB0" w:rsidRDefault="006F0BB0" w:rsidP="007D1DBA">
            <w:pPr>
              <w:jc w:val="right"/>
              <w:rPr>
                <w:sz w:val="18"/>
                <w:szCs w:val="18"/>
                <w:lang w:val="en-CA" w:eastAsia="en-CA"/>
              </w:rPr>
            </w:pPr>
            <w:r w:rsidRPr="006F0BB0">
              <w:rPr>
                <w:sz w:val="18"/>
                <w:szCs w:val="18"/>
              </w:rPr>
              <w:t>3 790 611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1BDDDE5" w14:textId="77777777" w:rsidR="006F0BB0" w:rsidRPr="006F0BB0" w:rsidRDefault="006F0BB0" w:rsidP="007D1DBA">
            <w:pPr>
              <w:jc w:val="right"/>
              <w:rPr>
                <w:sz w:val="18"/>
                <w:szCs w:val="18"/>
                <w:lang w:val="en-CA" w:eastAsia="en-CA"/>
              </w:rPr>
            </w:pPr>
            <w:r w:rsidRPr="006F0BB0">
              <w:rPr>
                <w:sz w:val="18"/>
                <w:szCs w:val="18"/>
              </w:rPr>
              <w:t>2 856 572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F67288" w14:textId="77777777" w:rsidR="006F0BB0" w:rsidRPr="006F0BB0" w:rsidRDefault="006F0BB0" w:rsidP="007D1DBA">
            <w:pPr>
              <w:jc w:val="right"/>
              <w:rPr>
                <w:sz w:val="18"/>
                <w:szCs w:val="18"/>
                <w:lang w:val="en-CA" w:eastAsia="en-CA"/>
              </w:rPr>
            </w:pPr>
            <w:r w:rsidRPr="006F0BB0">
              <w:rPr>
                <w:sz w:val="18"/>
                <w:szCs w:val="18"/>
              </w:rPr>
              <w:t>3 502 412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894AB2A" w14:textId="77777777" w:rsidR="006F0BB0" w:rsidRPr="006F0BB0" w:rsidRDefault="006F0BB0" w:rsidP="007D1DBA">
            <w:pPr>
              <w:jc w:val="right"/>
              <w:rPr>
                <w:sz w:val="18"/>
                <w:szCs w:val="18"/>
                <w:lang w:val="en-CA" w:eastAsia="en-CA"/>
              </w:rPr>
            </w:pPr>
            <w:r w:rsidRPr="006F0BB0">
              <w:rPr>
                <w:sz w:val="18"/>
                <w:szCs w:val="18"/>
              </w:rPr>
              <w:t>108,2%</w:t>
            </w:r>
          </w:p>
        </w:tc>
      </w:tr>
      <w:tr w:rsidR="006F0BB0" w:rsidRPr="006F0BB0" w14:paraId="1790725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D457BB4" w14:textId="77777777" w:rsidR="006F0BB0" w:rsidRPr="006F0BB0" w:rsidRDefault="006F0BB0" w:rsidP="007D1DBA">
            <w:pPr>
              <w:jc w:val="left"/>
              <w:rPr>
                <w:sz w:val="18"/>
                <w:szCs w:val="18"/>
                <w:lang w:val="en-CA" w:eastAsia="en-CA"/>
              </w:rPr>
            </w:pPr>
            <w:r w:rsidRPr="006F0BB0">
              <w:rPr>
                <w:sz w:val="18"/>
                <w:szCs w:val="18"/>
                <w:lang w:val="en-CA" w:eastAsia="en-CA"/>
              </w:rPr>
              <w:t>Mexico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DA76DDA" w14:textId="77777777" w:rsidR="006F0BB0" w:rsidRPr="006F0BB0" w:rsidRDefault="006F0BB0" w:rsidP="007D1DBA">
            <w:pPr>
              <w:jc w:val="right"/>
              <w:rPr>
                <w:sz w:val="18"/>
                <w:szCs w:val="18"/>
                <w:lang w:val="en-CA" w:eastAsia="en-CA"/>
              </w:rPr>
            </w:pPr>
            <w:r w:rsidRPr="006F0BB0">
              <w:rPr>
                <w:sz w:val="18"/>
                <w:szCs w:val="18"/>
              </w:rPr>
              <w:t>50 263 972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B2E0648" w14:textId="77777777" w:rsidR="006F0BB0" w:rsidRPr="006F0BB0" w:rsidRDefault="006F0BB0" w:rsidP="007D1DBA">
            <w:pPr>
              <w:jc w:val="right"/>
              <w:rPr>
                <w:sz w:val="18"/>
                <w:szCs w:val="18"/>
                <w:lang w:val="en-CA" w:eastAsia="en-CA"/>
              </w:rPr>
            </w:pPr>
            <w:r w:rsidRPr="006F0BB0">
              <w:rPr>
                <w:sz w:val="18"/>
                <w:szCs w:val="18"/>
              </w:rPr>
              <w:t>55 290 369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FB3D9F0" w14:textId="77777777" w:rsidR="006F0BB0" w:rsidRPr="006F0BB0" w:rsidRDefault="006F0BB0" w:rsidP="007D1DBA">
            <w:pPr>
              <w:jc w:val="right"/>
              <w:rPr>
                <w:sz w:val="18"/>
                <w:szCs w:val="18"/>
                <w:lang w:val="en-CA" w:eastAsia="en-CA"/>
              </w:rPr>
            </w:pPr>
            <w:r w:rsidRPr="006F0BB0">
              <w:rPr>
                <w:sz w:val="18"/>
                <w:szCs w:val="18"/>
              </w:rPr>
              <w:t>60 819 406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1BCA7AE" w14:textId="77777777" w:rsidR="006F0BB0" w:rsidRPr="006F0BB0" w:rsidRDefault="006F0BB0" w:rsidP="007D1DBA">
            <w:pPr>
              <w:jc w:val="right"/>
              <w:rPr>
                <w:sz w:val="18"/>
                <w:szCs w:val="18"/>
                <w:lang w:val="en-CA" w:eastAsia="en-CA"/>
              </w:rPr>
            </w:pPr>
            <w:r w:rsidRPr="006F0BB0">
              <w:rPr>
                <w:sz w:val="18"/>
                <w:szCs w:val="18"/>
              </w:rPr>
              <w:t>66 901 347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796960" w14:textId="77777777" w:rsidR="006F0BB0" w:rsidRPr="006F0BB0" w:rsidRDefault="006F0BB0" w:rsidP="007D1DBA">
            <w:pPr>
              <w:jc w:val="right"/>
              <w:rPr>
                <w:sz w:val="18"/>
                <w:szCs w:val="18"/>
                <w:lang w:val="en-CA" w:eastAsia="en-CA"/>
              </w:rPr>
            </w:pPr>
            <w:r w:rsidRPr="006F0BB0">
              <w:rPr>
                <w:sz w:val="18"/>
                <w:szCs w:val="18"/>
              </w:rPr>
              <w:t>73 591 481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5CC2CF8" w14:textId="77777777" w:rsidR="006F0BB0" w:rsidRPr="006F0BB0" w:rsidRDefault="006F0BB0" w:rsidP="007D1DBA">
            <w:pPr>
              <w:jc w:val="right"/>
              <w:rPr>
                <w:sz w:val="18"/>
                <w:szCs w:val="18"/>
                <w:lang w:val="en-CA" w:eastAsia="en-CA"/>
              </w:rPr>
            </w:pPr>
            <w:r w:rsidRPr="006F0BB0">
              <w:rPr>
                <w:sz w:val="18"/>
                <w:szCs w:val="18"/>
              </w:rPr>
              <w:t>80 950 630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4E5D634" w14:textId="77777777" w:rsidR="006F0BB0" w:rsidRPr="006F0BB0" w:rsidRDefault="006F0BB0" w:rsidP="007D1DBA">
            <w:pPr>
              <w:jc w:val="right"/>
              <w:rPr>
                <w:sz w:val="18"/>
                <w:szCs w:val="18"/>
                <w:lang w:val="en-CA" w:eastAsia="en-CA"/>
              </w:rPr>
            </w:pPr>
            <w:r w:rsidRPr="006F0BB0">
              <w:rPr>
                <w:sz w:val="18"/>
                <w:szCs w:val="18"/>
              </w:rPr>
              <w:t>61 003 707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0572D89" w14:textId="77777777" w:rsidR="006F0BB0" w:rsidRPr="006F0BB0" w:rsidRDefault="006F0BB0" w:rsidP="007D1DBA">
            <w:pPr>
              <w:jc w:val="right"/>
              <w:rPr>
                <w:sz w:val="18"/>
                <w:szCs w:val="18"/>
                <w:lang w:val="en-CA" w:eastAsia="en-CA"/>
              </w:rPr>
            </w:pPr>
            <w:r w:rsidRPr="006F0BB0">
              <w:rPr>
                <w:sz w:val="18"/>
                <w:szCs w:val="18"/>
              </w:rPr>
              <w:t>74 029 691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B7A8D6E" w14:textId="77777777" w:rsidR="006F0BB0" w:rsidRPr="006F0BB0" w:rsidRDefault="006F0BB0" w:rsidP="007D1DBA">
            <w:pPr>
              <w:jc w:val="right"/>
              <w:rPr>
                <w:sz w:val="18"/>
                <w:szCs w:val="18"/>
                <w:lang w:val="en-CA" w:eastAsia="en-CA"/>
              </w:rPr>
            </w:pPr>
            <w:r w:rsidRPr="006F0BB0">
              <w:rPr>
                <w:sz w:val="18"/>
                <w:szCs w:val="18"/>
              </w:rPr>
              <w:t>109,3%</w:t>
            </w:r>
          </w:p>
        </w:tc>
      </w:tr>
      <w:tr w:rsidR="006F0BB0" w:rsidRPr="006F0BB0" w14:paraId="25D5C1F8"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B7EDFAD" w14:textId="77777777" w:rsidR="006F0BB0" w:rsidRPr="006F0BB0" w:rsidRDefault="006F0BB0" w:rsidP="007D1DBA">
            <w:pPr>
              <w:jc w:val="left"/>
              <w:rPr>
                <w:sz w:val="18"/>
                <w:szCs w:val="18"/>
                <w:lang w:val="en-CA" w:eastAsia="en-CA"/>
              </w:rPr>
            </w:pPr>
            <w:r w:rsidRPr="006F0BB0">
              <w:rPr>
                <w:sz w:val="18"/>
                <w:szCs w:val="18"/>
                <w:lang w:val="en-CA" w:eastAsia="en-CA"/>
              </w:rPr>
              <w:t>Cuba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D57BD8C" w14:textId="77777777" w:rsidR="006F0BB0" w:rsidRPr="006F0BB0" w:rsidRDefault="006F0BB0" w:rsidP="007D1DBA">
            <w:pPr>
              <w:jc w:val="right"/>
              <w:rPr>
                <w:sz w:val="18"/>
                <w:szCs w:val="18"/>
                <w:lang w:val="en-CA" w:eastAsia="en-CA"/>
              </w:rPr>
            </w:pPr>
            <w:r w:rsidRPr="006F0BB0">
              <w:rPr>
                <w:sz w:val="18"/>
                <w:szCs w:val="18"/>
              </w:rPr>
              <w:t>1 254 931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A0F8B8F" w14:textId="77777777" w:rsidR="006F0BB0" w:rsidRPr="006F0BB0" w:rsidRDefault="006F0BB0" w:rsidP="007D1DBA">
            <w:pPr>
              <w:jc w:val="right"/>
              <w:rPr>
                <w:sz w:val="18"/>
                <w:szCs w:val="18"/>
                <w:lang w:val="en-CA" w:eastAsia="en-CA"/>
              </w:rPr>
            </w:pPr>
            <w:r w:rsidRPr="006F0BB0">
              <w:rPr>
                <w:sz w:val="18"/>
                <w:szCs w:val="18"/>
              </w:rPr>
              <w:t>1 380 424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169D5C7" w14:textId="77777777" w:rsidR="006F0BB0" w:rsidRPr="006F0BB0" w:rsidRDefault="006F0BB0" w:rsidP="007D1DBA">
            <w:pPr>
              <w:jc w:val="right"/>
              <w:rPr>
                <w:sz w:val="18"/>
                <w:szCs w:val="18"/>
                <w:lang w:val="en-CA" w:eastAsia="en-CA"/>
              </w:rPr>
            </w:pPr>
            <w:r w:rsidRPr="006F0BB0">
              <w:rPr>
                <w:sz w:val="18"/>
                <w:szCs w:val="18"/>
              </w:rPr>
              <w:t>1 518 467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3AEB30" w14:textId="77777777" w:rsidR="006F0BB0" w:rsidRPr="006F0BB0" w:rsidRDefault="006F0BB0" w:rsidP="007D1DBA">
            <w:pPr>
              <w:jc w:val="right"/>
              <w:rPr>
                <w:sz w:val="18"/>
                <w:szCs w:val="18"/>
                <w:lang w:val="en-CA" w:eastAsia="en-CA"/>
              </w:rPr>
            </w:pPr>
            <w:r w:rsidRPr="006F0BB0">
              <w:rPr>
                <w:sz w:val="18"/>
                <w:szCs w:val="18"/>
              </w:rPr>
              <w:t>1 670 313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35D7D9C" w14:textId="77777777" w:rsidR="006F0BB0" w:rsidRPr="006F0BB0" w:rsidRDefault="006F0BB0" w:rsidP="007D1DBA">
            <w:pPr>
              <w:jc w:val="right"/>
              <w:rPr>
                <w:sz w:val="18"/>
                <w:szCs w:val="18"/>
                <w:lang w:val="en-CA" w:eastAsia="en-CA"/>
              </w:rPr>
            </w:pPr>
            <w:r w:rsidRPr="006F0BB0">
              <w:rPr>
                <w:sz w:val="18"/>
                <w:szCs w:val="18"/>
              </w:rPr>
              <w:t>1 837 344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4A8962D" w14:textId="77777777" w:rsidR="006F0BB0" w:rsidRPr="006F0BB0" w:rsidRDefault="006F0BB0" w:rsidP="007D1DBA">
            <w:pPr>
              <w:jc w:val="right"/>
              <w:rPr>
                <w:sz w:val="18"/>
                <w:szCs w:val="18"/>
                <w:lang w:val="en-CA" w:eastAsia="en-CA"/>
              </w:rPr>
            </w:pPr>
            <w:r w:rsidRPr="006F0BB0">
              <w:rPr>
                <w:sz w:val="18"/>
                <w:szCs w:val="18"/>
              </w:rPr>
              <w:t>2 021 079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2960148" w14:textId="77777777" w:rsidR="006F0BB0" w:rsidRPr="006F0BB0" w:rsidRDefault="006F0BB0" w:rsidP="007D1DBA">
            <w:pPr>
              <w:jc w:val="right"/>
              <w:rPr>
                <w:sz w:val="18"/>
                <w:szCs w:val="18"/>
                <w:lang w:val="en-CA" w:eastAsia="en-CA"/>
              </w:rPr>
            </w:pPr>
            <w:r w:rsidRPr="006F0BB0">
              <w:rPr>
                <w:sz w:val="18"/>
                <w:szCs w:val="18"/>
              </w:rPr>
              <w:t>1 523 068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FBC0531" w14:textId="77777777" w:rsidR="006F0BB0" w:rsidRPr="006F0BB0" w:rsidRDefault="006F0BB0" w:rsidP="007D1DBA">
            <w:pPr>
              <w:jc w:val="right"/>
              <w:rPr>
                <w:sz w:val="18"/>
                <w:szCs w:val="18"/>
                <w:lang w:val="en-CA" w:eastAsia="en-CA"/>
              </w:rPr>
            </w:pPr>
            <w:r w:rsidRPr="006F0BB0">
              <w:rPr>
                <w:sz w:val="18"/>
                <w:szCs w:val="18"/>
              </w:rPr>
              <w:t>1 839 501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B200111" w14:textId="77777777" w:rsidR="006F0BB0" w:rsidRPr="006F0BB0" w:rsidRDefault="006F0BB0" w:rsidP="007D1DBA">
            <w:pPr>
              <w:jc w:val="right"/>
              <w:rPr>
                <w:sz w:val="18"/>
                <w:szCs w:val="18"/>
                <w:lang w:val="en-CA" w:eastAsia="en-CA"/>
              </w:rPr>
            </w:pPr>
            <w:r w:rsidRPr="006F0BB0">
              <w:rPr>
                <w:sz w:val="18"/>
                <w:szCs w:val="18"/>
              </w:rPr>
              <w:t>109,9%</w:t>
            </w:r>
          </w:p>
        </w:tc>
      </w:tr>
      <w:tr w:rsidR="006F0BB0" w:rsidRPr="006F0BB0" w14:paraId="7880C7A2"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47F03F0" w14:textId="77777777" w:rsidR="006F0BB0" w:rsidRPr="006F0BB0" w:rsidRDefault="006F0BB0" w:rsidP="007D1DBA">
            <w:pPr>
              <w:jc w:val="left"/>
              <w:rPr>
                <w:sz w:val="18"/>
                <w:szCs w:val="18"/>
                <w:lang w:val="en-CA" w:eastAsia="en-CA"/>
              </w:rPr>
            </w:pPr>
            <w:r w:rsidRPr="006F0BB0">
              <w:rPr>
                <w:sz w:val="18"/>
                <w:szCs w:val="18"/>
                <w:lang w:val="en-CA" w:eastAsia="en-CA"/>
              </w:rPr>
              <w:t>Chile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7C6D48B" w14:textId="77777777" w:rsidR="006F0BB0" w:rsidRPr="006F0BB0" w:rsidRDefault="006F0BB0" w:rsidP="007D1DBA">
            <w:pPr>
              <w:jc w:val="right"/>
              <w:rPr>
                <w:sz w:val="18"/>
                <w:szCs w:val="18"/>
                <w:lang w:val="en-CA" w:eastAsia="en-CA"/>
              </w:rPr>
            </w:pPr>
            <w:r w:rsidRPr="006F0BB0">
              <w:rPr>
                <w:sz w:val="18"/>
                <w:szCs w:val="18"/>
              </w:rPr>
              <w:t>4 763 686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1D4C7D7" w14:textId="77777777" w:rsidR="006F0BB0" w:rsidRPr="006F0BB0" w:rsidRDefault="006F0BB0" w:rsidP="007D1DBA">
            <w:pPr>
              <w:jc w:val="right"/>
              <w:rPr>
                <w:sz w:val="18"/>
                <w:szCs w:val="18"/>
                <w:lang w:val="en-CA" w:eastAsia="en-CA"/>
              </w:rPr>
            </w:pPr>
            <w:r w:rsidRPr="006F0BB0">
              <w:rPr>
                <w:sz w:val="18"/>
                <w:szCs w:val="18"/>
              </w:rPr>
              <w:t>5 240 055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B0359CC" w14:textId="77777777" w:rsidR="006F0BB0" w:rsidRPr="006F0BB0" w:rsidRDefault="006F0BB0" w:rsidP="007D1DBA">
            <w:pPr>
              <w:jc w:val="right"/>
              <w:rPr>
                <w:sz w:val="18"/>
                <w:szCs w:val="18"/>
                <w:lang w:val="en-CA" w:eastAsia="en-CA"/>
              </w:rPr>
            </w:pPr>
            <w:r w:rsidRPr="006F0BB0">
              <w:rPr>
                <w:sz w:val="18"/>
                <w:szCs w:val="18"/>
              </w:rPr>
              <w:t>5 764 060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98C704" w14:textId="77777777" w:rsidR="006F0BB0" w:rsidRPr="006F0BB0" w:rsidRDefault="006F0BB0" w:rsidP="007D1DBA">
            <w:pPr>
              <w:jc w:val="right"/>
              <w:rPr>
                <w:sz w:val="18"/>
                <w:szCs w:val="18"/>
                <w:lang w:val="en-CA" w:eastAsia="en-CA"/>
              </w:rPr>
            </w:pPr>
            <w:r w:rsidRPr="006F0BB0">
              <w:rPr>
                <w:sz w:val="18"/>
                <w:szCs w:val="18"/>
              </w:rPr>
              <w:t>6 340 466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217D179" w14:textId="77777777" w:rsidR="006F0BB0" w:rsidRPr="006F0BB0" w:rsidRDefault="006F0BB0" w:rsidP="007D1DBA">
            <w:pPr>
              <w:jc w:val="right"/>
              <w:rPr>
                <w:sz w:val="18"/>
                <w:szCs w:val="18"/>
                <w:lang w:val="en-CA" w:eastAsia="en-CA"/>
              </w:rPr>
            </w:pPr>
            <w:r w:rsidRPr="006F0BB0">
              <w:rPr>
                <w:sz w:val="18"/>
                <w:szCs w:val="18"/>
              </w:rPr>
              <w:t>6 974 513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6CBF3E2" w14:textId="77777777" w:rsidR="006F0BB0" w:rsidRPr="006F0BB0" w:rsidRDefault="006F0BB0" w:rsidP="007D1DBA">
            <w:pPr>
              <w:jc w:val="right"/>
              <w:rPr>
                <w:sz w:val="18"/>
                <w:szCs w:val="18"/>
                <w:lang w:val="en-CA" w:eastAsia="en-CA"/>
              </w:rPr>
            </w:pPr>
            <w:r w:rsidRPr="006F0BB0">
              <w:rPr>
                <w:sz w:val="18"/>
                <w:szCs w:val="18"/>
              </w:rPr>
              <w:t>7 671 964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95818A5" w14:textId="77777777" w:rsidR="006F0BB0" w:rsidRPr="006F0BB0" w:rsidRDefault="006F0BB0" w:rsidP="007D1DBA">
            <w:pPr>
              <w:jc w:val="right"/>
              <w:rPr>
                <w:sz w:val="18"/>
                <w:szCs w:val="18"/>
                <w:lang w:val="en-CA" w:eastAsia="en-CA"/>
              </w:rPr>
            </w:pPr>
            <w:r w:rsidRPr="006F0BB0">
              <w:rPr>
                <w:sz w:val="18"/>
                <w:szCs w:val="18"/>
              </w:rPr>
              <w:t>5 781 527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3B62904" w14:textId="77777777" w:rsidR="006F0BB0" w:rsidRPr="006F0BB0" w:rsidRDefault="006F0BB0" w:rsidP="007D1DBA">
            <w:pPr>
              <w:jc w:val="right"/>
              <w:rPr>
                <w:sz w:val="18"/>
                <w:szCs w:val="18"/>
                <w:lang w:val="en-CA" w:eastAsia="en-CA"/>
              </w:rPr>
            </w:pPr>
            <w:r w:rsidRPr="006F0BB0">
              <w:rPr>
                <w:sz w:val="18"/>
                <w:szCs w:val="18"/>
              </w:rPr>
              <w:t>6 975 172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E504556" w14:textId="77777777" w:rsidR="006F0BB0" w:rsidRPr="006F0BB0" w:rsidRDefault="006F0BB0" w:rsidP="007D1DBA">
            <w:pPr>
              <w:jc w:val="right"/>
              <w:rPr>
                <w:sz w:val="18"/>
                <w:szCs w:val="18"/>
                <w:lang w:val="en-CA" w:eastAsia="en-CA"/>
              </w:rPr>
            </w:pPr>
            <w:r w:rsidRPr="006F0BB0">
              <w:rPr>
                <w:sz w:val="18"/>
                <w:szCs w:val="18"/>
              </w:rPr>
              <w:t>110,0%</w:t>
            </w:r>
          </w:p>
        </w:tc>
      </w:tr>
      <w:tr w:rsidR="006F0BB0" w:rsidRPr="006F0BB0" w14:paraId="7B0AEFE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F77986B"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Kirguistán</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A1F49C4" w14:textId="77777777" w:rsidR="006F0BB0" w:rsidRPr="006F0BB0" w:rsidRDefault="006F0BB0" w:rsidP="007D1DBA">
            <w:pPr>
              <w:jc w:val="right"/>
              <w:rPr>
                <w:sz w:val="18"/>
                <w:szCs w:val="18"/>
                <w:lang w:val="en-CA" w:eastAsia="en-CA"/>
              </w:rPr>
            </w:pPr>
            <w:r w:rsidRPr="006F0BB0">
              <w:rPr>
                <w:sz w:val="18"/>
                <w:szCs w:val="18"/>
              </w:rPr>
              <w:t>304 301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D5DB8A7" w14:textId="77777777" w:rsidR="006F0BB0" w:rsidRPr="006F0BB0" w:rsidRDefault="006F0BB0" w:rsidP="007D1DBA">
            <w:pPr>
              <w:jc w:val="right"/>
              <w:rPr>
                <w:sz w:val="18"/>
                <w:szCs w:val="18"/>
                <w:lang w:val="en-CA" w:eastAsia="en-CA"/>
              </w:rPr>
            </w:pPr>
            <w:r w:rsidRPr="006F0BB0">
              <w:rPr>
                <w:sz w:val="18"/>
                <w:szCs w:val="18"/>
              </w:rPr>
              <w:t>334 731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F8186FA" w14:textId="77777777" w:rsidR="006F0BB0" w:rsidRPr="006F0BB0" w:rsidRDefault="006F0BB0" w:rsidP="007D1DBA">
            <w:pPr>
              <w:jc w:val="right"/>
              <w:rPr>
                <w:sz w:val="18"/>
                <w:szCs w:val="18"/>
                <w:lang w:val="en-CA" w:eastAsia="en-CA"/>
              </w:rPr>
            </w:pPr>
            <w:r w:rsidRPr="006F0BB0">
              <w:rPr>
                <w:sz w:val="18"/>
                <w:szCs w:val="18"/>
              </w:rPr>
              <w:t>368 204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7241A63" w14:textId="77777777" w:rsidR="006F0BB0" w:rsidRPr="006F0BB0" w:rsidRDefault="006F0BB0" w:rsidP="007D1DBA">
            <w:pPr>
              <w:jc w:val="right"/>
              <w:rPr>
                <w:sz w:val="18"/>
                <w:szCs w:val="18"/>
                <w:lang w:val="en-CA" w:eastAsia="en-CA"/>
              </w:rPr>
            </w:pPr>
            <w:r w:rsidRPr="006F0BB0">
              <w:rPr>
                <w:sz w:val="18"/>
                <w:szCs w:val="18"/>
              </w:rPr>
              <w:t>405 025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F14FB38" w14:textId="77777777" w:rsidR="006F0BB0" w:rsidRPr="006F0BB0" w:rsidRDefault="006F0BB0" w:rsidP="007D1DBA">
            <w:pPr>
              <w:jc w:val="right"/>
              <w:rPr>
                <w:sz w:val="18"/>
                <w:szCs w:val="18"/>
                <w:lang w:val="en-CA" w:eastAsia="en-CA"/>
              </w:rPr>
            </w:pPr>
            <w:r w:rsidRPr="006F0BB0">
              <w:rPr>
                <w:sz w:val="18"/>
                <w:szCs w:val="18"/>
              </w:rPr>
              <w:t>445 527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2F6501D" w14:textId="77777777" w:rsidR="006F0BB0" w:rsidRPr="006F0BB0" w:rsidRDefault="006F0BB0" w:rsidP="007D1DBA">
            <w:pPr>
              <w:jc w:val="right"/>
              <w:rPr>
                <w:sz w:val="18"/>
                <w:szCs w:val="18"/>
                <w:lang w:val="en-CA" w:eastAsia="en-CA"/>
              </w:rPr>
            </w:pPr>
            <w:r w:rsidRPr="006F0BB0">
              <w:rPr>
                <w:sz w:val="18"/>
                <w:szCs w:val="18"/>
              </w:rPr>
              <w:t>490 080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E6C27ED" w14:textId="77777777" w:rsidR="006F0BB0" w:rsidRPr="006F0BB0" w:rsidRDefault="006F0BB0" w:rsidP="007D1DBA">
            <w:pPr>
              <w:jc w:val="right"/>
              <w:rPr>
                <w:sz w:val="18"/>
                <w:szCs w:val="18"/>
                <w:lang w:val="en-CA" w:eastAsia="en-CA"/>
              </w:rPr>
            </w:pPr>
            <w:r w:rsidRPr="006F0BB0">
              <w:rPr>
                <w:sz w:val="18"/>
                <w:szCs w:val="18"/>
              </w:rPr>
              <w:t>369 320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6447C34" w14:textId="77777777" w:rsidR="006F0BB0" w:rsidRPr="006F0BB0" w:rsidRDefault="006F0BB0" w:rsidP="007D1DBA">
            <w:pPr>
              <w:jc w:val="right"/>
              <w:rPr>
                <w:sz w:val="18"/>
                <w:szCs w:val="18"/>
                <w:lang w:val="en-CA" w:eastAsia="en-CA"/>
              </w:rPr>
            </w:pPr>
            <w:r w:rsidRPr="006F0BB0">
              <w:rPr>
                <w:sz w:val="18"/>
                <w:szCs w:val="18"/>
              </w:rPr>
              <w:t>443 862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C5D86D9" w14:textId="77777777" w:rsidR="006F0BB0" w:rsidRPr="006F0BB0" w:rsidRDefault="006F0BB0" w:rsidP="007D1DBA">
            <w:pPr>
              <w:jc w:val="right"/>
              <w:rPr>
                <w:sz w:val="18"/>
                <w:szCs w:val="18"/>
                <w:lang w:val="en-CA" w:eastAsia="en-CA"/>
              </w:rPr>
            </w:pPr>
            <w:r w:rsidRPr="006F0BB0">
              <w:rPr>
                <w:sz w:val="18"/>
                <w:szCs w:val="18"/>
              </w:rPr>
              <w:t>110,4%</w:t>
            </w:r>
          </w:p>
        </w:tc>
      </w:tr>
      <w:tr w:rsidR="006F0BB0" w:rsidRPr="006F0BB0" w14:paraId="276E0BE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DA225D1" w14:textId="77777777" w:rsidR="006F0BB0" w:rsidRPr="006F0BB0" w:rsidRDefault="006F0BB0" w:rsidP="007D1DBA">
            <w:pPr>
              <w:jc w:val="left"/>
              <w:rPr>
                <w:sz w:val="18"/>
                <w:szCs w:val="18"/>
                <w:lang w:val="en-CA" w:eastAsia="en-CA"/>
              </w:rPr>
            </w:pPr>
            <w:r w:rsidRPr="006F0BB0">
              <w:rPr>
                <w:sz w:val="18"/>
                <w:szCs w:val="18"/>
                <w:lang w:val="en-CA" w:eastAsia="en-CA"/>
              </w:rPr>
              <w:t>Namibia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091A60F" w14:textId="77777777" w:rsidR="006F0BB0" w:rsidRPr="006F0BB0" w:rsidRDefault="006F0BB0" w:rsidP="007D1DBA">
            <w:pPr>
              <w:jc w:val="right"/>
              <w:rPr>
                <w:sz w:val="18"/>
                <w:szCs w:val="18"/>
                <w:lang w:val="en-CA" w:eastAsia="en-CA"/>
              </w:rPr>
            </w:pPr>
            <w:r w:rsidRPr="006F0BB0">
              <w:rPr>
                <w:sz w:val="18"/>
                <w:szCs w:val="18"/>
              </w:rPr>
              <w:t>729 875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E9C4CE9" w14:textId="77777777" w:rsidR="006F0BB0" w:rsidRPr="006F0BB0" w:rsidRDefault="006F0BB0" w:rsidP="007D1DBA">
            <w:pPr>
              <w:jc w:val="right"/>
              <w:rPr>
                <w:sz w:val="18"/>
                <w:szCs w:val="18"/>
                <w:lang w:val="en-CA" w:eastAsia="en-CA"/>
              </w:rPr>
            </w:pPr>
            <w:r w:rsidRPr="006F0BB0">
              <w:rPr>
                <w:sz w:val="18"/>
                <w:szCs w:val="18"/>
              </w:rPr>
              <w:t>802 863</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D3F8113" w14:textId="77777777" w:rsidR="006F0BB0" w:rsidRPr="006F0BB0" w:rsidRDefault="006F0BB0" w:rsidP="007D1DBA">
            <w:pPr>
              <w:jc w:val="right"/>
              <w:rPr>
                <w:sz w:val="18"/>
                <w:szCs w:val="18"/>
                <w:lang w:val="en-CA" w:eastAsia="en-CA"/>
              </w:rPr>
            </w:pPr>
            <w:r w:rsidRPr="006F0BB0">
              <w:rPr>
                <w:sz w:val="18"/>
                <w:szCs w:val="18"/>
              </w:rPr>
              <w:t>883 149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847BA01" w14:textId="77777777" w:rsidR="006F0BB0" w:rsidRPr="006F0BB0" w:rsidRDefault="006F0BB0" w:rsidP="007D1DBA">
            <w:pPr>
              <w:jc w:val="right"/>
              <w:rPr>
                <w:sz w:val="18"/>
                <w:szCs w:val="18"/>
                <w:lang w:val="en-CA" w:eastAsia="en-CA"/>
              </w:rPr>
            </w:pPr>
            <w:r w:rsidRPr="006F0BB0">
              <w:rPr>
                <w:sz w:val="18"/>
                <w:szCs w:val="18"/>
              </w:rPr>
              <w:t>971 464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2B774D5" w14:textId="77777777" w:rsidR="006F0BB0" w:rsidRPr="006F0BB0" w:rsidRDefault="006F0BB0" w:rsidP="007D1DBA">
            <w:pPr>
              <w:jc w:val="right"/>
              <w:rPr>
                <w:sz w:val="18"/>
                <w:szCs w:val="18"/>
                <w:lang w:val="en-CA" w:eastAsia="en-CA"/>
              </w:rPr>
            </w:pPr>
            <w:r w:rsidRPr="006F0BB0">
              <w:rPr>
                <w:sz w:val="18"/>
                <w:szCs w:val="18"/>
              </w:rPr>
              <w:t>1 068 610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309D943" w14:textId="77777777" w:rsidR="006F0BB0" w:rsidRPr="006F0BB0" w:rsidRDefault="006F0BB0" w:rsidP="007D1DBA">
            <w:pPr>
              <w:jc w:val="right"/>
              <w:rPr>
                <w:sz w:val="18"/>
                <w:szCs w:val="18"/>
                <w:lang w:val="en-CA" w:eastAsia="en-CA"/>
              </w:rPr>
            </w:pPr>
            <w:r w:rsidRPr="006F0BB0">
              <w:rPr>
                <w:sz w:val="18"/>
                <w:szCs w:val="18"/>
              </w:rPr>
              <w:t>1 175 471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E0968F" w14:textId="77777777" w:rsidR="006F0BB0" w:rsidRPr="006F0BB0" w:rsidRDefault="006F0BB0" w:rsidP="007D1DBA">
            <w:pPr>
              <w:jc w:val="right"/>
              <w:rPr>
                <w:sz w:val="18"/>
                <w:szCs w:val="18"/>
                <w:lang w:val="en-CA" w:eastAsia="en-CA"/>
              </w:rPr>
            </w:pPr>
            <w:r w:rsidRPr="006F0BB0">
              <w:rPr>
                <w:sz w:val="18"/>
                <w:szCs w:val="18"/>
              </w:rPr>
              <w:t>885 825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1FCE721" w14:textId="77777777" w:rsidR="006F0BB0" w:rsidRPr="006F0BB0" w:rsidRDefault="006F0BB0" w:rsidP="007D1DBA">
            <w:pPr>
              <w:jc w:val="right"/>
              <w:rPr>
                <w:sz w:val="18"/>
                <w:szCs w:val="18"/>
                <w:lang w:val="en-CA" w:eastAsia="en-CA"/>
              </w:rPr>
            </w:pPr>
            <w:r w:rsidRPr="006F0BB0">
              <w:rPr>
                <w:sz w:val="18"/>
                <w:szCs w:val="18"/>
              </w:rPr>
              <w:t>1 060 325</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E3BCE82" w14:textId="77777777" w:rsidR="006F0BB0" w:rsidRPr="006F0BB0" w:rsidRDefault="006F0BB0" w:rsidP="007D1DBA">
            <w:pPr>
              <w:jc w:val="right"/>
              <w:rPr>
                <w:sz w:val="18"/>
                <w:szCs w:val="18"/>
                <w:lang w:val="en-CA" w:eastAsia="en-CA"/>
              </w:rPr>
            </w:pPr>
            <w:r w:rsidRPr="006F0BB0">
              <w:rPr>
                <w:sz w:val="18"/>
                <w:szCs w:val="18"/>
              </w:rPr>
              <w:t>110,9%</w:t>
            </w:r>
          </w:p>
        </w:tc>
      </w:tr>
      <w:tr w:rsidR="006F0BB0" w:rsidRPr="006F0BB0" w14:paraId="4CAE1BD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3CB32A6" w14:textId="77777777" w:rsidR="006F0BB0" w:rsidRPr="006F0BB0" w:rsidRDefault="006F0BB0" w:rsidP="007D1DBA">
            <w:pPr>
              <w:jc w:val="left"/>
              <w:rPr>
                <w:sz w:val="18"/>
                <w:szCs w:val="18"/>
                <w:lang w:val="en-CA" w:eastAsia="en-CA"/>
              </w:rPr>
            </w:pPr>
            <w:proofErr w:type="spellStart"/>
            <w:r w:rsidRPr="006F0BB0">
              <w:rPr>
                <w:sz w:val="18"/>
                <w:szCs w:val="18"/>
                <w:lang w:val="en-CA" w:eastAsia="en-CA"/>
              </w:rPr>
              <w:t>Maldivas</w:t>
            </w:r>
            <w:proofErr w:type="spellEnd"/>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562D7B4" w14:textId="77777777" w:rsidR="006F0BB0" w:rsidRPr="006F0BB0" w:rsidRDefault="006F0BB0" w:rsidP="007D1DBA">
            <w:pPr>
              <w:jc w:val="right"/>
              <w:rPr>
                <w:sz w:val="18"/>
                <w:szCs w:val="18"/>
                <w:lang w:val="en-CA" w:eastAsia="en-CA"/>
              </w:rPr>
            </w:pPr>
            <w:r w:rsidRPr="006F0BB0">
              <w:rPr>
                <w:sz w:val="18"/>
                <w:szCs w:val="18"/>
              </w:rPr>
              <w:t>358 171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BFA0695" w14:textId="77777777" w:rsidR="006F0BB0" w:rsidRPr="006F0BB0" w:rsidRDefault="006F0BB0" w:rsidP="007D1DBA">
            <w:pPr>
              <w:jc w:val="right"/>
              <w:rPr>
                <w:sz w:val="18"/>
                <w:szCs w:val="18"/>
                <w:lang w:val="en-CA" w:eastAsia="en-CA"/>
              </w:rPr>
            </w:pPr>
            <w:r w:rsidRPr="006F0BB0">
              <w:rPr>
                <w:sz w:val="18"/>
                <w:szCs w:val="18"/>
              </w:rPr>
              <w:t>393 988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1DB5513" w14:textId="77777777" w:rsidR="006F0BB0" w:rsidRPr="006F0BB0" w:rsidRDefault="006F0BB0" w:rsidP="007D1DBA">
            <w:pPr>
              <w:jc w:val="right"/>
              <w:rPr>
                <w:sz w:val="18"/>
                <w:szCs w:val="18"/>
                <w:lang w:val="en-CA" w:eastAsia="en-CA"/>
              </w:rPr>
            </w:pPr>
            <w:r w:rsidRPr="006F0BB0">
              <w:rPr>
                <w:sz w:val="18"/>
                <w:szCs w:val="18"/>
              </w:rPr>
              <w:t>433 387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65B96AA" w14:textId="77777777" w:rsidR="006F0BB0" w:rsidRPr="006F0BB0" w:rsidRDefault="006F0BB0" w:rsidP="007D1DBA">
            <w:pPr>
              <w:jc w:val="right"/>
              <w:rPr>
                <w:sz w:val="18"/>
                <w:szCs w:val="18"/>
                <w:lang w:val="en-CA" w:eastAsia="en-CA"/>
              </w:rPr>
            </w:pPr>
            <w:r w:rsidRPr="006F0BB0">
              <w:rPr>
                <w:sz w:val="18"/>
                <w:szCs w:val="18"/>
              </w:rPr>
              <w:t>476 726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2AFCCA6" w14:textId="77777777" w:rsidR="006F0BB0" w:rsidRPr="006F0BB0" w:rsidRDefault="006F0BB0" w:rsidP="007D1DBA">
            <w:pPr>
              <w:jc w:val="right"/>
              <w:rPr>
                <w:sz w:val="18"/>
                <w:szCs w:val="18"/>
                <w:lang w:val="en-CA" w:eastAsia="en-CA"/>
              </w:rPr>
            </w:pPr>
            <w:r w:rsidRPr="006F0BB0">
              <w:rPr>
                <w:sz w:val="18"/>
                <w:szCs w:val="18"/>
              </w:rPr>
              <w:t>524 398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D4AF4CA" w14:textId="77777777" w:rsidR="006F0BB0" w:rsidRPr="006F0BB0" w:rsidRDefault="006F0BB0" w:rsidP="007D1DBA">
            <w:pPr>
              <w:jc w:val="right"/>
              <w:rPr>
                <w:sz w:val="18"/>
                <w:szCs w:val="18"/>
                <w:lang w:val="en-CA" w:eastAsia="en-CA"/>
              </w:rPr>
            </w:pPr>
            <w:r w:rsidRPr="006F0BB0">
              <w:rPr>
                <w:sz w:val="18"/>
                <w:szCs w:val="18"/>
              </w:rPr>
              <w:t>576 838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F9DC639" w14:textId="77777777" w:rsidR="006F0BB0" w:rsidRPr="006F0BB0" w:rsidRDefault="006F0BB0" w:rsidP="007D1DBA">
            <w:pPr>
              <w:jc w:val="right"/>
              <w:rPr>
                <w:sz w:val="18"/>
                <w:szCs w:val="18"/>
                <w:lang w:val="en-CA" w:eastAsia="en-CA"/>
              </w:rPr>
            </w:pPr>
            <w:r w:rsidRPr="006F0BB0">
              <w:rPr>
                <w:sz w:val="18"/>
                <w:szCs w:val="18"/>
              </w:rPr>
              <w:t>434 700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CA2E36" w14:textId="77777777" w:rsidR="006F0BB0" w:rsidRPr="006F0BB0" w:rsidRDefault="006F0BB0" w:rsidP="007D1DBA">
            <w:pPr>
              <w:jc w:val="right"/>
              <w:rPr>
                <w:sz w:val="18"/>
                <w:szCs w:val="18"/>
                <w:lang w:val="en-CA" w:eastAsia="en-CA"/>
              </w:rPr>
            </w:pPr>
            <w:r w:rsidRPr="006F0BB0">
              <w:rPr>
                <w:sz w:val="18"/>
                <w:szCs w:val="18"/>
              </w:rPr>
              <w:t>520 249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15B7542" w14:textId="77777777" w:rsidR="006F0BB0" w:rsidRPr="006F0BB0" w:rsidRDefault="006F0BB0" w:rsidP="007D1DBA">
            <w:pPr>
              <w:jc w:val="right"/>
              <w:rPr>
                <w:sz w:val="18"/>
                <w:szCs w:val="18"/>
                <w:lang w:val="en-CA" w:eastAsia="en-CA"/>
              </w:rPr>
            </w:pPr>
            <w:r w:rsidRPr="006F0BB0">
              <w:rPr>
                <w:sz w:val="18"/>
                <w:szCs w:val="18"/>
              </w:rPr>
              <w:t>110,9%</w:t>
            </w:r>
          </w:p>
        </w:tc>
      </w:tr>
      <w:tr w:rsidR="006F0BB0" w:rsidRPr="006F0BB0" w14:paraId="33BCD7A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E6E5CFF" w14:textId="77777777" w:rsidR="006F0BB0" w:rsidRPr="006F0BB0" w:rsidRDefault="006F0BB0" w:rsidP="007D1DBA">
            <w:pPr>
              <w:jc w:val="left"/>
              <w:rPr>
                <w:sz w:val="18"/>
                <w:szCs w:val="18"/>
                <w:lang w:val="en-CA" w:eastAsia="en-CA"/>
              </w:rPr>
            </w:pPr>
            <w:r w:rsidRPr="006F0BB0">
              <w:rPr>
                <w:sz w:val="18"/>
                <w:szCs w:val="18"/>
                <w:lang w:val="en-CA" w:eastAsia="en-CA"/>
              </w:rPr>
              <w:t>Nicaragua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AF27953" w14:textId="77777777" w:rsidR="006F0BB0" w:rsidRPr="006F0BB0" w:rsidRDefault="006F0BB0" w:rsidP="007D1DBA">
            <w:pPr>
              <w:jc w:val="right"/>
              <w:rPr>
                <w:sz w:val="18"/>
                <w:szCs w:val="18"/>
                <w:lang w:val="en-CA" w:eastAsia="en-CA"/>
              </w:rPr>
            </w:pPr>
            <w:r w:rsidRPr="006F0BB0">
              <w:rPr>
                <w:sz w:val="18"/>
                <w:szCs w:val="18"/>
              </w:rPr>
              <w:t>558 528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3256B6D" w14:textId="77777777" w:rsidR="006F0BB0" w:rsidRPr="006F0BB0" w:rsidRDefault="006F0BB0" w:rsidP="007D1DBA">
            <w:pPr>
              <w:jc w:val="right"/>
              <w:rPr>
                <w:sz w:val="18"/>
                <w:szCs w:val="18"/>
                <w:lang w:val="en-CA" w:eastAsia="en-CA"/>
              </w:rPr>
            </w:pPr>
            <w:r w:rsidRPr="006F0BB0">
              <w:rPr>
                <w:sz w:val="18"/>
                <w:szCs w:val="18"/>
              </w:rPr>
              <w:t>614 381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D96FB42" w14:textId="77777777" w:rsidR="006F0BB0" w:rsidRPr="006F0BB0" w:rsidRDefault="006F0BB0" w:rsidP="007D1DBA">
            <w:pPr>
              <w:jc w:val="right"/>
              <w:rPr>
                <w:sz w:val="18"/>
                <w:szCs w:val="18"/>
                <w:lang w:val="en-CA" w:eastAsia="en-CA"/>
              </w:rPr>
            </w:pPr>
            <w:r w:rsidRPr="006F0BB0">
              <w:rPr>
                <w:sz w:val="18"/>
                <w:szCs w:val="18"/>
              </w:rPr>
              <w:t>675 819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31D177" w14:textId="77777777" w:rsidR="006F0BB0" w:rsidRPr="006F0BB0" w:rsidRDefault="006F0BB0" w:rsidP="007D1DBA">
            <w:pPr>
              <w:jc w:val="right"/>
              <w:rPr>
                <w:sz w:val="18"/>
                <w:szCs w:val="18"/>
                <w:lang w:val="en-CA" w:eastAsia="en-CA"/>
              </w:rPr>
            </w:pPr>
            <w:r w:rsidRPr="006F0BB0">
              <w:rPr>
                <w:sz w:val="18"/>
                <w:szCs w:val="18"/>
              </w:rPr>
              <w:t>743 401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63DAECD" w14:textId="77777777" w:rsidR="006F0BB0" w:rsidRPr="006F0BB0" w:rsidRDefault="006F0BB0" w:rsidP="007D1DBA">
            <w:pPr>
              <w:jc w:val="right"/>
              <w:rPr>
                <w:sz w:val="18"/>
                <w:szCs w:val="18"/>
                <w:lang w:val="en-CA" w:eastAsia="en-CA"/>
              </w:rPr>
            </w:pPr>
            <w:r w:rsidRPr="006F0BB0">
              <w:rPr>
                <w:sz w:val="18"/>
                <w:szCs w:val="18"/>
              </w:rPr>
              <w:t>817 741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767CFF4" w14:textId="77777777" w:rsidR="006F0BB0" w:rsidRPr="006F0BB0" w:rsidRDefault="006F0BB0" w:rsidP="007D1DBA">
            <w:pPr>
              <w:jc w:val="right"/>
              <w:rPr>
                <w:sz w:val="18"/>
                <w:szCs w:val="18"/>
                <w:lang w:val="en-CA" w:eastAsia="en-CA"/>
              </w:rPr>
            </w:pPr>
            <w:r w:rsidRPr="006F0BB0">
              <w:rPr>
                <w:sz w:val="18"/>
                <w:szCs w:val="18"/>
              </w:rPr>
              <w:t>899 515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4A1A98B" w14:textId="77777777" w:rsidR="006F0BB0" w:rsidRPr="006F0BB0" w:rsidRDefault="006F0BB0" w:rsidP="007D1DBA">
            <w:pPr>
              <w:jc w:val="right"/>
              <w:rPr>
                <w:sz w:val="18"/>
                <w:szCs w:val="18"/>
                <w:lang w:val="en-CA" w:eastAsia="en-CA"/>
              </w:rPr>
            </w:pPr>
            <w:r w:rsidRPr="006F0BB0">
              <w:rPr>
                <w:sz w:val="18"/>
                <w:szCs w:val="18"/>
              </w:rPr>
              <w:t>677 867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8F21489" w14:textId="77777777" w:rsidR="006F0BB0" w:rsidRPr="006F0BB0" w:rsidRDefault="006F0BB0" w:rsidP="007D1DBA">
            <w:pPr>
              <w:jc w:val="right"/>
              <w:rPr>
                <w:sz w:val="18"/>
                <w:szCs w:val="18"/>
                <w:lang w:val="en-CA" w:eastAsia="en-CA"/>
              </w:rPr>
            </w:pPr>
            <w:r w:rsidRPr="006F0BB0">
              <w:rPr>
                <w:sz w:val="18"/>
                <w:szCs w:val="18"/>
              </w:rPr>
              <w:t>811 175</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A0A99D8" w14:textId="77777777" w:rsidR="006F0BB0" w:rsidRPr="006F0BB0" w:rsidRDefault="006F0BB0" w:rsidP="007D1DBA">
            <w:pPr>
              <w:jc w:val="right"/>
              <w:rPr>
                <w:sz w:val="18"/>
                <w:szCs w:val="18"/>
                <w:lang w:val="en-CA" w:eastAsia="en-CA"/>
              </w:rPr>
            </w:pPr>
            <w:r w:rsidRPr="006F0BB0">
              <w:rPr>
                <w:sz w:val="18"/>
                <w:szCs w:val="18"/>
              </w:rPr>
              <w:t>110,9%</w:t>
            </w:r>
          </w:p>
        </w:tc>
      </w:tr>
      <w:tr w:rsidR="006F0BB0" w:rsidRPr="006F0BB0" w14:paraId="12E7A85A"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EA9CF86" w14:textId="77777777" w:rsidR="006F0BB0" w:rsidRPr="006F0BB0" w:rsidRDefault="006F0BB0" w:rsidP="007D1DBA">
            <w:pPr>
              <w:jc w:val="left"/>
              <w:rPr>
                <w:sz w:val="18"/>
                <w:szCs w:val="18"/>
                <w:lang w:val="en-CA" w:eastAsia="en-CA"/>
              </w:rPr>
            </w:pPr>
            <w:r w:rsidRPr="006F0BB0">
              <w:rPr>
                <w:sz w:val="18"/>
                <w:szCs w:val="18"/>
                <w:lang w:val="en-CA" w:eastAsia="en-CA"/>
              </w:rPr>
              <w:t>Costa Rica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38B27D1" w14:textId="77777777" w:rsidR="006F0BB0" w:rsidRPr="006F0BB0" w:rsidRDefault="006F0BB0" w:rsidP="007D1DBA">
            <w:pPr>
              <w:jc w:val="right"/>
              <w:rPr>
                <w:sz w:val="18"/>
                <w:szCs w:val="18"/>
                <w:lang w:val="en-CA" w:eastAsia="en-CA"/>
              </w:rPr>
            </w:pPr>
            <w:r w:rsidRPr="006F0BB0">
              <w:rPr>
                <w:sz w:val="18"/>
                <w:szCs w:val="18"/>
              </w:rPr>
              <w:t>1 099 195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C833234" w14:textId="77777777" w:rsidR="006F0BB0" w:rsidRPr="006F0BB0" w:rsidRDefault="006F0BB0" w:rsidP="007D1DBA">
            <w:pPr>
              <w:jc w:val="right"/>
              <w:rPr>
                <w:sz w:val="18"/>
                <w:szCs w:val="18"/>
                <w:lang w:val="en-CA" w:eastAsia="en-CA"/>
              </w:rPr>
            </w:pPr>
            <w:r w:rsidRPr="006F0BB0">
              <w:rPr>
                <w:sz w:val="18"/>
                <w:szCs w:val="18"/>
              </w:rPr>
              <w:t>1 209 115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029ADFD" w14:textId="77777777" w:rsidR="006F0BB0" w:rsidRPr="006F0BB0" w:rsidRDefault="006F0BB0" w:rsidP="007D1DBA">
            <w:pPr>
              <w:jc w:val="right"/>
              <w:rPr>
                <w:sz w:val="18"/>
                <w:szCs w:val="18"/>
                <w:lang w:val="en-CA" w:eastAsia="en-CA"/>
              </w:rPr>
            </w:pPr>
            <w:r w:rsidRPr="006F0BB0">
              <w:rPr>
                <w:sz w:val="18"/>
                <w:szCs w:val="18"/>
              </w:rPr>
              <w:t>1 330 026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04861E" w14:textId="77777777" w:rsidR="006F0BB0" w:rsidRPr="006F0BB0" w:rsidRDefault="006F0BB0" w:rsidP="007D1DBA">
            <w:pPr>
              <w:jc w:val="right"/>
              <w:rPr>
                <w:sz w:val="18"/>
                <w:szCs w:val="18"/>
                <w:lang w:val="en-CA" w:eastAsia="en-CA"/>
              </w:rPr>
            </w:pPr>
            <w:r w:rsidRPr="006F0BB0">
              <w:rPr>
                <w:sz w:val="18"/>
                <w:szCs w:val="18"/>
              </w:rPr>
              <w:t>1 463 029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A9A2A7B" w14:textId="77777777" w:rsidR="006F0BB0" w:rsidRPr="006F0BB0" w:rsidRDefault="006F0BB0" w:rsidP="007D1DBA">
            <w:pPr>
              <w:jc w:val="right"/>
              <w:rPr>
                <w:sz w:val="18"/>
                <w:szCs w:val="18"/>
                <w:lang w:val="en-CA" w:eastAsia="en-CA"/>
              </w:rPr>
            </w:pPr>
            <w:r w:rsidRPr="006F0BB0">
              <w:rPr>
                <w:sz w:val="18"/>
                <w:szCs w:val="18"/>
              </w:rPr>
              <w:t>1 609 331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75C74A5" w14:textId="77777777" w:rsidR="006F0BB0" w:rsidRPr="006F0BB0" w:rsidRDefault="006F0BB0" w:rsidP="007D1DBA">
            <w:pPr>
              <w:jc w:val="right"/>
              <w:rPr>
                <w:sz w:val="18"/>
                <w:szCs w:val="18"/>
                <w:lang w:val="en-CA" w:eastAsia="en-CA"/>
              </w:rPr>
            </w:pPr>
            <w:r w:rsidRPr="006F0BB0">
              <w:rPr>
                <w:sz w:val="18"/>
                <w:szCs w:val="18"/>
              </w:rPr>
              <w:t>1 770 265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0F3AE1E" w14:textId="77777777" w:rsidR="006F0BB0" w:rsidRPr="006F0BB0" w:rsidRDefault="006F0BB0" w:rsidP="007D1DBA">
            <w:pPr>
              <w:jc w:val="right"/>
              <w:rPr>
                <w:sz w:val="18"/>
                <w:szCs w:val="18"/>
                <w:lang w:val="en-CA" w:eastAsia="en-CA"/>
              </w:rPr>
            </w:pPr>
            <w:r w:rsidRPr="006F0BB0">
              <w:rPr>
                <w:sz w:val="18"/>
                <w:szCs w:val="18"/>
              </w:rPr>
              <w:t>1 334 056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F6B7603" w14:textId="77777777" w:rsidR="006F0BB0" w:rsidRPr="006F0BB0" w:rsidRDefault="006F0BB0" w:rsidP="007D1DBA">
            <w:pPr>
              <w:jc w:val="right"/>
              <w:rPr>
                <w:sz w:val="18"/>
                <w:szCs w:val="18"/>
                <w:lang w:val="en-CA" w:eastAsia="en-CA"/>
              </w:rPr>
            </w:pPr>
            <w:r w:rsidRPr="006F0BB0">
              <w:rPr>
                <w:sz w:val="18"/>
                <w:szCs w:val="18"/>
              </w:rPr>
              <w:t>1 572 658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89B2503" w14:textId="77777777" w:rsidR="006F0BB0" w:rsidRPr="006F0BB0" w:rsidRDefault="006F0BB0" w:rsidP="007D1DBA">
            <w:pPr>
              <w:jc w:val="right"/>
              <w:rPr>
                <w:sz w:val="18"/>
                <w:szCs w:val="18"/>
                <w:lang w:val="en-CA" w:eastAsia="en-CA"/>
              </w:rPr>
            </w:pPr>
            <w:r w:rsidRPr="006F0BB0">
              <w:rPr>
                <w:sz w:val="18"/>
                <w:szCs w:val="18"/>
              </w:rPr>
              <w:t>112,6%</w:t>
            </w:r>
          </w:p>
        </w:tc>
      </w:tr>
      <w:tr w:rsidR="006F0BB0" w:rsidRPr="006F0BB0" w14:paraId="5C6B956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C324A61" w14:textId="77777777" w:rsidR="006F0BB0" w:rsidRPr="006F0BB0" w:rsidRDefault="006F0BB0" w:rsidP="007D1DBA">
            <w:pPr>
              <w:jc w:val="left"/>
              <w:rPr>
                <w:sz w:val="18"/>
                <w:szCs w:val="18"/>
                <w:lang w:val="en-CA" w:eastAsia="en-CA"/>
              </w:rPr>
            </w:pPr>
            <w:r w:rsidRPr="006F0BB0">
              <w:rPr>
                <w:sz w:val="18"/>
                <w:szCs w:val="18"/>
                <w:lang w:val="en-CA" w:eastAsia="en-CA"/>
              </w:rPr>
              <w:t>Samoa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05C423C" w14:textId="77777777" w:rsidR="006F0BB0" w:rsidRPr="006F0BB0" w:rsidRDefault="006F0BB0" w:rsidP="007D1DBA">
            <w:pPr>
              <w:jc w:val="right"/>
              <w:rPr>
                <w:sz w:val="18"/>
                <w:szCs w:val="18"/>
                <w:lang w:val="en-CA" w:eastAsia="en-CA"/>
              </w:rPr>
            </w:pPr>
            <w:r w:rsidRPr="006F0BB0">
              <w:rPr>
                <w:sz w:val="18"/>
                <w:szCs w:val="18"/>
              </w:rPr>
              <w:t>25 170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E65A6DA" w14:textId="77777777" w:rsidR="006F0BB0" w:rsidRPr="006F0BB0" w:rsidRDefault="006F0BB0" w:rsidP="007D1DBA">
            <w:pPr>
              <w:jc w:val="right"/>
              <w:rPr>
                <w:sz w:val="18"/>
                <w:szCs w:val="18"/>
                <w:lang w:val="en-CA" w:eastAsia="en-CA"/>
              </w:rPr>
            </w:pPr>
            <w:r w:rsidRPr="006F0BB0">
              <w:rPr>
                <w:sz w:val="18"/>
                <w:szCs w:val="18"/>
              </w:rPr>
              <w:t>27 687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CBED5BB" w14:textId="77777777" w:rsidR="006F0BB0" w:rsidRPr="006F0BB0" w:rsidRDefault="006F0BB0" w:rsidP="007D1DBA">
            <w:pPr>
              <w:jc w:val="right"/>
              <w:rPr>
                <w:sz w:val="18"/>
                <w:szCs w:val="18"/>
                <w:lang w:val="en-CA" w:eastAsia="en-CA"/>
              </w:rPr>
            </w:pPr>
            <w:r w:rsidRPr="006F0BB0">
              <w:rPr>
                <w:sz w:val="18"/>
                <w:szCs w:val="18"/>
              </w:rPr>
              <w:t>30 456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01A4D4A" w14:textId="77777777" w:rsidR="006F0BB0" w:rsidRPr="006F0BB0" w:rsidRDefault="006F0BB0" w:rsidP="007D1DBA">
            <w:pPr>
              <w:jc w:val="right"/>
              <w:rPr>
                <w:sz w:val="18"/>
                <w:szCs w:val="18"/>
                <w:lang w:val="en-CA" w:eastAsia="en-CA"/>
              </w:rPr>
            </w:pPr>
            <w:r w:rsidRPr="006F0BB0">
              <w:rPr>
                <w:sz w:val="18"/>
                <w:szCs w:val="18"/>
              </w:rPr>
              <w:t>33 501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C13C801" w14:textId="77777777" w:rsidR="006F0BB0" w:rsidRPr="006F0BB0" w:rsidRDefault="006F0BB0" w:rsidP="007D1DBA">
            <w:pPr>
              <w:jc w:val="right"/>
              <w:rPr>
                <w:sz w:val="18"/>
                <w:szCs w:val="18"/>
                <w:lang w:val="en-CA" w:eastAsia="en-CA"/>
              </w:rPr>
            </w:pPr>
            <w:r w:rsidRPr="006F0BB0">
              <w:rPr>
                <w:sz w:val="18"/>
                <w:szCs w:val="18"/>
              </w:rPr>
              <w:t>36 851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DECAA14" w14:textId="77777777" w:rsidR="006F0BB0" w:rsidRPr="006F0BB0" w:rsidRDefault="006F0BB0" w:rsidP="007D1DBA">
            <w:pPr>
              <w:jc w:val="right"/>
              <w:rPr>
                <w:sz w:val="18"/>
                <w:szCs w:val="18"/>
                <w:lang w:val="en-CA" w:eastAsia="en-CA"/>
              </w:rPr>
            </w:pPr>
            <w:r w:rsidRPr="006F0BB0">
              <w:rPr>
                <w:sz w:val="18"/>
                <w:szCs w:val="18"/>
              </w:rPr>
              <w:t>40 537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B458154" w14:textId="77777777" w:rsidR="006F0BB0" w:rsidRPr="006F0BB0" w:rsidRDefault="006F0BB0" w:rsidP="007D1DBA">
            <w:pPr>
              <w:jc w:val="right"/>
              <w:rPr>
                <w:sz w:val="18"/>
                <w:szCs w:val="18"/>
                <w:lang w:val="en-CA" w:eastAsia="en-CA"/>
              </w:rPr>
            </w:pPr>
            <w:r w:rsidRPr="006F0BB0">
              <w:rPr>
                <w:sz w:val="18"/>
                <w:szCs w:val="18"/>
              </w:rPr>
              <w:t>30 548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47F58F8" w14:textId="77777777" w:rsidR="006F0BB0" w:rsidRPr="006F0BB0" w:rsidRDefault="006F0BB0" w:rsidP="007D1DBA">
            <w:pPr>
              <w:jc w:val="right"/>
              <w:rPr>
                <w:sz w:val="18"/>
                <w:szCs w:val="18"/>
                <w:lang w:val="en-CA" w:eastAsia="en-CA"/>
              </w:rPr>
            </w:pPr>
            <w:r w:rsidRPr="006F0BB0">
              <w:rPr>
                <w:sz w:val="18"/>
                <w:szCs w:val="18"/>
              </w:rPr>
              <w:t>35 960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484F9AF" w14:textId="77777777" w:rsidR="006F0BB0" w:rsidRPr="006F0BB0" w:rsidRDefault="006F0BB0" w:rsidP="007D1DBA">
            <w:pPr>
              <w:jc w:val="right"/>
              <w:rPr>
                <w:sz w:val="18"/>
                <w:szCs w:val="18"/>
                <w:lang w:val="en-CA" w:eastAsia="en-CA"/>
              </w:rPr>
            </w:pPr>
            <w:r w:rsidRPr="006F0BB0">
              <w:rPr>
                <w:sz w:val="18"/>
                <w:szCs w:val="18"/>
              </w:rPr>
              <w:t>112,7%</w:t>
            </w:r>
          </w:p>
        </w:tc>
      </w:tr>
      <w:tr w:rsidR="006F0BB0" w:rsidRPr="006F0BB0" w14:paraId="024FC24B"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64E65CF" w14:textId="77777777" w:rsidR="006F0BB0" w:rsidRPr="006F0BB0" w:rsidRDefault="006F0BB0" w:rsidP="007D1DBA">
            <w:pPr>
              <w:jc w:val="left"/>
              <w:rPr>
                <w:sz w:val="18"/>
                <w:szCs w:val="18"/>
                <w:lang w:val="en-CA" w:eastAsia="en-CA"/>
              </w:rPr>
            </w:pPr>
            <w:r w:rsidRPr="006F0BB0">
              <w:rPr>
                <w:sz w:val="18"/>
                <w:szCs w:val="18"/>
                <w:lang w:val="es-419" w:eastAsia="es-419"/>
              </w:rPr>
              <w:t>Micronesia (Estados Federados de)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8A47930" w14:textId="77777777" w:rsidR="006F0BB0" w:rsidRPr="006F0BB0" w:rsidRDefault="006F0BB0" w:rsidP="007D1DBA">
            <w:pPr>
              <w:jc w:val="right"/>
              <w:rPr>
                <w:sz w:val="18"/>
                <w:szCs w:val="18"/>
                <w:lang w:val="en-CA" w:eastAsia="en-CA"/>
              </w:rPr>
            </w:pPr>
            <w:r w:rsidRPr="006F0BB0">
              <w:rPr>
                <w:sz w:val="18"/>
                <w:szCs w:val="18"/>
              </w:rPr>
              <w:t>14 020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8C9E8C0" w14:textId="77777777" w:rsidR="006F0BB0" w:rsidRPr="006F0BB0" w:rsidRDefault="006F0BB0" w:rsidP="007D1DBA">
            <w:pPr>
              <w:jc w:val="right"/>
              <w:rPr>
                <w:sz w:val="18"/>
                <w:szCs w:val="18"/>
                <w:lang w:val="en-CA" w:eastAsia="en-CA"/>
              </w:rPr>
            </w:pPr>
            <w:r w:rsidRPr="006F0BB0">
              <w:rPr>
                <w:sz w:val="18"/>
                <w:szCs w:val="18"/>
              </w:rPr>
              <w:t>15 422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4F2DE14" w14:textId="77777777" w:rsidR="006F0BB0" w:rsidRPr="006F0BB0" w:rsidRDefault="006F0BB0" w:rsidP="007D1DBA">
            <w:pPr>
              <w:jc w:val="right"/>
              <w:rPr>
                <w:sz w:val="18"/>
                <w:szCs w:val="18"/>
                <w:lang w:val="en-CA" w:eastAsia="en-CA"/>
              </w:rPr>
            </w:pPr>
            <w:r w:rsidRPr="006F0BB0">
              <w:rPr>
                <w:sz w:val="18"/>
                <w:szCs w:val="18"/>
              </w:rPr>
              <w:t>16 964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3E4DF3" w14:textId="77777777" w:rsidR="006F0BB0" w:rsidRPr="006F0BB0" w:rsidRDefault="006F0BB0" w:rsidP="007D1DBA">
            <w:pPr>
              <w:jc w:val="right"/>
              <w:rPr>
                <w:sz w:val="18"/>
                <w:szCs w:val="18"/>
                <w:lang w:val="en-CA" w:eastAsia="en-CA"/>
              </w:rPr>
            </w:pPr>
            <w:r w:rsidRPr="006F0BB0">
              <w:rPr>
                <w:sz w:val="18"/>
                <w:szCs w:val="18"/>
              </w:rPr>
              <w:t>18 661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5415552" w14:textId="77777777" w:rsidR="006F0BB0" w:rsidRPr="006F0BB0" w:rsidRDefault="006F0BB0" w:rsidP="007D1DBA">
            <w:pPr>
              <w:jc w:val="right"/>
              <w:rPr>
                <w:sz w:val="18"/>
                <w:szCs w:val="18"/>
                <w:lang w:val="en-CA" w:eastAsia="en-CA"/>
              </w:rPr>
            </w:pPr>
            <w:r w:rsidRPr="006F0BB0">
              <w:rPr>
                <w:sz w:val="18"/>
                <w:szCs w:val="18"/>
              </w:rPr>
              <w:t>20 527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672EFF4" w14:textId="77777777" w:rsidR="006F0BB0" w:rsidRPr="006F0BB0" w:rsidRDefault="006F0BB0" w:rsidP="007D1DBA">
            <w:pPr>
              <w:jc w:val="right"/>
              <w:rPr>
                <w:sz w:val="18"/>
                <w:szCs w:val="18"/>
                <w:lang w:val="en-CA" w:eastAsia="en-CA"/>
              </w:rPr>
            </w:pPr>
            <w:r w:rsidRPr="006F0BB0">
              <w:rPr>
                <w:sz w:val="18"/>
                <w:szCs w:val="18"/>
              </w:rPr>
              <w:t>22 579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6C09DC" w14:textId="77777777" w:rsidR="006F0BB0" w:rsidRPr="006F0BB0" w:rsidRDefault="006F0BB0" w:rsidP="007D1DBA">
            <w:pPr>
              <w:jc w:val="right"/>
              <w:rPr>
                <w:sz w:val="18"/>
                <w:szCs w:val="18"/>
                <w:lang w:val="en-CA" w:eastAsia="en-CA"/>
              </w:rPr>
            </w:pPr>
            <w:r w:rsidRPr="006F0BB0">
              <w:rPr>
                <w:sz w:val="18"/>
                <w:szCs w:val="18"/>
              </w:rPr>
              <w:t>17 016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5C2E277" w14:textId="77777777" w:rsidR="006F0BB0" w:rsidRPr="006F0BB0" w:rsidRDefault="006F0BB0" w:rsidP="007D1DBA">
            <w:pPr>
              <w:jc w:val="right"/>
              <w:rPr>
                <w:sz w:val="18"/>
                <w:szCs w:val="18"/>
                <w:lang w:val="en-CA" w:eastAsia="en-CA"/>
              </w:rPr>
            </w:pPr>
            <w:r w:rsidRPr="006F0BB0">
              <w:rPr>
                <w:sz w:val="18"/>
                <w:szCs w:val="18"/>
              </w:rPr>
              <w:t>19 941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076A2C9" w14:textId="77777777" w:rsidR="006F0BB0" w:rsidRPr="006F0BB0" w:rsidRDefault="006F0BB0" w:rsidP="007D1DBA">
            <w:pPr>
              <w:jc w:val="right"/>
              <w:rPr>
                <w:sz w:val="18"/>
                <w:szCs w:val="18"/>
                <w:lang w:val="en-CA" w:eastAsia="en-CA"/>
              </w:rPr>
            </w:pPr>
            <w:r w:rsidRPr="006F0BB0">
              <w:rPr>
                <w:sz w:val="18"/>
                <w:szCs w:val="18"/>
              </w:rPr>
              <w:t>113,2%</w:t>
            </w:r>
          </w:p>
        </w:tc>
      </w:tr>
      <w:tr w:rsidR="006F0BB0" w:rsidRPr="006F0BB0" w14:paraId="28D1A1E0"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8DD7433" w14:textId="77777777" w:rsidR="006F0BB0" w:rsidRPr="006F0BB0" w:rsidRDefault="006F0BB0" w:rsidP="007D1DBA">
            <w:pPr>
              <w:jc w:val="left"/>
              <w:rPr>
                <w:sz w:val="18"/>
                <w:szCs w:val="18"/>
                <w:lang w:val="en-CA" w:eastAsia="en-CA"/>
              </w:rPr>
            </w:pPr>
            <w:r w:rsidRPr="006F0BB0">
              <w:rPr>
                <w:sz w:val="18"/>
                <w:szCs w:val="18"/>
                <w:lang w:val="en-CA" w:eastAsia="en-CA"/>
              </w:rPr>
              <w:t>Kiribati</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2BFAC85" w14:textId="77777777" w:rsidR="006F0BB0" w:rsidRPr="006F0BB0" w:rsidRDefault="006F0BB0" w:rsidP="007D1DBA">
            <w:pPr>
              <w:jc w:val="right"/>
              <w:rPr>
                <w:sz w:val="18"/>
                <w:szCs w:val="18"/>
                <w:lang w:val="en-CA" w:eastAsia="en-CA"/>
              </w:rPr>
            </w:pPr>
            <w:r w:rsidRPr="006F0BB0">
              <w:rPr>
                <w:sz w:val="18"/>
                <w:szCs w:val="18"/>
              </w:rPr>
              <w:t>5 572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E4A5743" w14:textId="77777777" w:rsidR="006F0BB0" w:rsidRPr="006F0BB0" w:rsidRDefault="006F0BB0" w:rsidP="007D1DBA">
            <w:pPr>
              <w:jc w:val="right"/>
              <w:rPr>
                <w:sz w:val="18"/>
                <w:szCs w:val="18"/>
                <w:lang w:val="en-CA" w:eastAsia="en-CA"/>
              </w:rPr>
            </w:pPr>
            <w:r w:rsidRPr="006F0BB0">
              <w:rPr>
                <w:sz w:val="18"/>
                <w:szCs w:val="18"/>
              </w:rPr>
              <w:t>6 129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5028360" w14:textId="77777777" w:rsidR="006F0BB0" w:rsidRPr="006F0BB0" w:rsidRDefault="006F0BB0" w:rsidP="007D1DBA">
            <w:pPr>
              <w:jc w:val="right"/>
              <w:rPr>
                <w:sz w:val="18"/>
                <w:szCs w:val="18"/>
                <w:lang w:val="en-CA" w:eastAsia="en-CA"/>
              </w:rPr>
            </w:pPr>
            <w:r w:rsidRPr="006F0BB0">
              <w:rPr>
                <w:sz w:val="18"/>
                <w:szCs w:val="18"/>
              </w:rPr>
              <w:t>6 742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C76D225" w14:textId="77777777" w:rsidR="006F0BB0" w:rsidRPr="006F0BB0" w:rsidRDefault="006F0BB0" w:rsidP="007D1DBA">
            <w:pPr>
              <w:jc w:val="right"/>
              <w:rPr>
                <w:sz w:val="18"/>
                <w:szCs w:val="18"/>
                <w:lang w:val="en-CA" w:eastAsia="en-CA"/>
              </w:rPr>
            </w:pPr>
            <w:r w:rsidRPr="006F0BB0">
              <w:rPr>
                <w:sz w:val="18"/>
                <w:szCs w:val="18"/>
              </w:rPr>
              <w:t>7 416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56887DE" w14:textId="77777777" w:rsidR="006F0BB0" w:rsidRPr="006F0BB0" w:rsidRDefault="006F0BB0" w:rsidP="007D1DBA">
            <w:pPr>
              <w:jc w:val="right"/>
              <w:rPr>
                <w:sz w:val="18"/>
                <w:szCs w:val="18"/>
                <w:lang w:val="en-CA" w:eastAsia="en-CA"/>
              </w:rPr>
            </w:pPr>
            <w:r w:rsidRPr="006F0BB0">
              <w:rPr>
                <w:sz w:val="18"/>
                <w:szCs w:val="18"/>
              </w:rPr>
              <w:t>8 158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63132DA" w14:textId="77777777" w:rsidR="006F0BB0" w:rsidRPr="006F0BB0" w:rsidRDefault="006F0BB0" w:rsidP="007D1DBA">
            <w:pPr>
              <w:jc w:val="right"/>
              <w:rPr>
                <w:sz w:val="18"/>
                <w:szCs w:val="18"/>
                <w:lang w:val="en-CA" w:eastAsia="en-CA"/>
              </w:rPr>
            </w:pPr>
            <w:r w:rsidRPr="006F0BB0">
              <w:rPr>
                <w:sz w:val="18"/>
                <w:szCs w:val="18"/>
              </w:rPr>
              <w:t>8 974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878C1EB" w14:textId="77777777" w:rsidR="006F0BB0" w:rsidRPr="006F0BB0" w:rsidRDefault="006F0BB0" w:rsidP="007D1DBA">
            <w:pPr>
              <w:jc w:val="right"/>
              <w:rPr>
                <w:sz w:val="18"/>
                <w:szCs w:val="18"/>
                <w:lang w:val="en-CA" w:eastAsia="en-CA"/>
              </w:rPr>
            </w:pPr>
            <w:r w:rsidRPr="006F0BB0">
              <w:rPr>
                <w:sz w:val="18"/>
                <w:szCs w:val="18"/>
              </w:rPr>
              <w:t>6 763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BB41D5B" w14:textId="77777777" w:rsidR="006F0BB0" w:rsidRPr="006F0BB0" w:rsidRDefault="006F0BB0" w:rsidP="007D1DBA">
            <w:pPr>
              <w:jc w:val="right"/>
              <w:rPr>
                <w:sz w:val="18"/>
                <w:szCs w:val="18"/>
                <w:lang w:val="en-CA" w:eastAsia="en-CA"/>
              </w:rPr>
            </w:pPr>
            <w:r w:rsidRPr="006F0BB0">
              <w:rPr>
                <w:sz w:val="18"/>
                <w:szCs w:val="18"/>
              </w:rPr>
              <w:t>7 904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7D6DC64" w14:textId="77777777" w:rsidR="006F0BB0" w:rsidRPr="006F0BB0" w:rsidRDefault="006F0BB0" w:rsidP="007D1DBA">
            <w:pPr>
              <w:jc w:val="right"/>
              <w:rPr>
                <w:sz w:val="18"/>
                <w:szCs w:val="18"/>
                <w:lang w:val="en-CA" w:eastAsia="en-CA"/>
              </w:rPr>
            </w:pPr>
            <w:r w:rsidRPr="006F0BB0">
              <w:rPr>
                <w:sz w:val="18"/>
                <w:szCs w:val="18"/>
              </w:rPr>
              <w:t>113,5%</w:t>
            </w:r>
          </w:p>
        </w:tc>
      </w:tr>
      <w:tr w:rsidR="006F0BB0" w:rsidRPr="006F0BB0" w14:paraId="293B284F"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D3BD509" w14:textId="77777777" w:rsidR="006F0BB0" w:rsidRPr="006F0BB0" w:rsidRDefault="006F0BB0" w:rsidP="007D1DBA">
            <w:pPr>
              <w:jc w:val="left"/>
              <w:rPr>
                <w:sz w:val="18"/>
                <w:szCs w:val="18"/>
                <w:lang w:val="en-CA" w:eastAsia="en-CA"/>
              </w:rPr>
            </w:pPr>
            <w:r w:rsidRPr="006F0BB0">
              <w:rPr>
                <w:sz w:val="18"/>
                <w:szCs w:val="18"/>
                <w:lang w:val="en-CA" w:eastAsia="en-CA"/>
              </w:rPr>
              <w:t>Ecuador</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B6878C2" w14:textId="77777777" w:rsidR="006F0BB0" w:rsidRPr="006F0BB0" w:rsidRDefault="006F0BB0" w:rsidP="007D1DBA">
            <w:pPr>
              <w:jc w:val="right"/>
              <w:rPr>
                <w:sz w:val="18"/>
                <w:szCs w:val="18"/>
                <w:lang w:val="en-CA" w:eastAsia="en-CA"/>
              </w:rPr>
            </w:pPr>
            <w:r w:rsidRPr="006F0BB0">
              <w:rPr>
                <w:sz w:val="18"/>
                <w:szCs w:val="18"/>
              </w:rPr>
              <w:t>2 370 319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1ED970D" w14:textId="77777777" w:rsidR="006F0BB0" w:rsidRPr="006F0BB0" w:rsidRDefault="006F0BB0" w:rsidP="007D1DBA">
            <w:pPr>
              <w:jc w:val="right"/>
              <w:rPr>
                <w:sz w:val="18"/>
                <w:szCs w:val="18"/>
                <w:lang w:val="en-CA" w:eastAsia="en-CA"/>
              </w:rPr>
            </w:pPr>
            <w:r w:rsidRPr="006F0BB0">
              <w:rPr>
                <w:sz w:val="18"/>
                <w:szCs w:val="18"/>
              </w:rPr>
              <w:t>2 607 351</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2C888C5" w14:textId="77777777" w:rsidR="006F0BB0" w:rsidRPr="006F0BB0" w:rsidRDefault="006F0BB0" w:rsidP="007D1DBA">
            <w:pPr>
              <w:jc w:val="right"/>
              <w:rPr>
                <w:sz w:val="18"/>
                <w:szCs w:val="18"/>
                <w:lang w:val="en-CA" w:eastAsia="en-CA"/>
              </w:rPr>
            </w:pPr>
            <w:r w:rsidRPr="006F0BB0">
              <w:rPr>
                <w:sz w:val="18"/>
                <w:szCs w:val="18"/>
              </w:rPr>
              <w:t>2 868 086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233A624" w14:textId="77777777" w:rsidR="006F0BB0" w:rsidRPr="006F0BB0" w:rsidRDefault="006F0BB0" w:rsidP="007D1DBA">
            <w:pPr>
              <w:jc w:val="right"/>
              <w:rPr>
                <w:sz w:val="18"/>
                <w:szCs w:val="18"/>
                <w:lang w:val="en-CA" w:eastAsia="en-CA"/>
              </w:rPr>
            </w:pPr>
            <w:r w:rsidRPr="006F0BB0">
              <w:rPr>
                <w:sz w:val="18"/>
                <w:szCs w:val="18"/>
              </w:rPr>
              <w:t>3 154 895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27982E1" w14:textId="77777777" w:rsidR="006F0BB0" w:rsidRPr="006F0BB0" w:rsidRDefault="006F0BB0" w:rsidP="007D1DBA">
            <w:pPr>
              <w:jc w:val="right"/>
              <w:rPr>
                <w:sz w:val="18"/>
                <w:szCs w:val="18"/>
                <w:lang w:val="en-CA" w:eastAsia="en-CA"/>
              </w:rPr>
            </w:pPr>
            <w:r w:rsidRPr="006F0BB0">
              <w:rPr>
                <w:sz w:val="18"/>
                <w:szCs w:val="18"/>
              </w:rPr>
              <w:t>3 470 384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A9EB660" w14:textId="77777777" w:rsidR="006F0BB0" w:rsidRPr="006F0BB0" w:rsidRDefault="006F0BB0" w:rsidP="007D1DBA">
            <w:pPr>
              <w:jc w:val="right"/>
              <w:rPr>
                <w:sz w:val="18"/>
                <w:szCs w:val="18"/>
                <w:lang w:val="en-CA" w:eastAsia="en-CA"/>
              </w:rPr>
            </w:pPr>
            <w:r w:rsidRPr="006F0BB0">
              <w:rPr>
                <w:sz w:val="18"/>
                <w:szCs w:val="18"/>
              </w:rPr>
              <w:t>3 817 422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5C7430B" w14:textId="77777777" w:rsidR="006F0BB0" w:rsidRPr="006F0BB0" w:rsidRDefault="006F0BB0" w:rsidP="007D1DBA">
            <w:pPr>
              <w:jc w:val="right"/>
              <w:rPr>
                <w:sz w:val="18"/>
                <w:szCs w:val="18"/>
                <w:lang w:val="en-CA" w:eastAsia="en-CA"/>
              </w:rPr>
            </w:pPr>
            <w:r w:rsidRPr="006F0BB0">
              <w:rPr>
                <w:sz w:val="18"/>
                <w:szCs w:val="18"/>
              </w:rPr>
              <w:t>2 876 777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863B003" w14:textId="77777777" w:rsidR="006F0BB0" w:rsidRPr="006F0BB0" w:rsidRDefault="006F0BB0" w:rsidP="007D1DBA">
            <w:pPr>
              <w:jc w:val="right"/>
              <w:rPr>
                <w:sz w:val="18"/>
                <w:szCs w:val="18"/>
                <w:lang w:val="en-CA" w:eastAsia="en-CA"/>
              </w:rPr>
            </w:pPr>
            <w:r w:rsidRPr="006F0BB0">
              <w:rPr>
                <w:sz w:val="18"/>
                <w:szCs w:val="18"/>
              </w:rPr>
              <w:t>3 357 915</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364486C" w14:textId="77777777" w:rsidR="006F0BB0" w:rsidRPr="006F0BB0" w:rsidRDefault="006F0BB0" w:rsidP="007D1DBA">
            <w:pPr>
              <w:jc w:val="right"/>
              <w:rPr>
                <w:sz w:val="18"/>
                <w:szCs w:val="18"/>
                <w:lang w:val="en-CA" w:eastAsia="en-CA"/>
              </w:rPr>
            </w:pPr>
            <w:r w:rsidRPr="006F0BB0">
              <w:rPr>
                <w:sz w:val="18"/>
                <w:szCs w:val="18"/>
              </w:rPr>
              <w:t>113,7%</w:t>
            </w:r>
          </w:p>
        </w:tc>
      </w:tr>
      <w:tr w:rsidR="006F0BB0" w:rsidRPr="006F0BB0" w14:paraId="319E66FA"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D8626B4" w14:textId="77777777" w:rsidR="006F0BB0" w:rsidRPr="006F0BB0" w:rsidRDefault="006F0BB0" w:rsidP="007D1DBA">
            <w:pPr>
              <w:jc w:val="left"/>
              <w:rPr>
                <w:sz w:val="18"/>
                <w:szCs w:val="18"/>
                <w:lang w:val="en-CA" w:eastAsia="en-CA"/>
              </w:rPr>
            </w:pPr>
            <w:r w:rsidRPr="006F0BB0">
              <w:rPr>
                <w:sz w:val="18"/>
                <w:szCs w:val="18"/>
                <w:lang w:val="en-CA" w:eastAsia="en-CA"/>
              </w:rPr>
              <w:t>Niger</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E87B695" w14:textId="77777777" w:rsidR="006F0BB0" w:rsidRPr="006F0BB0" w:rsidRDefault="006F0BB0" w:rsidP="007D1DBA">
            <w:pPr>
              <w:jc w:val="right"/>
              <w:rPr>
                <w:sz w:val="18"/>
                <w:szCs w:val="18"/>
                <w:lang w:val="en-CA" w:eastAsia="en-CA"/>
              </w:rPr>
            </w:pPr>
            <w:r w:rsidRPr="006F0BB0">
              <w:rPr>
                <w:sz w:val="18"/>
                <w:szCs w:val="18"/>
              </w:rPr>
              <w:t>1 730 118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7746140" w14:textId="77777777" w:rsidR="006F0BB0" w:rsidRPr="006F0BB0" w:rsidRDefault="006F0BB0" w:rsidP="007D1DBA">
            <w:pPr>
              <w:jc w:val="right"/>
              <w:rPr>
                <w:sz w:val="18"/>
                <w:szCs w:val="18"/>
                <w:lang w:val="en-CA" w:eastAsia="en-CA"/>
              </w:rPr>
            </w:pPr>
            <w:r w:rsidRPr="006F0BB0">
              <w:rPr>
                <w:sz w:val="18"/>
                <w:szCs w:val="18"/>
              </w:rPr>
              <w:t>1 903 130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6C3961E" w14:textId="77777777" w:rsidR="006F0BB0" w:rsidRPr="006F0BB0" w:rsidRDefault="006F0BB0" w:rsidP="007D1DBA">
            <w:pPr>
              <w:jc w:val="right"/>
              <w:rPr>
                <w:sz w:val="18"/>
                <w:szCs w:val="18"/>
                <w:lang w:val="en-CA" w:eastAsia="en-CA"/>
              </w:rPr>
            </w:pPr>
            <w:r w:rsidRPr="006F0BB0">
              <w:rPr>
                <w:sz w:val="18"/>
                <w:szCs w:val="18"/>
              </w:rPr>
              <w:t>2 093 443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62A36A" w14:textId="77777777" w:rsidR="006F0BB0" w:rsidRPr="006F0BB0" w:rsidRDefault="006F0BB0" w:rsidP="007D1DBA">
            <w:pPr>
              <w:jc w:val="right"/>
              <w:rPr>
                <w:sz w:val="18"/>
                <w:szCs w:val="18"/>
                <w:lang w:val="en-CA" w:eastAsia="en-CA"/>
              </w:rPr>
            </w:pPr>
            <w:r w:rsidRPr="006F0BB0">
              <w:rPr>
                <w:sz w:val="18"/>
                <w:szCs w:val="18"/>
              </w:rPr>
              <w:t>2 302 787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B23DAEC" w14:textId="77777777" w:rsidR="006F0BB0" w:rsidRPr="006F0BB0" w:rsidRDefault="006F0BB0" w:rsidP="007D1DBA">
            <w:pPr>
              <w:jc w:val="right"/>
              <w:rPr>
                <w:sz w:val="18"/>
                <w:szCs w:val="18"/>
                <w:lang w:val="en-CA" w:eastAsia="en-CA"/>
              </w:rPr>
            </w:pPr>
            <w:r w:rsidRPr="006F0BB0">
              <w:rPr>
                <w:sz w:val="18"/>
                <w:szCs w:val="18"/>
              </w:rPr>
              <w:t>2 533 066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992592A" w14:textId="77777777" w:rsidR="006F0BB0" w:rsidRPr="006F0BB0" w:rsidRDefault="006F0BB0" w:rsidP="007D1DBA">
            <w:pPr>
              <w:jc w:val="right"/>
              <w:rPr>
                <w:sz w:val="18"/>
                <w:szCs w:val="18"/>
                <w:lang w:val="en-CA" w:eastAsia="en-CA"/>
              </w:rPr>
            </w:pPr>
            <w:r w:rsidRPr="006F0BB0">
              <w:rPr>
                <w:sz w:val="18"/>
                <w:szCs w:val="18"/>
              </w:rPr>
              <w:t>2 786 372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E737A66" w14:textId="77777777" w:rsidR="006F0BB0" w:rsidRPr="006F0BB0" w:rsidRDefault="006F0BB0" w:rsidP="007D1DBA">
            <w:pPr>
              <w:jc w:val="right"/>
              <w:rPr>
                <w:sz w:val="18"/>
                <w:szCs w:val="18"/>
                <w:lang w:val="en-CA" w:eastAsia="en-CA"/>
              </w:rPr>
            </w:pPr>
            <w:r w:rsidRPr="006F0BB0">
              <w:rPr>
                <w:sz w:val="18"/>
                <w:szCs w:val="18"/>
              </w:rPr>
              <w:t>2 099 787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F2B623C" w14:textId="77777777" w:rsidR="006F0BB0" w:rsidRPr="006F0BB0" w:rsidRDefault="006F0BB0" w:rsidP="007D1DBA">
            <w:pPr>
              <w:jc w:val="right"/>
              <w:rPr>
                <w:sz w:val="18"/>
                <w:szCs w:val="18"/>
                <w:lang w:val="en-CA" w:eastAsia="en-CA"/>
              </w:rPr>
            </w:pPr>
            <w:r w:rsidRPr="006F0BB0">
              <w:rPr>
                <w:sz w:val="18"/>
                <w:szCs w:val="18"/>
              </w:rPr>
              <w:t>2 441 424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E648711" w14:textId="77777777" w:rsidR="006F0BB0" w:rsidRPr="006F0BB0" w:rsidRDefault="006F0BB0" w:rsidP="007D1DBA">
            <w:pPr>
              <w:jc w:val="right"/>
              <w:rPr>
                <w:sz w:val="18"/>
                <w:szCs w:val="18"/>
                <w:lang w:val="en-CA" w:eastAsia="en-CA"/>
              </w:rPr>
            </w:pPr>
            <w:r w:rsidRPr="006F0BB0">
              <w:rPr>
                <w:sz w:val="18"/>
                <w:szCs w:val="18"/>
              </w:rPr>
              <w:t>114,1%</w:t>
            </w:r>
          </w:p>
        </w:tc>
      </w:tr>
      <w:tr w:rsidR="006F0BB0" w:rsidRPr="006F0BB0" w14:paraId="3E6E041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4E14975" w14:textId="77777777" w:rsidR="006F0BB0" w:rsidRPr="006F0BB0" w:rsidRDefault="006F0BB0" w:rsidP="007D1DBA">
            <w:pPr>
              <w:jc w:val="left"/>
              <w:rPr>
                <w:sz w:val="18"/>
                <w:szCs w:val="18"/>
                <w:lang w:val="es-ES" w:eastAsia="en-CA"/>
              </w:rPr>
            </w:pPr>
            <w:r w:rsidRPr="006F0BB0">
              <w:rPr>
                <w:sz w:val="18"/>
                <w:szCs w:val="18"/>
                <w:lang w:val="es-ES" w:eastAsia="en-CA"/>
              </w:rPr>
              <w:t>San Vicente y las Granadinas</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1CBCFAA" w14:textId="77777777" w:rsidR="006F0BB0" w:rsidRPr="006F0BB0" w:rsidRDefault="006F0BB0" w:rsidP="007D1DBA">
            <w:pPr>
              <w:jc w:val="right"/>
              <w:rPr>
                <w:sz w:val="18"/>
                <w:szCs w:val="18"/>
                <w:lang w:val="en-CA" w:eastAsia="en-CA"/>
              </w:rPr>
            </w:pPr>
            <w:r w:rsidRPr="006F0BB0">
              <w:rPr>
                <w:sz w:val="18"/>
                <w:szCs w:val="18"/>
              </w:rPr>
              <w:t>30 664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2EA9582" w14:textId="77777777" w:rsidR="006F0BB0" w:rsidRPr="006F0BB0" w:rsidRDefault="006F0BB0" w:rsidP="007D1DBA">
            <w:pPr>
              <w:jc w:val="right"/>
              <w:rPr>
                <w:sz w:val="18"/>
                <w:szCs w:val="18"/>
                <w:lang w:val="en-CA" w:eastAsia="en-CA"/>
              </w:rPr>
            </w:pPr>
            <w:r w:rsidRPr="006F0BB0">
              <w:rPr>
                <w:sz w:val="18"/>
                <w:szCs w:val="18"/>
              </w:rPr>
              <w:t>33 730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C7673AA" w14:textId="77777777" w:rsidR="006F0BB0" w:rsidRPr="006F0BB0" w:rsidRDefault="006F0BB0" w:rsidP="007D1DBA">
            <w:pPr>
              <w:jc w:val="right"/>
              <w:rPr>
                <w:sz w:val="18"/>
                <w:szCs w:val="18"/>
                <w:lang w:val="en-CA" w:eastAsia="en-CA"/>
              </w:rPr>
            </w:pPr>
            <w:r w:rsidRPr="006F0BB0">
              <w:rPr>
                <w:sz w:val="18"/>
                <w:szCs w:val="18"/>
              </w:rPr>
              <w:t>37 103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7403FFD" w14:textId="77777777" w:rsidR="006F0BB0" w:rsidRPr="006F0BB0" w:rsidRDefault="006F0BB0" w:rsidP="007D1DBA">
            <w:pPr>
              <w:jc w:val="right"/>
              <w:rPr>
                <w:sz w:val="18"/>
                <w:szCs w:val="18"/>
                <w:lang w:val="en-CA" w:eastAsia="en-CA"/>
              </w:rPr>
            </w:pPr>
            <w:r w:rsidRPr="006F0BB0">
              <w:rPr>
                <w:sz w:val="18"/>
                <w:szCs w:val="18"/>
              </w:rPr>
              <w:t>40 814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6E390DF" w14:textId="77777777" w:rsidR="006F0BB0" w:rsidRPr="006F0BB0" w:rsidRDefault="006F0BB0" w:rsidP="007D1DBA">
            <w:pPr>
              <w:jc w:val="right"/>
              <w:rPr>
                <w:sz w:val="18"/>
                <w:szCs w:val="18"/>
                <w:lang w:val="en-CA" w:eastAsia="en-CA"/>
              </w:rPr>
            </w:pPr>
            <w:r w:rsidRPr="006F0BB0">
              <w:rPr>
                <w:sz w:val="18"/>
                <w:szCs w:val="18"/>
              </w:rPr>
              <w:t>44 895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3398B30" w14:textId="77777777" w:rsidR="006F0BB0" w:rsidRPr="006F0BB0" w:rsidRDefault="006F0BB0" w:rsidP="007D1DBA">
            <w:pPr>
              <w:jc w:val="right"/>
              <w:rPr>
                <w:sz w:val="18"/>
                <w:szCs w:val="18"/>
                <w:lang w:val="en-CA" w:eastAsia="en-CA"/>
              </w:rPr>
            </w:pPr>
            <w:r w:rsidRPr="006F0BB0">
              <w:rPr>
                <w:sz w:val="18"/>
                <w:szCs w:val="18"/>
              </w:rPr>
              <w:t>49 385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19D718D" w14:textId="77777777" w:rsidR="006F0BB0" w:rsidRPr="006F0BB0" w:rsidRDefault="006F0BB0" w:rsidP="007D1DBA">
            <w:pPr>
              <w:jc w:val="right"/>
              <w:rPr>
                <w:sz w:val="18"/>
                <w:szCs w:val="18"/>
                <w:lang w:val="en-CA" w:eastAsia="en-CA"/>
              </w:rPr>
            </w:pPr>
            <w:r w:rsidRPr="006F0BB0">
              <w:rPr>
                <w:sz w:val="18"/>
                <w:szCs w:val="18"/>
              </w:rPr>
              <w:t>37 216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01A0224" w14:textId="77777777" w:rsidR="006F0BB0" w:rsidRPr="006F0BB0" w:rsidRDefault="006F0BB0" w:rsidP="007D1DBA">
            <w:pPr>
              <w:jc w:val="right"/>
              <w:rPr>
                <w:sz w:val="18"/>
                <w:szCs w:val="18"/>
                <w:lang w:val="en-CA" w:eastAsia="en-CA"/>
              </w:rPr>
            </w:pPr>
            <w:r w:rsidRPr="006F0BB0">
              <w:rPr>
                <w:sz w:val="18"/>
                <w:szCs w:val="18"/>
              </w:rPr>
              <w:t>43 252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0D109B4" w14:textId="77777777" w:rsidR="006F0BB0" w:rsidRPr="006F0BB0" w:rsidRDefault="006F0BB0" w:rsidP="007D1DBA">
            <w:pPr>
              <w:jc w:val="right"/>
              <w:rPr>
                <w:sz w:val="18"/>
                <w:szCs w:val="18"/>
                <w:lang w:val="en-CA" w:eastAsia="en-CA"/>
              </w:rPr>
            </w:pPr>
            <w:r w:rsidRPr="006F0BB0">
              <w:rPr>
                <w:sz w:val="18"/>
                <w:szCs w:val="18"/>
              </w:rPr>
              <w:t>114,2%</w:t>
            </w:r>
          </w:p>
        </w:tc>
      </w:tr>
      <w:tr w:rsidR="006F0BB0" w:rsidRPr="006F0BB0" w14:paraId="60F0FF87"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D9F23E6" w14:textId="77777777" w:rsidR="006F0BB0" w:rsidRPr="006F0BB0" w:rsidRDefault="006F0BB0" w:rsidP="007D1DBA">
            <w:pPr>
              <w:jc w:val="left"/>
              <w:rPr>
                <w:sz w:val="18"/>
                <w:szCs w:val="18"/>
                <w:lang w:val="en-CA" w:eastAsia="en-CA"/>
              </w:rPr>
            </w:pPr>
            <w:r w:rsidRPr="006F0BB0">
              <w:rPr>
                <w:sz w:val="18"/>
                <w:szCs w:val="18"/>
                <w:lang w:val="en-CA" w:eastAsia="en-CA"/>
              </w:rPr>
              <w:t>Uganda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D30DD9B" w14:textId="77777777" w:rsidR="006F0BB0" w:rsidRPr="006F0BB0" w:rsidRDefault="006F0BB0" w:rsidP="007D1DBA">
            <w:pPr>
              <w:jc w:val="right"/>
              <w:rPr>
                <w:sz w:val="18"/>
                <w:szCs w:val="18"/>
                <w:lang w:val="en-CA" w:eastAsia="en-CA"/>
              </w:rPr>
            </w:pPr>
            <w:r w:rsidRPr="006F0BB0">
              <w:rPr>
                <w:sz w:val="18"/>
                <w:szCs w:val="18"/>
              </w:rPr>
              <w:t>21 480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6B28635" w14:textId="77777777" w:rsidR="006F0BB0" w:rsidRPr="006F0BB0" w:rsidRDefault="006F0BB0" w:rsidP="007D1DBA">
            <w:pPr>
              <w:jc w:val="right"/>
              <w:rPr>
                <w:sz w:val="18"/>
                <w:szCs w:val="18"/>
                <w:lang w:val="en-CA" w:eastAsia="en-CA"/>
              </w:rPr>
            </w:pPr>
            <w:r w:rsidRPr="006F0BB0">
              <w:rPr>
                <w:sz w:val="18"/>
                <w:szCs w:val="18"/>
              </w:rPr>
              <w:t>23 628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9D385AF" w14:textId="77777777" w:rsidR="006F0BB0" w:rsidRPr="006F0BB0" w:rsidRDefault="006F0BB0" w:rsidP="007D1DBA">
            <w:pPr>
              <w:jc w:val="right"/>
              <w:rPr>
                <w:sz w:val="18"/>
                <w:szCs w:val="18"/>
                <w:lang w:val="en-CA" w:eastAsia="en-CA"/>
              </w:rPr>
            </w:pPr>
            <w:r w:rsidRPr="006F0BB0">
              <w:rPr>
                <w:sz w:val="18"/>
                <w:szCs w:val="18"/>
              </w:rPr>
              <w:t>25 991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2BC49A9" w14:textId="77777777" w:rsidR="006F0BB0" w:rsidRPr="006F0BB0" w:rsidRDefault="006F0BB0" w:rsidP="007D1DBA">
            <w:pPr>
              <w:jc w:val="right"/>
              <w:rPr>
                <w:sz w:val="18"/>
                <w:szCs w:val="18"/>
                <w:lang w:val="en-CA" w:eastAsia="en-CA"/>
              </w:rPr>
            </w:pPr>
            <w:r w:rsidRPr="006F0BB0">
              <w:rPr>
                <w:sz w:val="18"/>
                <w:szCs w:val="18"/>
              </w:rPr>
              <w:t>28 590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C62D659" w14:textId="77777777" w:rsidR="006F0BB0" w:rsidRPr="006F0BB0" w:rsidRDefault="006F0BB0" w:rsidP="007D1DBA">
            <w:pPr>
              <w:jc w:val="right"/>
              <w:rPr>
                <w:sz w:val="18"/>
                <w:szCs w:val="18"/>
                <w:lang w:val="en-CA" w:eastAsia="en-CA"/>
              </w:rPr>
            </w:pPr>
            <w:r w:rsidRPr="006F0BB0">
              <w:rPr>
                <w:sz w:val="18"/>
                <w:szCs w:val="18"/>
              </w:rPr>
              <w:t>31 449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6C5FB23" w14:textId="77777777" w:rsidR="006F0BB0" w:rsidRPr="006F0BB0" w:rsidRDefault="006F0BB0" w:rsidP="007D1DBA">
            <w:pPr>
              <w:jc w:val="right"/>
              <w:rPr>
                <w:sz w:val="18"/>
                <w:szCs w:val="18"/>
                <w:lang w:val="en-CA" w:eastAsia="en-CA"/>
              </w:rPr>
            </w:pPr>
            <w:r w:rsidRPr="006F0BB0">
              <w:rPr>
                <w:sz w:val="18"/>
                <w:szCs w:val="18"/>
              </w:rPr>
              <w:t>34 594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4402949" w14:textId="77777777" w:rsidR="006F0BB0" w:rsidRPr="006F0BB0" w:rsidRDefault="006F0BB0" w:rsidP="007D1DBA">
            <w:pPr>
              <w:jc w:val="right"/>
              <w:rPr>
                <w:sz w:val="18"/>
                <w:szCs w:val="18"/>
                <w:lang w:val="en-CA" w:eastAsia="en-CA"/>
              </w:rPr>
            </w:pPr>
            <w:r w:rsidRPr="006F0BB0">
              <w:rPr>
                <w:sz w:val="18"/>
                <w:szCs w:val="18"/>
              </w:rPr>
              <w:t>26 070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C7C9881" w14:textId="77777777" w:rsidR="006F0BB0" w:rsidRPr="006F0BB0" w:rsidRDefault="006F0BB0" w:rsidP="007D1DBA">
            <w:pPr>
              <w:jc w:val="right"/>
              <w:rPr>
                <w:sz w:val="18"/>
                <w:szCs w:val="18"/>
                <w:lang w:val="en-CA" w:eastAsia="en-CA"/>
              </w:rPr>
            </w:pPr>
            <w:r w:rsidRPr="006F0BB0">
              <w:rPr>
                <w:sz w:val="18"/>
                <w:szCs w:val="18"/>
              </w:rPr>
              <w:t>29 212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52F3758A" w14:textId="77777777" w:rsidR="006F0BB0" w:rsidRPr="006F0BB0" w:rsidRDefault="006F0BB0" w:rsidP="007D1DBA">
            <w:pPr>
              <w:jc w:val="right"/>
              <w:rPr>
                <w:sz w:val="18"/>
                <w:szCs w:val="18"/>
                <w:lang w:val="en-CA" w:eastAsia="en-CA"/>
              </w:rPr>
            </w:pPr>
            <w:r w:rsidRPr="006F0BB0">
              <w:rPr>
                <w:sz w:val="18"/>
                <w:szCs w:val="18"/>
              </w:rPr>
              <w:t>118,4%</w:t>
            </w:r>
          </w:p>
        </w:tc>
      </w:tr>
      <w:tr w:rsidR="006F0BB0" w:rsidRPr="006F0BB0" w14:paraId="5701472A"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887DA6D" w14:textId="77777777" w:rsidR="006F0BB0" w:rsidRPr="006F0BB0" w:rsidRDefault="006F0BB0" w:rsidP="007D1DBA">
            <w:pPr>
              <w:jc w:val="left"/>
              <w:rPr>
                <w:sz w:val="18"/>
                <w:szCs w:val="18"/>
                <w:lang w:val="es-ES" w:eastAsia="en-CA"/>
              </w:rPr>
            </w:pPr>
            <w:r w:rsidRPr="006F0BB0">
              <w:rPr>
                <w:sz w:val="18"/>
                <w:szCs w:val="18"/>
                <w:lang w:val="es-419" w:eastAsia="es-419"/>
              </w:rPr>
              <w:t>Bolivia (Estado Plurinacional de)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ED34F28" w14:textId="77777777" w:rsidR="006F0BB0" w:rsidRPr="006F0BB0" w:rsidRDefault="006F0BB0" w:rsidP="007D1DBA">
            <w:pPr>
              <w:jc w:val="right"/>
              <w:rPr>
                <w:sz w:val="18"/>
                <w:szCs w:val="18"/>
                <w:lang w:val="en-CA" w:eastAsia="en-CA"/>
              </w:rPr>
            </w:pPr>
            <w:r w:rsidRPr="006F0BB0">
              <w:rPr>
                <w:sz w:val="18"/>
                <w:szCs w:val="18"/>
              </w:rPr>
              <w:t>773 894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9076E9" w14:textId="77777777" w:rsidR="006F0BB0" w:rsidRPr="006F0BB0" w:rsidRDefault="006F0BB0" w:rsidP="007D1DBA">
            <w:pPr>
              <w:jc w:val="right"/>
              <w:rPr>
                <w:sz w:val="18"/>
                <w:szCs w:val="18"/>
                <w:lang w:val="en-CA" w:eastAsia="en-CA"/>
              </w:rPr>
            </w:pPr>
            <w:r w:rsidRPr="006F0BB0">
              <w:rPr>
                <w:sz w:val="18"/>
                <w:szCs w:val="18"/>
              </w:rPr>
              <w:t>851 284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02ED07D" w14:textId="77777777" w:rsidR="006F0BB0" w:rsidRPr="006F0BB0" w:rsidRDefault="006F0BB0" w:rsidP="007D1DBA">
            <w:pPr>
              <w:jc w:val="right"/>
              <w:rPr>
                <w:sz w:val="18"/>
                <w:szCs w:val="18"/>
                <w:lang w:val="en-CA" w:eastAsia="en-CA"/>
              </w:rPr>
            </w:pPr>
            <w:r w:rsidRPr="006F0BB0">
              <w:rPr>
                <w:sz w:val="18"/>
                <w:szCs w:val="18"/>
              </w:rPr>
              <w:t>936 412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F013163" w14:textId="77777777" w:rsidR="006F0BB0" w:rsidRPr="006F0BB0" w:rsidRDefault="006F0BB0" w:rsidP="007D1DBA">
            <w:pPr>
              <w:jc w:val="right"/>
              <w:rPr>
                <w:sz w:val="18"/>
                <w:szCs w:val="18"/>
                <w:lang w:val="en-CA" w:eastAsia="en-CA"/>
              </w:rPr>
            </w:pPr>
            <w:r w:rsidRPr="006F0BB0">
              <w:rPr>
                <w:sz w:val="18"/>
                <w:szCs w:val="18"/>
              </w:rPr>
              <w:t>1 030 053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D0850B" w14:textId="77777777" w:rsidR="006F0BB0" w:rsidRPr="006F0BB0" w:rsidRDefault="006F0BB0" w:rsidP="007D1DBA">
            <w:pPr>
              <w:jc w:val="right"/>
              <w:rPr>
                <w:sz w:val="18"/>
                <w:szCs w:val="18"/>
                <w:lang w:val="en-CA" w:eastAsia="en-CA"/>
              </w:rPr>
            </w:pPr>
            <w:r w:rsidRPr="006F0BB0">
              <w:rPr>
                <w:sz w:val="18"/>
                <w:szCs w:val="18"/>
              </w:rPr>
              <w:t>1 133 059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98CEE49" w14:textId="77777777" w:rsidR="006F0BB0" w:rsidRPr="006F0BB0" w:rsidRDefault="006F0BB0" w:rsidP="007D1DBA">
            <w:pPr>
              <w:jc w:val="right"/>
              <w:rPr>
                <w:sz w:val="18"/>
                <w:szCs w:val="18"/>
                <w:lang w:val="en-CA" w:eastAsia="en-CA"/>
              </w:rPr>
            </w:pPr>
            <w:r w:rsidRPr="006F0BB0">
              <w:rPr>
                <w:sz w:val="18"/>
                <w:szCs w:val="18"/>
              </w:rPr>
              <w:t>1 246 364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E9E2096" w14:textId="77777777" w:rsidR="006F0BB0" w:rsidRPr="006F0BB0" w:rsidRDefault="006F0BB0" w:rsidP="007D1DBA">
            <w:pPr>
              <w:jc w:val="right"/>
              <w:rPr>
                <w:sz w:val="18"/>
                <w:szCs w:val="18"/>
                <w:lang w:val="en-CA" w:eastAsia="en-CA"/>
              </w:rPr>
            </w:pPr>
            <w:r w:rsidRPr="006F0BB0">
              <w:rPr>
                <w:sz w:val="18"/>
                <w:szCs w:val="18"/>
              </w:rPr>
              <w:t>939 250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35511EE" w14:textId="77777777" w:rsidR="006F0BB0" w:rsidRPr="006F0BB0" w:rsidRDefault="006F0BB0" w:rsidP="007D1DBA">
            <w:pPr>
              <w:jc w:val="right"/>
              <w:rPr>
                <w:sz w:val="18"/>
                <w:szCs w:val="18"/>
                <w:lang w:val="en-CA" w:eastAsia="en-CA"/>
              </w:rPr>
            </w:pPr>
            <w:r w:rsidRPr="006F0BB0">
              <w:rPr>
                <w:sz w:val="18"/>
                <w:szCs w:val="18"/>
              </w:rPr>
              <w:t>1 051 781</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419D9F9E" w14:textId="77777777" w:rsidR="006F0BB0" w:rsidRPr="006F0BB0" w:rsidRDefault="006F0BB0" w:rsidP="007D1DBA">
            <w:pPr>
              <w:jc w:val="right"/>
              <w:rPr>
                <w:sz w:val="18"/>
                <w:szCs w:val="18"/>
                <w:lang w:val="en-CA" w:eastAsia="en-CA"/>
              </w:rPr>
            </w:pPr>
            <w:r w:rsidRPr="006F0BB0">
              <w:rPr>
                <w:sz w:val="18"/>
                <w:szCs w:val="18"/>
              </w:rPr>
              <w:t>118,5%</w:t>
            </w:r>
          </w:p>
        </w:tc>
      </w:tr>
      <w:tr w:rsidR="006F0BB0" w:rsidRPr="006F0BB0" w14:paraId="2376FF29"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713FD22" w14:textId="77777777" w:rsidR="006F0BB0" w:rsidRPr="006F0BB0" w:rsidRDefault="006F0BB0" w:rsidP="007D1DBA">
            <w:pPr>
              <w:jc w:val="left"/>
              <w:rPr>
                <w:sz w:val="18"/>
                <w:szCs w:val="18"/>
                <w:lang w:val="en-CA" w:eastAsia="en-CA"/>
              </w:rPr>
            </w:pPr>
            <w:r w:rsidRPr="006F0BB0">
              <w:rPr>
                <w:sz w:val="18"/>
                <w:szCs w:val="18"/>
                <w:lang w:val="en-CA" w:eastAsia="en-CA"/>
              </w:rPr>
              <w:t>Guatemala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4E2EA41" w14:textId="77777777" w:rsidR="006F0BB0" w:rsidRPr="006F0BB0" w:rsidRDefault="006F0BB0" w:rsidP="007D1DBA">
            <w:pPr>
              <w:jc w:val="right"/>
              <w:rPr>
                <w:sz w:val="18"/>
                <w:szCs w:val="18"/>
                <w:lang w:val="en-CA" w:eastAsia="en-CA"/>
              </w:rPr>
            </w:pPr>
            <w:r w:rsidRPr="006F0BB0">
              <w:rPr>
                <w:sz w:val="18"/>
                <w:szCs w:val="18"/>
              </w:rPr>
              <w:t>1 169 662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0417E7B" w14:textId="77777777" w:rsidR="006F0BB0" w:rsidRPr="006F0BB0" w:rsidRDefault="006F0BB0" w:rsidP="007D1DBA">
            <w:pPr>
              <w:jc w:val="right"/>
              <w:rPr>
                <w:sz w:val="18"/>
                <w:szCs w:val="18"/>
                <w:lang w:val="en-CA" w:eastAsia="en-CA"/>
              </w:rPr>
            </w:pPr>
            <w:r w:rsidRPr="006F0BB0">
              <w:rPr>
                <w:sz w:val="18"/>
                <w:szCs w:val="18"/>
              </w:rPr>
              <w:t>1 286 628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B9DF75F" w14:textId="77777777" w:rsidR="006F0BB0" w:rsidRPr="006F0BB0" w:rsidRDefault="006F0BB0" w:rsidP="007D1DBA">
            <w:pPr>
              <w:jc w:val="right"/>
              <w:rPr>
                <w:sz w:val="18"/>
                <w:szCs w:val="18"/>
                <w:lang w:val="en-CA" w:eastAsia="en-CA"/>
              </w:rPr>
            </w:pPr>
            <w:r w:rsidRPr="006F0BB0">
              <w:rPr>
                <w:sz w:val="18"/>
                <w:szCs w:val="18"/>
              </w:rPr>
              <w:t>1 415 291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627C450" w14:textId="77777777" w:rsidR="006F0BB0" w:rsidRPr="006F0BB0" w:rsidRDefault="006F0BB0" w:rsidP="007D1DBA">
            <w:pPr>
              <w:jc w:val="right"/>
              <w:rPr>
                <w:sz w:val="18"/>
                <w:szCs w:val="18"/>
                <w:lang w:val="en-CA" w:eastAsia="en-CA"/>
              </w:rPr>
            </w:pPr>
            <w:r w:rsidRPr="006F0BB0">
              <w:rPr>
                <w:sz w:val="18"/>
                <w:szCs w:val="18"/>
              </w:rPr>
              <w:t>1 556 820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EA311DF" w14:textId="77777777" w:rsidR="006F0BB0" w:rsidRPr="006F0BB0" w:rsidRDefault="006F0BB0" w:rsidP="007D1DBA">
            <w:pPr>
              <w:jc w:val="right"/>
              <w:rPr>
                <w:sz w:val="18"/>
                <w:szCs w:val="18"/>
                <w:lang w:val="en-CA" w:eastAsia="en-CA"/>
              </w:rPr>
            </w:pPr>
            <w:r w:rsidRPr="006F0BB0">
              <w:rPr>
                <w:sz w:val="18"/>
                <w:szCs w:val="18"/>
              </w:rPr>
              <w:t>1 712 502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0F16590" w14:textId="77777777" w:rsidR="006F0BB0" w:rsidRPr="006F0BB0" w:rsidRDefault="006F0BB0" w:rsidP="007D1DBA">
            <w:pPr>
              <w:jc w:val="right"/>
              <w:rPr>
                <w:sz w:val="18"/>
                <w:szCs w:val="18"/>
                <w:lang w:val="en-CA" w:eastAsia="en-CA"/>
              </w:rPr>
            </w:pPr>
            <w:r w:rsidRPr="006F0BB0">
              <w:rPr>
                <w:sz w:val="18"/>
                <w:szCs w:val="18"/>
              </w:rPr>
              <w:t>1 883 752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7D21F15" w14:textId="77777777" w:rsidR="006F0BB0" w:rsidRPr="006F0BB0" w:rsidRDefault="006F0BB0" w:rsidP="007D1DBA">
            <w:pPr>
              <w:jc w:val="right"/>
              <w:rPr>
                <w:sz w:val="18"/>
                <w:szCs w:val="18"/>
                <w:lang w:val="en-CA" w:eastAsia="en-CA"/>
              </w:rPr>
            </w:pPr>
            <w:r w:rsidRPr="006F0BB0">
              <w:rPr>
                <w:sz w:val="18"/>
                <w:szCs w:val="18"/>
              </w:rPr>
              <w:t>1 419 580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22FF0CF9" w14:textId="77777777" w:rsidR="006F0BB0" w:rsidRPr="006F0BB0" w:rsidRDefault="006F0BB0" w:rsidP="007D1DBA">
            <w:pPr>
              <w:jc w:val="right"/>
              <w:rPr>
                <w:sz w:val="18"/>
                <w:szCs w:val="18"/>
                <w:lang w:val="en-CA" w:eastAsia="en-CA"/>
              </w:rPr>
            </w:pPr>
            <w:r w:rsidRPr="006F0BB0">
              <w:rPr>
                <w:sz w:val="18"/>
                <w:szCs w:val="18"/>
              </w:rPr>
              <w:t>1 576 142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DA1639B" w14:textId="77777777" w:rsidR="006F0BB0" w:rsidRPr="006F0BB0" w:rsidRDefault="006F0BB0" w:rsidP="007D1DBA">
            <w:pPr>
              <w:jc w:val="right"/>
              <w:rPr>
                <w:sz w:val="18"/>
                <w:szCs w:val="18"/>
                <w:lang w:val="en-CA" w:eastAsia="en-CA"/>
              </w:rPr>
            </w:pPr>
            <w:r w:rsidRPr="006F0BB0">
              <w:rPr>
                <w:sz w:val="18"/>
                <w:szCs w:val="18"/>
              </w:rPr>
              <w:t>119,5%</w:t>
            </w:r>
          </w:p>
        </w:tc>
      </w:tr>
      <w:tr w:rsidR="006F0BB0" w:rsidRPr="006F0BB0" w14:paraId="79139D41"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727972C" w14:textId="77777777" w:rsidR="006F0BB0" w:rsidRPr="006F0BB0" w:rsidRDefault="006F0BB0" w:rsidP="007D1DBA">
            <w:pPr>
              <w:jc w:val="left"/>
              <w:rPr>
                <w:sz w:val="18"/>
                <w:szCs w:val="18"/>
                <w:lang w:val="en-CA" w:eastAsia="en-CA"/>
              </w:rPr>
            </w:pPr>
            <w:r w:rsidRPr="006F0BB0">
              <w:rPr>
                <w:sz w:val="18"/>
                <w:szCs w:val="18"/>
                <w:lang w:val="en-CA" w:eastAsia="en-CA"/>
              </w:rPr>
              <w:t>Seychelles</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4DF2D34" w14:textId="77777777" w:rsidR="006F0BB0" w:rsidRPr="006F0BB0" w:rsidRDefault="006F0BB0" w:rsidP="007D1DBA">
            <w:pPr>
              <w:jc w:val="right"/>
              <w:rPr>
                <w:sz w:val="18"/>
                <w:szCs w:val="18"/>
                <w:lang w:val="en-CA" w:eastAsia="en-CA"/>
              </w:rPr>
            </w:pPr>
            <w:r w:rsidRPr="006F0BB0">
              <w:rPr>
                <w:sz w:val="18"/>
                <w:szCs w:val="18"/>
              </w:rPr>
              <w:t>227 367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D602E6" w14:textId="77777777" w:rsidR="006F0BB0" w:rsidRPr="006F0BB0" w:rsidRDefault="006F0BB0" w:rsidP="007D1DBA">
            <w:pPr>
              <w:jc w:val="right"/>
              <w:rPr>
                <w:sz w:val="18"/>
                <w:szCs w:val="18"/>
                <w:lang w:val="en-CA" w:eastAsia="en-CA"/>
              </w:rPr>
            </w:pPr>
            <w:r w:rsidRPr="006F0BB0">
              <w:rPr>
                <w:sz w:val="18"/>
                <w:szCs w:val="18"/>
              </w:rPr>
              <w:t>250 104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D3A17AE" w14:textId="77777777" w:rsidR="006F0BB0" w:rsidRPr="006F0BB0" w:rsidRDefault="006F0BB0" w:rsidP="007D1DBA">
            <w:pPr>
              <w:jc w:val="right"/>
              <w:rPr>
                <w:sz w:val="18"/>
                <w:szCs w:val="18"/>
                <w:lang w:val="en-CA" w:eastAsia="en-CA"/>
              </w:rPr>
            </w:pPr>
            <w:r w:rsidRPr="006F0BB0">
              <w:rPr>
                <w:sz w:val="18"/>
                <w:szCs w:val="18"/>
              </w:rPr>
              <w:t>275 114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AB5E3B" w14:textId="77777777" w:rsidR="006F0BB0" w:rsidRPr="006F0BB0" w:rsidRDefault="006F0BB0" w:rsidP="007D1DBA">
            <w:pPr>
              <w:jc w:val="right"/>
              <w:rPr>
                <w:sz w:val="18"/>
                <w:szCs w:val="18"/>
                <w:lang w:val="en-CA" w:eastAsia="en-CA"/>
              </w:rPr>
            </w:pPr>
            <w:r w:rsidRPr="006F0BB0">
              <w:rPr>
                <w:sz w:val="18"/>
                <w:szCs w:val="18"/>
              </w:rPr>
              <w:t>302 625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14AC61E" w14:textId="77777777" w:rsidR="006F0BB0" w:rsidRPr="006F0BB0" w:rsidRDefault="006F0BB0" w:rsidP="007D1DBA">
            <w:pPr>
              <w:jc w:val="right"/>
              <w:rPr>
                <w:sz w:val="18"/>
                <w:szCs w:val="18"/>
                <w:lang w:val="en-CA" w:eastAsia="en-CA"/>
              </w:rPr>
            </w:pPr>
            <w:r w:rsidRPr="006F0BB0">
              <w:rPr>
                <w:sz w:val="18"/>
                <w:szCs w:val="18"/>
              </w:rPr>
              <w:t>332 888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C9F27B8" w14:textId="77777777" w:rsidR="006F0BB0" w:rsidRPr="006F0BB0" w:rsidRDefault="006F0BB0" w:rsidP="007D1DBA">
            <w:pPr>
              <w:jc w:val="right"/>
              <w:rPr>
                <w:sz w:val="18"/>
                <w:szCs w:val="18"/>
                <w:lang w:val="en-CA" w:eastAsia="en-CA"/>
              </w:rPr>
            </w:pPr>
            <w:r w:rsidRPr="006F0BB0">
              <w:rPr>
                <w:sz w:val="18"/>
                <w:szCs w:val="18"/>
              </w:rPr>
              <w:t>366 177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C387DF" w14:textId="77777777" w:rsidR="006F0BB0" w:rsidRPr="006F0BB0" w:rsidRDefault="006F0BB0" w:rsidP="007D1DBA">
            <w:pPr>
              <w:jc w:val="right"/>
              <w:rPr>
                <w:sz w:val="18"/>
                <w:szCs w:val="18"/>
                <w:lang w:val="en-CA" w:eastAsia="en-CA"/>
              </w:rPr>
            </w:pPr>
            <w:r w:rsidRPr="006F0BB0">
              <w:rPr>
                <w:sz w:val="18"/>
                <w:szCs w:val="18"/>
              </w:rPr>
              <w:t>275 948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406D0A" w14:textId="77777777" w:rsidR="006F0BB0" w:rsidRPr="006F0BB0" w:rsidRDefault="006F0BB0" w:rsidP="007D1DBA">
            <w:pPr>
              <w:jc w:val="right"/>
              <w:rPr>
                <w:sz w:val="18"/>
                <w:szCs w:val="18"/>
                <w:lang w:val="en-CA" w:eastAsia="en-CA"/>
              </w:rPr>
            </w:pPr>
            <w:r w:rsidRPr="006F0BB0">
              <w:rPr>
                <w:sz w:val="18"/>
                <w:szCs w:val="18"/>
              </w:rPr>
              <w:t>305 077</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7AA3CD9B" w14:textId="77777777" w:rsidR="006F0BB0" w:rsidRPr="006F0BB0" w:rsidRDefault="006F0BB0" w:rsidP="007D1DBA">
            <w:pPr>
              <w:jc w:val="right"/>
              <w:rPr>
                <w:sz w:val="18"/>
                <w:szCs w:val="18"/>
                <w:lang w:val="en-CA" w:eastAsia="en-CA"/>
              </w:rPr>
            </w:pPr>
            <w:r w:rsidRPr="006F0BB0">
              <w:rPr>
                <w:sz w:val="18"/>
                <w:szCs w:val="18"/>
              </w:rPr>
              <w:t>120,0%</w:t>
            </w:r>
          </w:p>
        </w:tc>
      </w:tr>
      <w:tr w:rsidR="006F0BB0" w:rsidRPr="006F0BB0" w14:paraId="1A273BC7"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084C0D3" w14:textId="77777777" w:rsidR="006F0BB0" w:rsidRPr="006F0BB0" w:rsidRDefault="006F0BB0" w:rsidP="007D1DBA">
            <w:pPr>
              <w:jc w:val="left"/>
              <w:rPr>
                <w:sz w:val="18"/>
                <w:szCs w:val="18"/>
                <w:lang w:val="en-CA" w:eastAsia="en-CA"/>
              </w:rPr>
            </w:pPr>
            <w:r w:rsidRPr="006F0BB0">
              <w:rPr>
                <w:sz w:val="18"/>
                <w:szCs w:val="18"/>
                <w:lang w:val="en-CA" w:eastAsia="en-CA"/>
              </w:rPr>
              <w:t>Rwanda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FE61C04" w14:textId="77777777" w:rsidR="006F0BB0" w:rsidRPr="006F0BB0" w:rsidRDefault="006F0BB0" w:rsidP="007D1DBA">
            <w:pPr>
              <w:jc w:val="right"/>
              <w:rPr>
                <w:sz w:val="18"/>
                <w:szCs w:val="18"/>
                <w:lang w:val="en-CA" w:eastAsia="en-CA"/>
              </w:rPr>
            </w:pPr>
            <w:r w:rsidRPr="006F0BB0">
              <w:rPr>
                <w:sz w:val="18"/>
                <w:szCs w:val="18"/>
              </w:rPr>
              <w:t>700 970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9CDBC97" w14:textId="77777777" w:rsidR="006F0BB0" w:rsidRPr="006F0BB0" w:rsidRDefault="006F0BB0" w:rsidP="007D1DBA">
            <w:pPr>
              <w:jc w:val="right"/>
              <w:rPr>
                <w:sz w:val="18"/>
                <w:szCs w:val="18"/>
                <w:lang w:val="en-CA" w:eastAsia="en-CA"/>
              </w:rPr>
            </w:pPr>
            <w:r w:rsidRPr="006F0BB0">
              <w:rPr>
                <w:sz w:val="18"/>
                <w:szCs w:val="18"/>
              </w:rPr>
              <w:t>771 067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4C8CAE4" w14:textId="77777777" w:rsidR="006F0BB0" w:rsidRPr="006F0BB0" w:rsidRDefault="006F0BB0" w:rsidP="007D1DBA">
            <w:pPr>
              <w:jc w:val="right"/>
              <w:rPr>
                <w:sz w:val="18"/>
                <w:szCs w:val="18"/>
                <w:lang w:val="en-CA" w:eastAsia="en-CA"/>
              </w:rPr>
            </w:pPr>
            <w:r w:rsidRPr="006F0BB0">
              <w:rPr>
                <w:sz w:val="18"/>
                <w:szCs w:val="18"/>
              </w:rPr>
              <w:t>848 174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61C6518" w14:textId="77777777" w:rsidR="006F0BB0" w:rsidRPr="006F0BB0" w:rsidRDefault="006F0BB0" w:rsidP="007D1DBA">
            <w:pPr>
              <w:jc w:val="right"/>
              <w:rPr>
                <w:sz w:val="18"/>
                <w:szCs w:val="18"/>
                <w:lang w:val="en-CA" w:eastAsia="en-CA"/>
              </w:rPr>
            </w:pPr>
            <w:r w:rsidRPr="006F0BB0">
              <w:rPr>
                <w:sz w:val="18"/>
                <w:szCs w:val="18"/>
              </w:rPr>
              <w:t>932 991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A5F2282" w14:textId="77777777" w:rsidR="006F0BB0" w:rsidRPr="006F0BB0" w:rsidRDefault="006F0BB0" w:rsidP="007D1DBA">
            <w:pPr>
              <w:jc w:val="right"/>
              <w:rPr>
                <w:sz w:val="18"/>
                <w:szCs w:val="18"/>
                <w:lang w:val="en-CA" w:eastAsia="en-CA"/>
              </w:rPr>
            </w:pPr>
            <w:r w:rsidRPr="006F0BB0">
              <w:rPr>
                <w:sz w:val="18"/>
                <w:szCs w:val="18"/>
              </w:rPr>
              <w:t>1 026 290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EBBB86F" w14:textId="77777777" w:rsidR="006F0BB0" w:rsidRPr="006F0BB0" w:rsidRDefault="006F0BB0" w:rsidP="007D1DBA">
            <w:pPr>
              <w:jc w:val="right"/>
              <w:rPr>
                <w:sz w:val="18"/>
                <w:szCs w:val="18"/>
                <w:lang w:val="en-CA" w:eastAsia="en-CA"/>
              </w:rPr>
            </w:pPr>
            <w:r w:rsidRPr="006F0BB0">
              <w:rPr>
                <w:sz w:val="18"/>
                <w:szCs w:val="18"/>
              </w:rPr>
              <w:t>1 128 919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29F40AF" w14:textId="77777777" w:rsidR="006F0BB0" w:rsidRPr="006F0BB0" w:rsidRDefault="006F0BB0" w:rsidP="007D1DBA">
            <w:pPr>
              <w:jc w:val="right"/>
              <w:rPr>
                <w:sz w:val="18"/>
                <w:szCs w:val="18"/>
                <w:lang w:val="en-CA" w:eastAsia="en-CA"/>
              </w:rPr>
            </w:pPr>
            <w:r w:rsidRPr="006F0BB0">
              <w:rPr>
                <w:sz w:val="18"/>
                <w:szCs w:val="18"/>
              </w:rPr>
              <w:t>850 744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281428D" w14:textId="77777777" w:rsidR="006F0BB0" w:rsidRPr="006F0BB0" w:rsidRDefault="006F0BB0" w:rsidP="007D1DBA">
            <w:pPr>
              <w:jc w:val="right"/>
              <w:rPr>
                <w:sz w:val="18"/>
                <w:szCs w:val="18"/>
                <w:lang w:val="en-CA" w:eastAsia="en-CA"/>
              </w:rPr>
            </w:pPr>
            <w:r w:rsidRPr="006F0BB0">
              <w:rPr>
                <w:sz w:val="18"/>
                <w:szCs w:val="18"/>
              </w:rPr>
              <w:t>934 782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63E31847" w14:textId="77777777" w:rsidR="006F0BB0" w:rsidRPr="006F0BB0" w:rsidRDefault="006F0BB0" w:rsidP="007D1DBA">
            <w:pPr>
              <w:jc w:val="right"/>
              <w:rPr>
                <w:sz w:val="18"/>
                <w:szCs w:val="18"/>
                <w:lang w:val="en-CA" w:eastAsia="en-CA"/>
              </w:rPr>
            </w:pPr>
            <w:r w:rsidRPr="006F0BB0">
              <w:rPr>
                <w:sz w:val="18"/>
                <w:szCs w:val="18"/>
              </w:rPr>
              <w:t>120,8%</w:t>
            </w:r>
          </w:p>
        </w:tc>
      </w:tr>
      <w:tr w:rsidR="006F0BB0" w:rsidRPr="006F0BB0" w14:paraId="5C52A5AC"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E2D0EEB" w14:textId="77777777" w:rsidR="006F0BB0" w:rsidRPr="006F0BB0" w:rsidRDefault="006F0BB0" w:rsidP="007D1DBA">
            <w:pPr>
              <w:jc w:val="left"/>
              <w:rPr>
                <w:sz w:val="18"/>
                <w:szCs w:val="18"/>
                <w:lang w:val="en-CA" w:eastAsia="en-CA"/>
              </w:rPr>
            </w:pPr>
            <w:r w:rsidRPr="006F0BB0">
              <w:rPr>
                <w:sz w:val="18"/>
                <w:szCs w:val="18"/>
                <w:lang w:val="en-CA" w:eastAsia="en-CA"/>
              </w:rPr>
              <w:t>Albania</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1A22E1A" w14:textId="77777777" w:rsidR="006F0BB0" w:rsidRPr="006F0BB0" w:rsidRDefault="006F0BB0" w:rsidP="007D1DBA">
            <w:pPr>
              <w:jc w:val="right"/>
              <w:rPr>
                <w:sz w:val="18"/>
                <w:szCs w:val="18"/>
                <w:lang w:val="en-CA" w:eastAsia="en-CA"/>
              </w:rPr>
            </w:pPr>
            <w:r w:rsidRPr="006F0BB0">
              <w:rPr>
                <w:sz w:val="18"/>
                <w:szCs w:val="18"/>
              </w:rPr>
              <w:t>1 091 972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5CF8877" w14:textId="77777777" w:rsidR="006F0BB0" w:rsidRPr="006F0BB0" w:rsidRDefault="006F0BB0" w:rsidP="007D1DBA">
            <w:pPr>
              <w:jc w:val="right"/>
              <w:rPr>
                <w:sz w:val="18"/>
                <w:szCs w:val="18"/>
                <w:lang w:val="en-CA" w:eastAsia="en-CA"/>
              </w:rPr>
            </w:pPr>
            <w:r w:rsidRPr="006F0BB0">
              <w:rPr>
                <w:sz w:val="18"/>
                <w:szCs w:val="18"/>
              </w:rPr>
              <w:t>1 201 169</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5B32216" w14:textId="77777777" w:rsidR="006F0BB0" w:rsidRPr="006F0BB0" w:rsidRDefault="006F0BB0" w:rsidP="007D1DBA">
            <w:pPr>
              <w:jc w:val="right"/>
              <w:rPr>
                <w:sz w:val="18"/>
                <w:szCs w:val="18"/>
                <w:lang w:val="en-CA" w:eastAsia="en-CA"/>
              </w:rPr>
            </w:pPr>
            <w:r w:rsidRPr="006F0BB0">
              <w:rPr>
                <w:sz w:val="18"/>
                <w:szCs w:val="18"/>
              </w:rPr>
              <w:t>1 321 286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42F6C34" w14:textId="77777777" w:rsidR="006F0BB0" w:rsidRPr="006F0BB0" w:rsidRDefault="006F0BB0" w:rsidP="007D1DBA">
            <w:pPr>
              <w:jc w:val="right"/>
              <w:rPr>
                <w:sz w:val="18"/>
                <w:szCs w:val="18"/>
                <w:lang w:val="en-CA" w:eastAsia="en-CA"/>
              </w:rPr>
            </w:pPr>
            <w:r w:rsidRPr="006F0BB0">
              <w:rPr>
                <w:sz w:val="18"/>
                <w:szCs w:val="18"/>
              </w:rPr>
              <w:t>1 453 415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A56C1EE" w14:textId="77777777" w:rsidR="006F0BB0" w:rsidRPr="006F0BB0" w:rsidRDefault="006F0BB0" w:rsidP="007D1DBA">
            <w:pPr>
              <w:jc w:val="right"/>
              <w:rPr>
                <w:sz w:val="18"/>
                <w:szCs w:val="18"/>
                <w:lang w:val="en-CA" w:eastAsia="en-CA"/>
              </w:rPr>
            </w:pPr>
            <w:r w:rsidRPr="006F0BB0">
              <w:rPr>
                <w:sz w:val="18"/>
                <w:szCs w:val="18"/>
              </w:rPr>
              <w:t>1 598 756</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D5ACCC2" w14:textId="77777777" w:rsidR="006F0BB0" w:rsidRPr="006F0BB0" w:rsidRDefault="006F0BB0" w:rsidP="007D1DBA">
            <w:pPr>
              <w:jc w:val="right"/>
              <w:rPr>
                <w:sz w:val="18"/>
                <w:szCs w:val="18"/>
                <w:lang w:val="en-CA" w:eastAsia="en-CA"/>
              </w:rPr>
            </w:pPr>
            <w:r w:rsidRPr="006F0BB0">
              <w:rPr>
                <w:sz w:val="18"/>
                <w:szCs w:val="18"/>
              </w:rPr>
              <w:t>1 758 632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F6E0DB6" w14:textId="77777777" w:rsidR="006F0BB0" w:rsidRPr="006F0BB0" w:rsidRDefault="006F0BB0" w:rsidP="007D1DBA">
            <w:pPr>
              <w:jc w:val="right"/>
              <w:rPr>
                <w:sz w:val="18"/>
                <w:szCs w:val="18"/>
                <w:lang w:val="en-CA" w:eastAsia="en-CA"/>
              </w:rPr>
            </w:pPr>
            <w:r w:rsidRPr="006F0BB0">
              <w:rPr>
                <w:sz w:val="18"/>
                <w:szCs w:val="18"/>
              </w:rPr>
              <w:t>1 325 290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C10D3DC" w14:textId="77777777" w:rsidR="006F0BB0" w:rsidRPr="006F0BB0" w:rsidRDefault="006F0BB0" w:rsidP="007D1DBA">
            <w:pPr>
              <w:jc w:val="right"/>
              <w:rPr>
                <w:sz w:val="18"/>
                <w:szCs w:val="18"/>
                <w:lang w:val="en-CA" w:eastAsia="en-CA"/>
              </w:rPr>
            </w:pPr>
            <w:r w:rsidRPr="006F0BB0">
              <w:rPr>
                <w:sz w:val="18"/>
                <w:szCs w:val="18"/>
              </w:rPr>
              <w:t>1 452 379</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C9C8978" w14:textId="77777777" w:rsidR="006F0BB0" w:rsidRPr="006F0BB0" w:rsidRDefault="006F0BB0" w:rsidP="007D1DBA">
            <w:pPr>
              <w:jc w:val="right"/>
              <w:rPr>
                <w:sz w:val="18"/>
                <w:szCs w:val="18"/>
                <w:lang w:val="en-CA" w:eastAsia="en-CA"/>
              </w:rPr>
            </w:pPr>
            <w:r w:rsidRPr="006F0BB0">
              <w:rPr>
                <w:sz w:val="18"/>
                <w:szCs w:val="18"/>
              </w:rPr>
              <w:t>121,1%</w:t>
            </w:r>
          </w:p>
        </w:tc>
      </w:tr>
      <w:tr w:rsidR="006F0BB0" w:rsidRPr="006F0BB0" w14:paraId="543B980F"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9AA9298" w14:textId="77777777" w:rsidR="006F0BB0" w:rsidRPr="006F0BB0" w:rsidRDefault="006F0BB0" w:rsidP="007D1DBA">
            <w:pPr>
              <w:jc w:val="left"/>
              <w:rPr>
                <w:sz w:val="18"/>
                <w:szCs w:val="18"/>
                <w:lang w:val="en-CA" w:eastAsia="en-CA"/>
              </w:rPr>
            </w:pPr>
            <w:r w:rsidRPr="006F0BB0">
              <w:rPr>
                <w:sz w:val="18"/>
                <w:szCs w:val="18"/>
                <w:lang w:val="en-CA" w:eastAsia="en-CA"/>
              </w:rPr>
              <w:t>Comoros</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4FC6CCA0" w14:textId="77777777" w:rsidR="006F0BB0" w:rsidRPr="006F0BB0" w:rsidRDefault="006F0BB0" w:rsidP="007D1DBA">
            <w:pPr>
              <w:jc w:val="right"/>
              <w:rPr>
                <w:sz w:val="18"/>
                <w:szCs w:val="18"/>
                <w:lang w:val="en-CA" w:eastAsia="en-CA"/>
              </w:rPr>
            </w:pPr>
            <w:r w:rsidRPr="006F0BB0">
              <w:rPr>
                <w:sz w:val="18"/>
                <w:szCs w:val="18"/>
              </w:rPr>
              <w:t>34 149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A4F630" w14:textId="77777777" w:rsidR="006F0BB0" w:rsidRPr="006F0BB0" w:rsidRDefault="006F0BB0" w:rsidP="007D1DBA">
            <w:pPr>
              <w:jc w:val="right"/>
              <w:rPr>
                <w:sz w:val="18"/>
                <w:szCs w:val="18"/>
                <w:lang w:val="en-CA" w:eastAsia="en-CA"/>
              </w:rPr>
            </w:pPr>
            <w:r w:rsidRPr="006F0BB0">
              <w:rPr>
                <w:sz w:val="18"/>
                <w:szCs w:val="18"/>
              </w:rPr>
              <w:t>37 564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B853DAC" w14:textId="77777777" w:rsidR="006F0BB0" w:rsidRPr="006F0BB0" w:rsidRDefault="006F0BB0" w:rsidP="007D1DBA">
            <w:pPr>
              <w:jc w:val="right"/>
              <w:rPr>
                <w:sz w:val="18"/>
                <w:szCs w:val="18"/>
                <w:lang w:val="en-CA" w:eastAsia="en-CA"/>
              </w:rPr>
            </w:pPr>
            <w:r w:rsidRPr="006F0BB0">
              <w:rPr>
                <w:sz w:val="18"/>
                <w:szCs w:val="18"/>
              </w:rPr>
              <w:t>41 320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19BA5BC" w14:textId="77777777" w:rsidR="006F0BB0" w:rsidRPr="006F0BB0" w:rsidRDefault="006F0BB0" w:rsidP="007D1DBA">
            <w:pPr>
              <w:jc w:val="right"/>
              <w:rPr>
                <w:sz w:val="18"/>
                <w:szCs w:val="18"/>
                <w:lang w:val="en-CA" w:eastAsia="en-CA"/>
              </w:rPr>
            </w:pPr>
            <w:r w:rsidRPr="006F0BB0">
              <w:rPr>
                <w:sz w:val="18"/>
                <w:szCs w:val="18"/>
              </w:rPr>
              <w:t>45 452</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B31E442" w14:textId="77777777" w:rsidR="006F0BB0" w:rsidRPr="006F0BB0" w:rsidRDefault="006F0BB0" w:rsidP="007D1DBA">
            <w:pPr>
              <w:jc w:val="right"/>
              <w:rPr>
                <w:sz w:val="18"/>
                <w:szCs w:val="18"/>
                <w:lang w:val="en-CA" w:eastAsia="en-CA"/>
              </w:rPr>
            </w:pPr>
            <w:r w:rsidRPr="006F0BB0">
              <w:rPr>
                <w:sz w:val="18"/>
                <w:szCs w:val="18"/>
              </w:rPr>
              <w:t>49 998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40E6BFA" w14:textId="77777777" w:rsidR="006F0BB0" w:rsidRPr="006F0BB0" w:rsidRDefault="006F0BB0" w:rsidP="007D1DBA">
            <w:pPr>
              <w:jc w:val="right"/>
              <w:rPr>
                <w:sz w:val="18"/>
                <w:szCs w:val="18"/>
                <w:lang w:val="en-CA" w:eastAsia="en-CA"/>
              </w:rPr>
            </w:pPr>
            <w:r w:rsidRPr="006F0BB0">
              <w:rPr>
                <w:sz w:val="18"/>
                <w:szCs w:val="18"/>
              </w:rPr>
              <w:t>54 997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85131E9" w14:textId="77777777" w:rsidR="006F0BB0" w:rsidRPr="006F0BB0" w:rsidRDefault="006F0BB0" w:rsidP="007D1DBA">
            <w:pPr>
              <w:jc w:val="right"/>
              <w:rPr>
                <w:sz w:val="18"/>
                <w:szCs w:val="18"/>
                <w:lang w:val="en-CA" w:eastAsia="en-CA"/>
              </w:rPr>
            </w:pPr>
            <w:r w:rsidRPr="006F0BB0">
              <w:rPr>
                <w:sz w:val="18"/>
                <w:szCs w:val="18"/>
              </w:rPr>
              <w:t>41 446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DF4742F" w14:textId="77777777" w:rsidR="006F0BB0" w:rsidRPr="006F0BB0" w:rsidRDefault="006F0BB0" w:rsidP="007D1DBA">
            <w:pPr>
              <w:jc w:val="right"/>
              <w:rPr>
                <w:sz w:val="18"/>
                <w:szCs w:val="18"/>
                <w:lang w:val="en-CA" w:eastAsia="en-CA"/>
              </w:rPr>
            </w:pPr>
            <w:r w:rsidRPr="006F0BB0">
              <w:rPr>
                <w:sz w:val="18"/>
                <w:szCs w:val="18"/>
              </w:rPr>
              <w:t>44 363</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61A2649" w14:textId="77777777" w:rsidR="006F0BB0" w:rsidRPr="006F0BB0" w:rsidRDefault="006F0BB0" w:rsidP="007D1DBA">
            <w:pPr>
              <w:jc w:val="right"/>
              <w:rPr>
                <w:sz w:val="18"/>
                <w:szCs w:val="18"/>
                <w:lang w:val="en-CA" w:eastAsia="en-CA"/>
              </w:rPr>
            </w:pPr>
            <w:r w:rsidRPr="006F0BB0">
              <w:rPr>
                <w:sz w:val="18"/>
                <w:szCs w:val="18"/>
              </w:rPr>
              <w:t>124,0%</w:t>
            </w:r>
          </w:p>
        </w:tc>
      </w:tr>
      <w:tr w:rsidR="006F0BB0" w:rsidRPr="006F0BB0" w14:paraId="0362A77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D45539D" w14:textId="77777777" w:rsidR="006F0BB0" w:rsidRPr="006F0BB0" w:rsidRDefault="006F0BB0" w:rsidP="007D1DBA">
            <w:pPr>
              <w:jc w:val="left"/>
              <w:rPr>
                <w:sz w:val="18"/>
                <w:szCs w:val="18"/>
                <w:lang w:val="en-CA" w:eastAsia="en-CA"/>
              </w:rPr>
            </w:pPr>
            <w:r w:rsidRPr="006F0BB0">
              <w:rPr>
                <w:sz w:val="18"/>
                <w:szCs w:val="18"/>
                <w:lang w:val="en-CA" w:eastAsia="en-CA"/>
              </w:rPr>
              <w:t>Qatar</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7A5718C" w14:textId="77777777" w:rsidR="006F0BB0" w:rsidRPr="006F0BB0" w:rsidRDefault="006F0BB0" w:rsidP="007D1DBA">
            <w:pPr>
              <w:jc w:val="right"/>
              <w:rPr>
                <w:sz w:val="18"/>
                <w:szCs w:val="18"/>
                <w:lang w:val="en-CA" w:eastAsia="en-CA"/>
              </w:rPr>
            </w:pPr>
            <w:r w:rsidRPr="006F0BB0">
              <w:rPr>
                <w:sz w:val="18"/>
                <w:szCs w:val="18"/>
              </w:rPr>
              <w:t>21 878 613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101D496" w14:textId="77777777" w:rsidR="006F0BB0" w:rsidRPr="006F0BB0" w:rsidRDefault="006F0BB0" w:rsidP="007D1DBA">
            <w:pPr>
              <w:jc w:val="right"/>
              <w:rPr>
                <w:sz w:val="18"/>
                <w:szCs w:val="18"/>
                <w:lang w:val="en-CA" w:eastAsia="en-CA"/>
              </w:rPr>
            </w:pPr>
            <w:r w:rsidRPr="006F0BB0">
              <w:rPr>
                <w:sz w:val="18"/>
                <w:szCs w:val="18"/>
              </w:rPr>
              <w:t>24 066 474</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E455855" w14:textId="77777777" w:rsidR="006F0BB0" w:rsidRPr="006F0BB0" w:rsidRDefault="006F0BB0" w:rsidP="007D1DBA">
            <w:pPr>
              <w:jc w:val="right"/>
              <w:rPr>
                <w:sz w:val="18"/>
                <w:szCs w:val="18"/>
                <w:lang w:val="en-CA" w:eastAsia="en-CA"/>
              </w:rPr>
            </w:pPr>
            <w:r w:rsidRPr="006F0BB0">
              <w:rPr>
                <w:sz w:val="18"/>
                <w:szCs w:val="18"/>
              </w:rPr>
              <w:t>26 473 121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5A868C" w14:textId="77777777" w:rsidR="006F0BB0" w:rsidRPr="006F0BB0" w:rsidRDefault="006F0BB0" w:rsidP="007D1DBA">
            <w:pPr>
              <w:jc w:val="right"/>
              <w:rPr>
                <w:sz w:val="18"/>
                <w:szCs w:val="18"/>
                <w:lang w:val="en-CA" w:eastAsia="en-CA"/>
              </w:rPr>
            </w:pPr>
            <w:r w:rsidRPr="006F0BB0">
              <w:rPr>
                <w:sz w:val="18"/>
                <w:szCs w:val="18"/>
              </w:rPr>
              <w:t>29 120 434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CE8A89C" w14:textId="77777777" w:rsidR="006F0BB0" w:rsidRPr="006F0BB0" w:rsidRDefault="006F0BB0" w:rsidP="007D1DBA">
            <w:pPr>
              <w:jc w:val="right"/>
              <w:rPr>
                <w:sz w:val="18"/>
                <w:szCs w:val="18"/>
                <w:lang w:val="en-CA" w:eastAsia="en-CA"/>
              </w:rPr>
            </w:pPr>
            <w:r w:rsidRPr="006F0BB0">
              <w:rPr>
                <w:sz w:val="18"/>
                <w:szCs w:val="18"/>
              </w:rPr>
              <w:t>32 032 477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4995D42" w14:textId="77777777" w:rsidR="006F0BB0" w:rsidRPr="006F0BB0" w:rsidRDefault="006F0BB0" w:rsidP="007D1DBA">
            <w:pPr>
              <w:jc w:val="right"/>
              <w:rPr>
                <w:sz w:val="18"/>
                <w:szCs w:val="18"/>
                <w:lang w:val="en-CA" w:eastAsia="en-CA"/>
              </w:rPr>
            </w:pPr>
            <w:r w:rsidRPr="006F0BB0">
              <w:rPr>
                <w:sz w:val="18"/>
                <w:szCs w:val="18"/>
              </w:rPr>
              <w:t>35 235 725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A9B9F17" w14:textId="77777777" w:rsidR="006F0BB0" w:rsidRPr="006F0BB0" w:rsidRDefault="006F0BB0" w:rsidP="007D1DBA">
            <w:pPr>
              <w:jc w:val="right"/>
              <w:rPr>
                <w:sz w:val="18"/>
                <w:szCs w:val="18"/>
                <w:lang w:val="en-CA" w:eastAsia="en-CA"/>
              </w:rPr>
            </w:pPr>
            <w:r w:rsidRPr="006F0BB0">
              <w:rPr>
                <w:sz w:val="18"/>
                <w:szCs w:val="18"/>
              </w:rPr>
              <w:t>26 553 343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F3327B2" w14:textId="77777777" w:rsidR="006F0BB0" w:rsidRPr="006F0BB0" w:rsidRDefault="006F0BB0" w:rsidP="007D1DBA">
            <w:pPr>
              <w:jc w:val="right"/>
              <w:rPr>
                <w:sz w:val="18"/>
                <w:szCs w:val="18"/>
                <w:lang w:val="en-CA" w:eastAsia="en-CA"/>
              </w:rPr>
            </w:pPr>
            <w:r w:rsidRPr="006F0BB0">
              <w:rPr>
                <w:sz w:val="18"/>
                <w:szCs w:val="18"/>
              </w:rPr>
              <w:t>28 421 172</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886B88D" w14:textId="77777777" w:rsidR="006F0BB0" w:rsidRPr="006F0BB0" w:rsidRDefault="006F0BB0" w:rsidP="007D1DBA">
            <w:pPr>
              <w:jc w:val="right"/>
              <w:rPr>
                <w:sz w:val="18"/>
                <w:szCs w:val="18"/>
                <w:lang w:val="en-CA" w:eastAsia="en-CA"/>
              </w:rPr>
            </w:pPr>
            <w:r w:rsidRPr="006F0BB0">
              <w:rPr>
                <w:sz w:val="18"/>
                <w:szCs w:val="18"/>
              </w:rPr>
              <w:t>124,0%</w:t>
            </w:r>
          </w:p>
        </w:tc>
      </w:tr>
      <w:tr w:rsidR="006F0BB0" w:rsidRPr="006F0BB0" w14:paraId="0E082617"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ABEE9C0" w14:textId="77777777" w:rsidR="006F0BB0" w:rsidRPr="006F0BB0" w:rsidRDefault="006F0BB0" w:rsidP="007D1DBA">
            <w:pPr>
              <w:jc w:val="left"/>
              <w:rPr>
                <w:sz w:val="18"/>
                <w:szCs w:val="18"/>
                <w:lang w:val="en-CA" w:eastAsia="en-CA"/>
              </w:rPr>
            </w:pPr>
            <w:r w:rsidRPr="006F0BB0">
              <w:rPr>
                <w:sz w:val="18"/>
                <w:szCs w:val="18"/>
                <w:lang w:val="en-CA" w:eastAsia="en-CA"/>
              </w:rPr>
              <w:t>Montenegro</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91A5813" w14:textId="77777777" w:rsidR="006F0BB0" w:rsidRPr="006F0BB0" w:rsidRDefault="006F0BB0" w:rsidP="007D1DBA">
            <w:pPr>
              <w:jc w:val="right"/>
              <w:rPr>
                <w:sz w:val="18"/>
                <w:szCs w:val="18"/>
                <w:lang w:val="en-CA" w:eastAsia="en-CA"/>
              </w:rPr>
            </w:pPr>
            <w:r w:rsidRPr="006F0BB0">
              <w:rPr>
                <w:sz w:val="18"/>
                <w:szCs w:val="18"/>
              </w:rPr>
              <w:t>192 898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2B184FA" w14:textId="77777777" w:rsidR="006F0BB0" w:rsidRPr="006F0BB0" w:rsidRDefault="006F0BB0" w:rsidP="007D1DBA">
            <w:pPr>
              <w:jc w:val="right"/>
              <w:rPr>
                <w:sz w:val="18"/>
                <w:szCs w:val="18"/>
                <w:lang w:val="en-CA" w:eastAsia="en-CA"/>
              </w:rPr>
            </w:pPr>
            <w:r w:rsidRPr="006F0BB0">
              <w:rPr>
                <w:sz w:val="18"/>
                <w:szCs w:val="18"/>
              </w:rPr>
              <w:t>212 188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F474DDF" w14:textId="77777777" w:rsidR="006F0BB0" w:rsidRPr="006F0BB0" w:rsidRDefault="006F0BB0" w:rsidP="007D1DBA">
            <w:pPr>
              <w:jc w:val="right"/>
              <w:rPr>
                <w:sz w:val="18"/>
                <w:szCs w:val="18"/>
                <w:lang w:val="en-CA" w:eastAsia="en-CA"/>
              </w:rPr>
            </w:pPr>
            <w:r w:rsidRPr="006F0BB0">
              <w:rPr>
                <w:sz w:val="18"/>
                <w:szCs w:val="18"/>
              </w:rPr>
              <w:t>233 407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D836928" w14:textId="77777777" w:rsidR="006F0BB0" w:rsidRPr="006F0BB0" w:rsidRDefault="006F0BB0" w:rsidP="007D1DBA">
            <w:pPr>
              <w:jc w:val="right"/>
              <w:rPr>
                <w:sz w:val="18"/>
                <w:szCs w:val="18"/>
                <w:lang w:val="en-CA" w:eastAsia="en-CA"/>
              </w:rPr>
            </w:pPr>
            <w:r w:rsidRPr="006F0BB0">
              <w:rPr>
                <w:sz w:val="18"/>
                <w:szCs w:val="18"/>
              </w:rPr>
              <w:t>256 747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5661B31" w14:textId="77777777" w:rsidR="006F0BB0" w:rsidRPr="006F0BB0" w:rsidRDefault="006F0BB0" w:rsidP="007D1DBA">
            <w:pPr>
              <w:jc w:val="right"/>
              <w:rPr>
                <w:sz w:val="18"/>
                <w:szCs w:val="18"/>
                <w:lang w:val="en-CA" w:eastAsia="en-CA"/>
              </w:rPr>
            </w:pPr>
            <w:r w:rsidRPr="006F0BB0">
              <w:rPr>
                <w:sz w:val="18"/>
                <w:szCs w:val="18"/>
              </w:rPr>
              <w:t>282 422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192E03CA" w14:textId="77777777" w:rsidR="006F0BB0" w:rsidRPr="006F0BB0" w:rsidRDefault="006F0BB0" w:rsidP="007D1DBA">
            <w:pPr>
              <w:jc w:val="right"/>
              <w:rPr>
                <w:sz w:val="18"/>
                <w:szCs w:val="18"/>
                <w:lang w:val="en-CA" w:eastAsia="en-CA"/>
              </w:rPr>
            </w:pPr>
            <w:r w:rsidRPr="006F0BB0">
              <w:rPr>
                <w:sz w:val="18"/>
                <w:szCs w:val="18"/>
              </w:rPr>
              <w:t>310 664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5541FD2" w14:textId="77777777" w:rsidR="006F0BB0" w:rsidRPr="006F0BB0" w:rsidRDefault="006F0BB0" w:rsidP="007D1DBA">
            <w:pPr>
              <w:jc w:val="right"/>
              <w:rPr>
                <w:sz w:val="18"/>
                <w:szCs w:val="18"/>
                <w:lang w:val="en-CA" w:eastAsia="en-CA"/>
              </w:rPr>
            </w:pPr>
            <w:r w:rsidRPr="006F0BB0">
              <w:rPr>
                <w:sz w:val="18"/>
                <w:szCs w:val="18"/>
              </w:rPr>
              <w:t>234 114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755810C" w14:textId="77777777" w:rsidR="006F0BB0" w:rsidRPr="006F0BB0" w:rsidRDefault="006F0BB0" w:rsidP="007D1DBA">
            <w:pPr>
              <w:jc w:val="right"/>
              <w:rPr>
                <w:sz w:val="18"/>
                <w:szCs w:val="18"/>
                <w:lang w:val="en-CA" w:eastAsia="en-CA"/>
              </w:rPr>
            </w:pPr>
            <w:r w:rsidRPr="006F0BB0">
              <w:rPr>
                <w:sz w:val="18"/>
                <w:szCs w:val="18"/>
              </w:rPr>
              <w:t>250 438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06448753" w14:textId="77777777" w:rsidR="006F0BB0" w:rsidRPr="006F0BB0" w:rsidRDefault="006F0BB0" w:rsidP="007D1DBA">
            <w:pPr>
              <w:jc w:val="right"/>
              <w:rPr>
                <w:sz w:val="18"/>
                <w:szCs w:val="18"/>
                <w:lang w:val="en-CA" w:eastAsia="en-CA"/>
              </w:rPr>
            </w:pPr>
            <w:r w:rsidRPr="006F0BB0">
              <w:rPr>
                <w:sz w:val="18"/>
                <w:szCs w:val="18"/>
              </w:rPr>
              <w:t>124,0%</w:t>
            </w:r>
          </w:p>
        </w:tc>
      </w:tr>
      <w:tr w:rsidR="006F0BB0" w:rsidRPr="006F0BB0" w14:paraId="567CBD73"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9A9F6E7" w14:textId="77777777" w:rsidR="006F0BB0" w:rsidRPr="006F0BB0" w:rsidRDefault="006F0BB0" w:rsidP="007D1DBA">
            <w:pPr>
              <w:jc w:val="left"/>
              <w:rPr>
                <w:sz w:val="18"/>
                <w:szCs w:val="18"/>
                <w:lang w:val="en-CA" w:eastAsia="en-CA"/>
              </w:rPr>
            </w:pPr>
            <w:r w:rsidRPr="006F0BB0">
              <w:rPr>
                <w:sz w:val="18"/>
                <w:szCs w:val="18"/>
                <w:lang w:val="en-CA" w:eastAsia="en-CA"/>
              </w:rPr>
              <w:t>Cote d'Ivoire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871DEC0" w14:textId="77777777" w:rsidR="006F0BB0" w:rsidRPr="006F0BB0" w:rsidRDefault="006F0BB0" w:rsidP="007D1DBA">
            <w:pPr>
              <w:jc w:val="right"/>
              <w:rPr>
                <w:sz w:val="18"/>
                <w:szCs w:val="18"/>
                <w:lang w:val="en-CA" w:eastAsia="en-CA"/>
              </w:rPr>
            </w:pPr>
            <w:r w:rsidRPr="006F0BB0">
              <w:rPr>
                <w:sz w:val="18"/>
                <w:szCs w:val="18"/>
              </w:rPr>
              <w:t>24 855 307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37B35A2" w14:textId="77777777" w:rsidR="006F0BB0" w:rsidRPr="006F0BB0" w:rsidRDefault="006F0BB0" w:rsidP="007D1DBA">
            <w:pPr>
              <w:jc w:val="right"/>
              <w:rPr>
                <w:sz w:val="18"/>
                <w:szCs w:val="18"/>
                <w:lang w:val="en-CA" w:eastAsia="en-CA"/>
              </w:rPr>
            </w:pPr>
            <w:r w:rsidRPr="006F0BB0">
              <w:rPr>
                <w:sz w:val="18"/>
                <w:szCs w:val="18"/>
              </w:rPr>
              <w:t>27 340 838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28C53F13" w14:textId="77777777" w:rsidR="006F0BB0" w:rsidRPr="006F0BB0" w:rsidRDefault="006F0BB0" w:rsidP="007D1DBA">
            <w:pPr>
              <w:jc w:val="right"/>
              <w:rPr>
                <w:sz w:val="18"/>
                <w:szCs w:val="18"/>
                <w:lang w:val="en-CA" w:eastAsia="en-CA"/>
              </w:rPr>
            </w:pPr>
            <w:r w:rsidRPr="006F0BB0">
              <w:rPr>
                <w:sz w:val="18"/>
                <w:szCs w:val="18"/>
              </w:rPr>
              <w:t>30 074 921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21190B9" w14:textId="77777777" w:rsidR="006F0BB0" w:rsidRPr="006F0BB0" w:rsidRDefault="006F0BB0" w:rsidP="007D1DBA">
            <w:pPr>
              <w:jc w:val="right"/>
              <w:rPr>
                <w:sz w:val="18"/>
                <w:szCs w:val="18"/>
                <w:lang w:val="en-CA" w:eastAsia="en-CA"/>
              </w:rPr>
            </w:pPr>
            <w:r w:rsidRPr="006F0BB0">
              <w:rPr>
                <w:sz w:val="18"/>
                <w:szCs w:val="18"/>
              </w:rPr>
              <w:t>33 082 414</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6E9D45C" w14:textId="77777777" w:rsidR="006F0BB0" w:rsidRPr="006F0BB0" w:rsidRDefault="006F0BB0" w:rsidP="007D1DBA">
            <w:pPr>
              <w:jc w:val="right"/>
              <w:rPr>
                <w:sz w:val="18"/>
                <w:szCs w:val="18"/>
                <w:lang w:val="en-CA" w:eastAsia="en-CA"/>
              </w:rPr>
            </w:pPr>
            <w:r w:rsidRPr="006F0BB0">
              <w:rPr>
                <w:sz w:val="18"/>
                <w:szCs w:val="18"/>
              </w:rPr>
              <w:t>36 390 655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384AE61" w14:textId="77777777" w:rsidR="006F0BB0" w:rsidRPr="006F0BB0" w:rsidRDefault="006F0BB0" w:rsidP="007D1DBA">
            <w:pPr>
              <w:jc w:val="right"/>
              <w:rPr>
                <w:sz w:val="18"/>
                <w:szCs w:val="18"/>
                <w:lang w:val="en-CA" w:eastAsia="en-CA"/>
              </w:rPr>
            </w:pPr>
            <w:r w:rsidRPr="006F0BB0">
              <w:rPr>
                <w:sz w:val="18"/>
                <w:szCs w:val="18"/>
              </w:rPr>
              <w:t>40 029 720</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4229ABB" w14:textId="77777777" w:rsidR="006F0BB0" w:rsidRPr="006F0BB0" w:rsidRDefault="006F0BB0" w:rsidP="007D1DBA">
            <w:pPr>
              <w:jc w:val="right"/>
              <w:rPr>
                <w:sz w:val="18"/>
                <w:szCs w:val="18"/>
                <w:lang w:val="en-CA" w:eastAsia="en-CA"/>
              </w:rPr>
            </w:pPr>
            <w:r w:rsidRPr="006F0BB0">
              <w:rPr>
                <w:sz w:val="18"/>
                <w:szCs w:val="18"/>
              </w:rPr>
              <w:t>30 166 058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E96A318" w14:textId="77777777" w:rsidR="006F0BB0" w:rsidRPr="006F0BB0" w:rsidRDefault="006F0BB0" w:rsidP="007D1DBA">
            <w:pPr>
              <w:jc w:val="right"/>
              <w:rPr>
                <w:sz w:val="18"/>
                <w:szCs w:val="18"/>
                <w:lang w:val="en-CA" w:eastAsia="en-CA"/>
              </w:rPr>
            </w:pPr>
            <w:r w:rsidRPr="006F0BB0">
              <w:rPr>
                <w:sz w:val="18"/>
                <w:szCs w:val="18"/>
              </w:rPr>
              <w:t>31 529 974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33FB9B2C" w14:textId="77777777" w:rsidR="006F0BB0" w:rsidRPr="006F0BB0" w:rsidRDefault="006F0BB0" w:rsidP="007D1DBA">
            <w:pPr>
              <w:jc w:val="right"/>
              <w:rPr>
                <w:sz w:val="18"/>
                <w:szCs w:val="18"/>
                <w:lang w:val="en-CA" w:eastAsia="en-CA"/>
              </w:rPr>
            </w:pPr>
            <w:r w:rsidRPr="006F0BB0">
              <w:rPr>
                <w:sz w:val="18"/>
                <w:szCs w:val="18"/>
              </w:rPr>
              <w:t>127,0%</w:t>
            </w:r>
          </w:p>
        </w:tc>
      </w:tr>
      <w:tr w:rsidR="006F0BB0" w:rsidRPr="006F0BB0" w14:paraId="193923DD"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A7CD626" w14:textId="77777777" w:rsidR="006F0BB0" w:rsidRPr="006F0BB0" w:rsidRDefault="006F0BB0" w:rsidP="007D1DBA">
            <w:pPr>
              <w:jc w:val="left"/>
              <w:rPr>
                <w:sz w:val="18"/>
                <w:szCs w:val="18"/>
                <w:lang w:val="en-CA" w:eastAsia="en-CA"/>
              </w:rPr>
            </w:pPr>
            <w:r w:rsidRPr="006F0BB0">
              <w:rPr>
                <w:sz w:val="18"/>
                <w:szCs w:val="18"/>
                <w:lang w:val="en-CA" w:eastAsia="en-CA"/>
              </w:rPr>
              <w:t>Guinea-Bissau</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2301C76" w14:textId="77777777" w:rsidR="006F0BB0" w:rsidRPr="006F0BB0" w:rsidRDefault="006F0BB0" w:rsidP="007D1DBA">
            <w:pPr>
              <w:jc w:val="right"/>
              <w:rPr>
                <w:sz w:val="18"/>
                <w:szCs w:val="18"/>
                <w:lang w:val="en-CA" w:eastAsia="en-CA"/>
              </w:rPr>
            </w:pPr>
            <w:r w:rsidRPr="006F0BB0">
              <w:rPr>
                <w:sz w:val="18"/>
                <w:szCs w:val="18"/>
              </w:rPr>
              <w:t>1 391 073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3AC0BE99" w14:textId="77777777" w:rsidR="006F0BB0" w:rsidRPr="006F0BB0" w:rsidRDefault="006F0BB0" w:rsidP="007D1DBA">
            <w:pPr>
              <w:jc w:val="right"/>
              <w:rPr>
                <w:sz w:val="18"/>
                <w:szCs w:val="18"/>
                <w:lang w:val="en-CA" w:eastAsia="en-CA"/>
              </w:rPr>
            </w:pPr>
            <w:r w:rsidRPr="006F0BB0">
              <w:rPr>
                <w:sz w:val="18"/>
                <w:szCs w:val="18"/>
              </w:rPr>
              <w:t>1 530 180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F5CC46F" w14:textId="77777777" w:rsidR="006F0BB0" w:rsidRPr="006F0BB0" w:rsidRDefault="006F0BB0" w:rsidP="007D1DBA">
            <w:pPr>
              <w:jc w:val="right"/>
              <w:rPr>
                <w:sz w:val="18"/>
                <w:szCs w:val="18"/>
                <w:lang w:val="en-CA" w:eastAsia="en-CA"/>
              </w:rPr>
            </w:pPr>
            <w:r w:rsidRPr="006F0BB0">
              <w:rPr>
                <w:sz w:val="18"/>
                <w:szCs w:val="18"/>
              </w:rPr>
              <w:t>1 683 198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4E8896C" w14:textId="77777777" w:rsidR="006F0BB0" w:rsidRPr="006F0BB0" w:rsidRDefault="006F0BB0" w:rsidP="007D1DBA">
            <w:pPr>
              <w:jc w:val="right"/>
              <w:rPr>
                <w:sz w:val="18"/>
                <w:szCs w:val="18"/>
                <w:lang w:val="en-CA" w:eastAsia="en-CA"/>
              </w:rPr>
            </w:pPr>
            <w:r w:rsidRPr="006F0BB0">
              <w:rPr>
                <w:sz w:val="18"/>
                <w:szCs w:val="18"/>
              </w:rPr>
              <w:t>1 851 518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7ECEFCB" w14:textId="77777777" w:rsidR="006F0BB0" w:rsidRPr="006F0BB0" w:rsidRDefault="006F0BB0" w:rsidP="007D1DBA">
            <w:pPr>
              <w:jc w:val="right"/>
              <w:rPr>
                <w:sz w:val="18"/>
                <w:szCs w:val="18"/>
                <w:lang w:val="en-CA" w:eastAsia="en-CA"/>
              </w:rPr>
            </w:pPr>
            <w:r w:rsidRPr="006F0BB0">
              <w:rPr>
                <w:sz w:val="18"/>
                <w:szCs w:val="18"/>
              </w:rPr>
              <w:t>2 036 670</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7B80673" w14:textId="77777777" w:rsidR="006F0BB0" w:rsidRPr="006F0BB0" w:rsidRDefault="006F0BB0" w:rsidP="007D1DBA">
            <w:pPr>
              <w:jc w:val="right"/>
              <w:rPr>
                <w:sz w:val="18"/>
                <w:szCs w:val="18"/>
                <w:lang w:val="en-CA" w:eastAsia="en-CA"/>
              </w:rPr>
            </w:pPr>
            <w:r w:rsidRPr="006F0BB0">
              <w:rPr>
                <w:sz w:val="18"/>
                <w:szCs w:val="18"/>
              </w:rPr>
              <w:t>2 240 337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69DC6375" w14:textId="77777777" w:rsidR="006F0BB0" w:rsidRPr="006F0BB0" w:rsidRDefault="006F0BB0" w:rsidP="007D1DBA">
            <w:pPr>
              <w:jc w:val="right"/>
              <w:rPr>
                <w:sz w:val="18"/>
                <w:szCs w:val="18"/>
                <w:lang w:val="en-CA" w:eastAsia="en-CA"/>
              </w:rPr>
            </w:pPr>
            <w:r w:rsidRPr="006F0BB0">
              <w:rPr>
                <w:sz w:val="18"/>
                <w:szCs w:val="18"/>
              </w:rPr>
              <w:t>1 688 299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46E07F1B" w14:textId="77777777" w:rsidR="006F0BB0" w:rsidRPr="006F0BB0" w:rsidRDefault="006F0BB0" w:rsidP="007D1DBA">
            <w:pPr>
              <w:jc w:val="right"/>
              <w:rPr>
                <w:sz w:val="18"/>
                <w:szCs w:val="18"/>
                <w:lang w:val="en-CA" w:eastAsia="en-CA"/>
              </w:rPr>
            </w:pPr>
            <w:r w:rsidRPr="006F0BB0">
              <w:rPr>
                <w:sz w:val="18"/>
                <w:szCs w:val="18"/>
              </w:rPr>
              <w:t>1 748 300</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2D791576" w14:textId="77777777" w:rsidR="006F0BB0" w:rsidRPr="006F0BB0" w:rsidRDefault="006F0BB0" w:rsidP="007D1DBA">
            <w:pPr>
              <w:jc w:val="right"/>
              <w:rPr>
                <w:sz w:val="18"/>
                <w:szCs w:val="18"/>
                <w:lang w:val="en-CA" w:eastAsia="en-CA"/>
              </w:rPr>
            </w:pPr>
            <w:r w:rsidRPr="006F0BB0">
              <w:rPr>
                <w:sz w:val="18"/>
                <w:szCs w:val="18"/>
              </w:rPr>
              <w:t>128,1%</w:t>
            </w:r>
          </w:p>
        </w:tc>
      </w:tr>
      <w:tr w:rsidR="006F0BB0" w:rsidRPr="006F0BB0" w14:paraId="2C7FDA56"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021A083" w14:textId="77777777" w:rsidR="006F0BB0" w:rsidRPr="006F0BB0" w:rsidRDefault="006F0BB0" w:rsidP="007D1DBA">
            <w:pPr>
              <w:jc w:val="left"/>
              <w:rPr>
                <w:sz w:val="18"/>
                <w:szCs w:val="18"/>
                <w:lang w:val="en-CA" w:eastAsia="en-CA"/>
              </w:rPr>
            </w:pPr>
            <w:r w:rsidRPr="006F0BB0">
              <w:rPr>
                <w:sz w:val="18"/>
                <w:szCs w:val="18"/>
                <w:lang w:val="en-CA" w:eastAsia="en-CA"/>
              </w:rPr>
              <w:t>Chad</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6517A983" w14:textId="77777777" w:rsidR="006F0BB0" w:rsidRPr="006F0BB0" w:rsidRDefault="006F0BB0" w:rsidP="007D1DBA">
            <w:pPr>
              <w:jc w:val="right"/>
              <w:rPr>
                <w:sz w:val="18"/>
                <w:szCs w:val="18"/>
                <w:lang w:val="en-CA" w:eastAsia="en-CA"/>
              </w:rPr>
            </w:pPr>
            <w:r w:rsidRPr="006F0BB0">
              <w:rPr>
                <w:sz w:val="18"/>
                <w:szCs w:val="18"/>
              </w:rPr>
              <w:t>22 341 189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7CF0452" w14:textId="77777777" w:rsidR="006F0BB0" w:rsidRPr="006F0BB0" w:rsidRDefault="006F0BB0" w:rsidP="007D1DBA">
            <w:pPr>
              <w:jc w:val="right"/>
              <w:rPr>
                <w:sz w:val="18"/>
                <w:szCs w:val="18"/>
                <w:lang w:val="en-CA" w:eastAsia="en-CA"/>
              </w:rPr>
            </w:pPr>
            <w:r w:rsidRPr="006F0BB0">
              <w:rPr>
                <w:sz w:val="18"/>
                <w:szCs w:val="18"/>
              </w:rPr>
              <w:t>24 575 308</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BE58FB0" w14:textId="77777777" w:rsidR="006F0BB0" w:rsidRPr="006F0BB0" w:rsidRDefault="006F0BB0" w:rsidP="007D1DBA">
            <w:pPr>
              <w:jc w:val="right"/>
              <w:rPr>
                <w:sz w:val="18"/>
                <w:szCs w:val="18"/>
                <w:lang w:val="en-CA" w:eastAsia="en-CA"/>
              </w:rPr>
            </w:pPr>
            <w:r w:rsidRPr="006F0BB0">
              <w:rPr>
                <w:sz w:val="18"/>
                <w:szCs w:val="18"/>
              </w:rPr>
              <w:t>27 032 839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0C61ADE" w14:textId="77777777" w:rsidR="006F0BB0" w:rsidRPr="006F0BB0" w:rsidRDefault="006F0BB0" w:rsidP="007D1DBA">
            <w:pPr>
              <w:jc w:val="right"/>
              <w:rPr>
                <w:sz w:val="18"/>
                <w:szCs w:val="18"/>
                <w:lang w:val="en-CA" w:eastAsia="en-CA"/>
              </w:rPr>
            </w:pPr>
            <w:r w:rsidRPr="006F0BB0">
              <w:rPr>
                <w:sz w:val="18"/>
                <w:szCs w:val="18"/>
              </w:rPr>
              <w:t>29 736 123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7B019EDF" w14:textId="77777777" w:rsidR="006F0BB0" w:rsidRPr="006F0BB0" w:rsidRDefault="006F0BB0" w:rsidP="007D1DBA">
            <w:pPr>
              <w:jc w:val="right"/>
              <w:rPr>
                <w:sz w:val="18"/>
                <w:szCs w:val="18"/>
                <w:lang w:val="en-CA" w:eastAsia="en-CA"/>
              </w:rPr>
            </w:pPr>
            <w:r w:rsidRPr="006F0BB0">
              <w:rPr>
                <w:sz w:val="18"/>
                <w:szCs w:val="18"/>
              </w:rPr>
              <w:t>32 709 735</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0838C455" w14:textId="77777777" w:rsidR="006F0BB0" w:rsidRPr="006F0BB0" w:rsidRDefault="006F0BB0" w:rsidP="007D1DBA">
            <w:pPr>
              <w:jc w:val="right"/>
              <w:rPr>
                <w:sz w:val="18"/>
                <w:szCs w:val="18"/>
                <w:lang w:val="en-CA" w:eastAsia="en-CA"/>
              </w:rPr>
            </w:pPr>
            <w:r w:rsidRPr="006F0BB0">
              <w:rPr>
                <w:sz w:val="18"/>
                <w:szCs w:val="18"/>
              </w:rPr>
              <w:t>35 980 708</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4D092FA" w14:textId="77777777" w:rsidR="006F0BB0" w:rsidRPr="006F0BB0" w:rsidRDefault="006F0BB0" w:rsidP="007D1DBA">
            <w:pPr>
              <w:jc w:val="right"/>
              <w:rPr>
                <w:sz w:val="18"/>
                <w:szCs w:val="18"/>
                <w:lang w:val="en-CA" w:eastAsia="en-CA"/>
              </w:rPr>
            </w:pPr>
            <w:r w:rsidRPr="006F0BB0">
              <w:rPr>
                <w:sz w:val="18"/>
                <w:szCs w:val="18"/>
              </w:rPr>
              <w:t>27 114 756</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50A326BC" w14:textId="77777777" w:rsidR="006F0BB0" w:rsidRPr="006F0BB0" w:rsidRDefault="006F0BB0" w:rsidP="007D1DBA">
            <w:pPr>
              <w:jc w:val="right"/>
              <w:rPr>
                <w:sz w:val="18"/>
                <w:szCs w:val="18"/>
                <w:lang w:val="en-CA" w:eastAsia="en-CA"/>
              </w:rPr>
            </w:pPr>
            <w:r w:rsidRPr="006F0BB0">
              <w:rPr>
                <w:sz w:val="18"/>
                <w:szCs w:val="18"/>
              </w:rPr>
              <w:t>27 459 118</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1E11D0B1" w14:textId="77777777" w:rsidR="006F0BB0" w:rsidRPr="006F0BB0" w:rsidRDefault="006F0BB0" w:rsidP="007D1DBA">
            <w:pPr>
              <w:jc w:val="right"/>
              <w:rPr>
                <w:sz w:val="18"/>
                <w:szCs w:val="18"/>
                <w:lang w:val="en-CA" w:eastAsia="en-CA"/>
              </w:rPr>
            </w:pPr>
            <w:r w:rsidRPr="006F0BB0">
              <w:rPr>
                <w:sz w:val="18"/>
                <w:szCs w:val="18"/>
              </w:rPr>
              <w:t>131,0%</w:t>
            </w:r>
          </w:p>
        </w:tc>
      </w:tr>
      <w:tr w:rsidR="006F0BB0" w:rsidRPr="006F0BB0" w14:paraId="05507865" w14:textId="77777777" w:rsidTr="007D1DBA">
        <w:tc>
          <w:tcPr>
            <w:tcW w:w="150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FE7EC62" w14:textId="77777777" w:rsidR="006F0BB0" w:rsidRPr="006F0BB0" w:rsidRDefault="006F0BB0" w:rsidP="007D1DBA">
            <w:pPr>
              <w:jc w:val="left"/>
              <w:rPr>
                <w:sz w:val="18"/>
                <w:szCs w:val="18"/>
                <w:lang w:val="en-CA" w:eastAsia="en-CA"/>
              </w:rPr>
            </w:pPr>
            <w:r w:rsidRPr="006F0BB0">
              <w:rPr>
                <w:sz w:val="18"/>
                <w:szCs w:val="18"/>
                <w:lang w:val="en-CA" w:eastAsia="en-CA"/>
              </w:rPr>
              <w:t>Cabo Verde</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3F644EF5" w14:textId="77777777" w:rsidR="006F0BB0" w:rsidRPr="006F0BB0" w:rsidRDefault="006F0BB0" w:rsidP="007D1DBA">
            <w:pPr>
              <w:jc w:val="right"/>
              <w:rPr>
                <w:sz w:val="18"/>
                <w:szCs w:val="18"/>
                <w:lang w:val="en-CA" w:eastAsia="en-CA"/>
              </w:rPr>
            </w:pPr>
            <w:r w:rsidRPr="006F0BB0">
              <w:rPr>
                <w:sz w:val="18"/>
                <w:szCs w:val="18"/>
              </w:rPr>
              <w:t>3 498 447</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635E14D" w14:textId="77777777" w:rsidR="006F0BB0" w:rsidRPr="006F0BB0" w:rsidRDefault="006F0BB0" w:rsidP="007D1DBA">
            <w:pPr>
              <w:jc w:val="right"/>
              <w:rPr>
                <w:sz w:val="18"/>
                <w:szCs w:val="18"/>
                <w:lang w:val="en-CA" w:eastAsia="en-CA"/>
              </w:rPr>
            </w:pPr>
            <w:r w:rsidRPr="006F0BB0">
              <w:rPr>
                <w:sz w:val="18"/>
                <w:szCs w:val="18"/>
              </w:rPr>
              <w:t>3 848 292</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5C1107B6" w14:textId="77777777" w:rsidR="006F0BB0" w:rsidRPr="006F0BB0" w:rsidRDefault="006F0BB0" w:rsidP="007D1DBA">
            <w:pPr>
              <w:jc w:val="right"/>
              <w:rPr>
                <w:sz w:val="18"/>
                <w:szCs w:val="18"/>
                <w:lang w:val="en-CA" w:eastAsia="en-CA"/>
              </w:rPr>
            </w:pPr>
            <w:r w:rsidRPr="006F0BB0">
              <w:rPr>
                <w:sz w:val="18"/>
                <w:szCs w:val="18"/>
              </w:rPr>
              <w:t>4 233 121</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1461A890" w14:textId="77777777" w:rsidR="006F0BB0" w:rsidRPr="006F0BB0" w:rsidRDefault="006F0BB0" w:rsidP="007D1DBA">
            <w:pPr>
              <w:jc w:val="right"/>
              <w:rPr>
                <w:sz w:val="18"/>
                <w:szCs w:val="18"/>
                <w:lang w:val="en-CA" w:eastAsia="en-CA"/>
              </w:rPr>
            </w:pPr>
            <w:r w:rsidRPr="006F0BB0">
              <w:rPr>
                <w:sz w:val="18"/>
                <w:szCs w:val="18"/>
              </w:rPr>
              <w:t>4 656 433</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18C4ED1" w14:textId="77777777" w:rsidR="006F0BB0" w:rsidRPr="006F0BB0" w:rsidRDefault="006F0BB0" w:rsidP="007D1DBA">
            <w:pPr>
              <w:jc w:val="right"/>
              <w:rPr>
                <w:sz w:val="18"/>
                <w:szCs w:val="18"/>
                <w:lang w:val="en-CA" w:eastAsia="en-CA"/>
              </w:rPr>
            </w:pPr>
            <w:r w:rsidRPr="006F0BB0">
              <w:rPr>
                <w:sz w:val="18"/>
                <w:szCs w:val="18"/>
              </w:rPr>
              <w:t>5 122 077</w:t>
            </w:r>
          </w:p>
        </w:tc>
        <w:tc>
          <w:tcPr>
            <w:tcW w:w="951" w:type="dxa"/>
            <w:tcBorders>
              <w:top w:val="nil"/>
              <w:left w:val="nil"/>
              <w:bottom w:val="single" w:sz="4" w:space="0" w:color="auto"/>
              <w:right w:val="single" w:sz="4" w:space="0" w:color="auto"/>
            </w:tcBorders>
            <w:shd w:val="clear" w:color="auto" w:fill="auto"/>
            <w:noWrap/>
            <w:tcMar>
              <w:left w:w="29" w:type="dxa"/>
              <w:right w:w="29" w:type="dxa"/>
            </w:tcMar>
            <w:hideMark/>
          </w:tcPr>
          <w:p w14:paraId="7EB86BBB" w14:textId="77777777" w:rsidR="006F0BB0" w:rsidRPr="006F0BB0" w:rsidRDefault="006F0BB0" w:rsidP="007D1DBA">
            <w:pPr>
              <w:jc w:val="right"/>
              <w:rPr>
                <w:sz w:val="18"/>
                <w:szCs w:val="18"/>
                <w:lang w:val="en-CA" w:eastAsia="en-CA"/>
              </w:rPr>
            </w:pPr>
            <w:r w:rsidRPr="006F0BB0">
              <w:rPr>
                <w:sz w:val="18"/>
                <w:szCs w:val="18"/>
              </w:rPr>
              <w:t>5 634 285</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409F3E7" w14:textId="77777777" w:rsidR="006F0BB0" w:rsidRPr="006F0BB0" w:rsidRDefault="006F0BB0" w:rsidP="007D1DBA">
            <w:pPr>
              <w:jc w:val="right"/>
              <w:rPr>
                <w:sz w:val="18"/>
                <w:szCs w:val="18"/>
                <w:lang w:val="en-CA" w:eastAsia="en-CA"/>
              </w:rPr>
            </w:pPr>
            <w:r w:rsidRPr="006F0BB0">
              <w:rPr>
                <w:sz w:val="18"/>
                <w:szCs w:val="18"/>
              </w:rPr>
              <w:t>4 245 949</w:t>
            </w:r>
          </w:p>
        </w:tc>
        <w:tc>
          <w:tcPr>
            <w:tcW w:w="952" w:type="dxa"/>
            <w:tcBorders>
              <w:top w:val="nil"/>
              <w:left w:val="nil"/>
              <w:bottom w:val="single" w:sz="4" w:space="0" w:color="auto"/>
              <w:right w:val="single" w:sz="4" w:space="0" w:color="auto"/>
            </w:tcBorders>
            <w:shd w:val="clear" w:color="auto" w:fill="auto"/>
            <w:noWrap/>
            <w:tcMar>
              <w:left w:w="29" w:type="dxa"/>
              <w:right w:w="29" w:type="dxa"/>
            </w:tcMar>
            <w:hideMark/>
          </w:tcPr>
          <w:p w14:paraId="0CDE9374" w14:textId="77777777" w:rsidR="006F0BB0" w:rsidRPr="006F0BB0" w:rsidRDefault="006F0BB0" w:rsidP="007D1DBA">
            <w:pPr>
              <w:jc w:val="right"/>
              <w:rPr>
                <w:sz w:val="18"/>
                <w:szCs w:val="18"/>
                <w:lang w:val="en-CA" w:eastAsia="en-CA"/>
              </w:rPr>
            </w:pPr>
            <w:r w:rsidRPr="006F0BB0">
              <w:rPr>
                <w:sz w:val="18"/>
                <w:szCs w:val="18"/>
              </w:rPr>
              <w:t>4 267 714</w:t>
            </w:r>
          </w:p>
        </w:tc>
        <w:tc>
          <w:tcPr>
            <w:tcW w:w="1088" w:type="dxa"/>
            <w:tcBorders>
              <w:top w:val="nil"/>
              <w:left w:val="nil"/>
              <w:bottom w:val="single" w:sz="4" w:space="0" w:color="auto"/>
              <w:right w:val="single" w:sz="4" w:space="0" w:color="auto"/>
            </w:tcBorders>
            <w:shd w:val="clear" w:color="auto" w:fill="auto"/>
            <w:noWrap/>
            <w:tcMar>
              <w:left w:w="29" w:type="dxa"/>
              <w:right w:w="29" w:type="dxa"/>
            </w:tcMar>
            <w:hideMark/>
          </w:tcPr>
          <w:p w14:paraId="51CB74E6" w14:textId="77777777" w:rsidR="006F0BB0" w:rsidRPr="006F0BB0" w:rsidRDefault="006F0BB0" w:rsidP="007D1DBA">
            <w:pPr>
              <w:jc w:val="right"/>
              <w:rPr>
                <w:sz w:val="18"/>
                <w:szCs w:val="18"/>
                <w:lang w:val="en-CA" w:eastAsia="en-CA"/>
              </w:rPr>
            </w:pPr>
            <w:r w:rsidRPr="006F0BB0">
              <w:rPr>
                <w:sz w:val="18"/>
                <w:szCs w:val="18"/>
              </w:rPr>
              <w:t>132,0%</w:t>
            </w:r>
          </w:p>
        </w:tc>
      </w:tr>
    </w:tbl>
    <w:p w14:paraId="7B277030" w14:textId="77777777" w:rsidR="006F0BB0" w:rsidRPr="006F0BB0" w:rsidRDefault="006F0BB0" w:rsidP="006F0BB0">
      <w:pPr>
        <w:pStyle w:val="StyleHeader4Para4Left0Firstline0"/>
        <w:numPr>
          <w:ilvl w:val="0"/>
          <w:numId w:val="0"/>
        </w:numPr>
        <w:spacing w:after="0"/>
        <w:jc w:val="left"/>
        <w:rPr>
          <w:sz w:val="22"/>
        </w:rPr>
      </w:pPr>
    </w:p>
    <w:p w14:paraId="3307D5CD" w14:textId="77777777" w:rsidR="006F0BB0" w:rsidRPr="006F0BB0" w:rsidRDefault="006F0BB0" w:rsidP="006F0BB0">
      <w:pPr>
        <w:pStyle w:val="StyleHeader4Para4Left0Firstline0"/>
        <w:numPr>
          <w:ilvl w:val="0"/>
          <w:numId w:val="0"/>
        </w:numPr>
        <w:spacing w:after="0"/>
        <w:jc w:val="left"/>
        <w:rPr>
          <w:sz w:val="22"/>
        </w:rPr>
      </w:pPr>
    </w:p>
    <w:p w14:paraId="4EA1F6C2" w14:textId="77777777" w:rsidR="006F0BB0" w:rsidRPr="006F0BB0" w:rsidRDefault="006F0BB0" w:rsidP="006F0BB0">
      <w:pPr>
        <w:jc w:val="left"/>
      </w:pPr>
      <w:r w:rsidRPr="006F0BB0">
        <w:br w:type="page"/>
      </w:r>
    </w:p>
    <w:p w14:paraId="36844FC9" w14:textId="77777777" w:rsidR="006F0BB0" w:rsidRPr="006F0BB0" w:rsidRDefault="006F0BB0" w:rsidP="006F0BB0">
      <w:pPr>
        <w:pStyle w:val="StyleHeader4Para4Left0Firstline0"/>
        <w:numPr>
          <w:ilvl w:val="0"/>
          <w:numId w:val="0"/>
        </w:numPr>
        <w:spacing w:after="0"/>
        <w:jc w:val="left"/>
        <w:rPr>
          <w:szCs w:val="20"/>
          <w:lang w:val="es-ES"/>
        </w:rPr>
      </w:pPr>
      <w:r w:rsidRPr="006F0BB0">
        <w:rPr>
          <w:b/>
          <w:szCs w:val="20"/>
          <w:lang w:val="es-ES"/>
        </w:rPr>
        <w:lastRenderedPageBreak/>
        <w:t>Hipótesis</w:t>
      </w:r>
      <w:r w:rsidRPr="006F0BB0">
        <w:rPr>
          <w:szCs w:val="20"/>
          <w:lang w:val="es-ES"/>
        </w:rPr>
        <w:t>: Tasa de crecimiento anual variable = 2 % entre 2019 y 2022; 10 % en 2023 y 2024</w:t>
      </w:r>
    </w:p>
    <w:p w14:paraId="0CF5ADA9" w14:textId="77777777" w:rsidR="006F0BB0" w:rsidRPr="006F0BB0" w:rsidRDefault="006F0BB0" w:rsidP="006F0BB0">
      <w:pPr>
        <w:pStyle w:val="StyleHeader4Para4Left0Firstline0"/>
        <w:numPr>
          <w:ilvl w:val="0"/>
          <w:numId w:val="0"/>
        </w:numPr>
        <w:spacing w:after="0"/>
        <w:jc w:val="left"/>
        <w:rPr>
          <w:szCs w:val="20"/>
          <w:lang w:val="es-ES"/>
        </w:rPr>
      </w:pPr>
      <w:r w:rsidRPr="006F0BB0">
        <w:rPr>
          <w:b/>
          <w:szCs w:val="20"/>
          <w:lang w:val="es-ES"/>
        </w:rPr>
        <w:t>Unidades</w:t>
      </w:r>
      <w:r w:rsidRPr="006F0BB0">
        <w:rPr>
          <w:szCs w:val="20"/>
          <w:lang w:val="es-ES"/>
        </w:rPr>
        <w:t xml:space="preserve">: </w:t>
      </w:r>
      <w:proofErr w:type="spellStart"/>
      <w:r w:rsidRPr="006F0BB0">
        <w:rPr>
          <w:szCs w:val="20"/>
          <w:lang w:val="es-ES"/>
        </w:rPr>
        <w:t>tm</w:t>
      </w:r>
      <w:proofErr w:type="spellEnd"/>
      <w:r w:rsidRPr="006F0BB0">
        <w:rPr>
          <w:szCs w:val="20"/>
          <w:lang w:val="es-ES"/>
        </w:rPr>
        <w:t xml:space="preserve"> de </w:t>
      </w:r>
      <w:proofErr w:type="spellStart"/>
      <w:r w:rsidRPr="006F0BB0">
        <w:rPr>
          <w:szCs w:val="20"/>
          <w:lang w:val="es-ES"/>
        </w:rPr>
        <w:t>eq</w:t>
      </w:r>
      <w:proofErr w:type="spellEnd"/>
      <w:r w:rsidRPr="006F0BB0">
        <w:rPr>
          <w:szCs w:val="20"/>
          <w:lang w:val="es-ES"/>
        </w:rPr>
        <w:t>. de CO</w:t>
      </w:r>
      <w:r w:rsidRPr="006F0BB0">
        <w:rPr>
          <w:szCs w:val="20"/>
          <w:vertAlign w:val="subscript"/>
          <w:lang w:val="es-ES"/>
        </w:rPr>
        <w:t>2</w:t>
      </w:r>
      <w:r w:rsidRPr="006F0BB0">
        <w:rPr>
          <w:szCs w:val="20"/>
          <w:lang w:val="es-ES"/>
        </w:rPr>
        <w:t xml:space="preserve"> </w:t>
      </w:r>
    </w:p>
    <w:p w14:paraId="4813E57D" w14:textId="77777777" w:rsidR="006F0BB0" w:rsidRPr="006F0BB0" w:rsidRDefault="006F0BB0" w:rsidP="006F0BB0">
      <w:pPr>
        <w:pStyle w:val="StyleHeader4Para4Left0Firstline0"/>
        <w:numPr>
          <w:ilvl w:val="0"/>
          <w:numId w:val="0"/>
        </w:numPr>
        <w:spacing w:after="0"/>
        <w:jc w:val="left"/>
        <w:rPr>
          <w:szCs w:val="20"/>
          <w:lang w:val="es-ES"/>
        </w:rPr>
      </w:pPr>
      <w:r w:rsidRPr="006F0BB0">
        <w:rPr>
          <w:szCs w:val="20"/>
          <w:lang w:val="es-ES"/>
        </w:rPr>
        <w:t>Los países se ordenan según el posible riesgo de incumplimiento, sobre la base de los datos que figuran en la columna “Consumo en 2024/nivel básico de HFC), desde los de menor riesgo a los de mayor riesgo. Cuando el valor supera el 100 %, el consumo estimado en 2024 es mayor que el nivel básico estimado de HFC (que incluye el componente de HCFC) (23 países)</w:t>
      </w:r>
    </w:p>
    <w:p w14:paraId="3E57D5FC" w14:textId="77777777" w:rsidR="006F0BB0" w:rsidRPr="006F0BB0" w:rsidRDefault="006F0BB0" w:rsidP="006F0BB0">
      <w:pPr>
        <w:pStyle w:val="StyleHeader4Para4Left0Firstline0"/>
        <w:numPr>
          <w:ilvl w:val="0"/>
          <w:numId w:val="0"/>
        </w:numPr>
        <w:spacing w:after="0"/>
        <w:jc w:val="left"/>
        <w:rPr>
          <w:sz w:val="22"/>
          <w:lang w:val="es-ES"/>
        </w:rPr>
      </w:pPr>
    </w:p>
    <w:tbl>
      <w:tblPr>
        <w:tblW w:w="10148" w:type="dxa"/>
        <w:tblCellMar>
          <w:left w:w="70" w:type="dxa"/>
          <w:right w:w="70" w:type="dxa"/>
        </w:tblCellMar>
        <w:tblLook w:val="04A0" w:firstRow="1" w:lastRow="0" w:firstColumn="1" w:lastColumn="0" w:noHBand="0" w:noVBand="1"/>
      </w:tblPr>
      <w:tblGrid>
        <w:gridCol w:w="1129"/>
        <w:gridCol w:w="950"/>
        <w:gridCol w:w="950"/>
        <w:gridCol w:w="950"/>
        <w:gridCol w:w="978"/>
        <w:gridCol w:w="950"/>
        <w:gridCol w:w="950"/>
        <w:gridCol w:w="1076"/>
        <w:gridCol w:w="1034"/>
        <w:gridCol w:w="1181"/>
      </w:tblGrid>
      <w:tr w:rsidR="006F0BB0" w:rsidRPr="00482916" w14:paraId="5EFA2462" w14:textId="77777777" w:rsidTr="007D1DBA">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FBC3"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País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59F522A"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2019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C1FE56F"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EB19470"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2021</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D98609B"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9BF04EF"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2023</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02D0A96"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2024</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5AFBD416" w14:textId="77777777" w:rsidR="006F0BB0" w:rsidRPr="006F0BB0" w:rsidRDefault="006F0BB0" w:rsidP="007D1DBA">
            <w:pPr>
              <w:jc w:val="center"/>
              <w:rPr>
                <w:b/>
                <w:bCs/>
                <w:sz w:val="18"/>
                <w:szCs w:val="18"/>
                <w:lang w:val="es-419" w:eastAsia="es-419"/>
              </w:rPr>
            </w:pPr>
            <w:r w:rsidRPr="006F0BB0">
              <w:rPr>
                <w:b/>
                <w:bCs/>
                <w:sz w:val="18"/>
                <w:szCs w:val="18"/>
                <w:lang w:val="es-419" w:eastAsia="es-419"/>
              </w:rPr>
              <w:t>Promedio de HFC (2020-2024)</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18872DC5" w14:textId="6F1D0596" w:rsidR="006F0BB0" w:rsidRPr="006F0BB0" w:rsidRDefault="006F0BB0" w:rsidP="007D1DBA">
            <w:pPr>
              <w:jc w:val="center"/>
              <w:rPr>
                <w:b/>
                <w:bCs/>
                <w:sz w:val="18"/>
                <w:szCs w:val="18"/>
                <w:lang w:val="es-419" w:eastAsia="es-419"/>
              </w:rPr>
            </w:pPr>
            <w:r w:rsidRPr="006F0BB0">
              <w:rPr>
                <w:b/>
                <w:bCs/>
                <w:sz w:val="18"/>
                <w:szCs w:val="18"/>
                <w:lang w:val="es-419" w:eastAsia="es-419"/>
              </w:rPr>
              <w:t>Nivel básico completo de HFC</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14F39079" w14:textId="77777777" w:rsidR="006F0BB0" w:rsidRPr="006F0BB0" w:rsidRDefault="006F0BB0" w:rsidP="007D1DBA">
            <w:pPr>
              <w:ind w:left="-58" w:right="-71"/>
              <w:jc w:val="center"/>
              <w:rPr>
                <w:b/>
                <w:bCs/>
                <w:sz w:val="18"/>
                <w:szCs w:val="18"/>
                <w:lang w:val="es-419" w:eastAsia="es-419"/>
              </w:rPr>
            </w:pPr>
            <w:r w:rsidRPr="006F0BB0">
              <w:rPr>
                <w:b/>
                <w:bCs/>
                <w:sz w:val="18"/>
                <w:szCs w:val="18"/>
                <w:lang w:val="es-419" w:eastAsia="es-419"/>
              </w:rPr>
              <w:t xml:space="preserve">Consumo en 2024 / Nivel básico de HFC </w:t>
            </w:r>
          </w:p>
        </w:tc>
      </w:tr>
      <w:tr w:rsidR="006F0BB0" w:rsidRPr="006F0BB0" w14:paraId="5037571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52A6CF" w14:textId="77777777" w:rsidR="006F0BB0" w:rsidRPr="006F0BB0" w:rsidRDefault="006F0BB0" w:rsidP="007D1DBA">
            <w:pPr>
              <w:jc w:val="left"/>
              <w:rPr>
                <w:sz w:val="18"/>
                <w:szCs w:val="18"/>
                <w:lang w:val="es-419" w:eastAsia="es-419"/>
              </w:rPr>
            </w:pPr>
            <w:r w:rsidRPr="006F0BB0">
              <w:rPr>
                <w:sz w:val="18"/>
                <w:szCs w:val="18"/>
                <w:lang w:val="es-419" w:eastAsia="es-419"/>
              </w:rPr>
              <w:t>Líbano</w:t>
            </w:r>
          </w:p>
        </w:tc>
        <w:tc>
          <w:tcPr>
            <w:tcW w:w="950" w:type="dxa"/>
            <w:tcBorders>
              <w:top w:val="nil"/>
              <w:left w:val="nil"/>
              <w:bottom w:val="single" w:sz="4" w:space="0" w:color="auto"/>
              <w:right w:val="single" w:sz="4" w:space="0" w:color="auto"/>
            </w:tcBorders>
            <w:shd w:val="clear" w:color="auto" w:fill="auto"/>
            <w:noWrap/>
            <w:hideMark/>
          </w:tcPr>
          <w:p w14:paraId="26D6198F" w14:textId="77777777" w:rsidR="006F0BB0" w:rsidRPr="006F0BB0" w:rsidRDefault="006F0BB0" w:rsidP="007D1DBA">
            <w:pPr>
              <w:jc w:val="right"/>
              <w:rPr>
                <w:sz w:val="18"/>
                <w:szCs w:val="18"/>
                <w:lang w:val="es-419" w:eastAsia="es-419"/>
              </w:rPr>
            </w:pPr>
            <w:r w:rsidRPr="006F0BB0">
              <w:rPr>
                <w:sz w:val="18"/>
                <w:szCs w:val="18"/>
                <w:lang w:val="es-419" w:eastAsia="es-419"/>
              </w:rPr>
              <w:t>30 069</w:t>
            </w:r>
          </w:p>
        </w:tc>
        <w:tc>
          <w:tcPr>
            <w:tcW w:w="950" w:type="dxa"/>
            <w:tcBorders>
              <w:top w:val="nil"/>
              <w:left w:val="nil"/>
              <w:bottom w:val="single" w:sz="4" w:space="0" w:color="auto"/>
              <w:right w:val="single" w:sz="4" w:space="0" w:color="auto"/>
            </w:tcBorders>
            <w:shd w:val="clear" w:color="auto" w:fill="auto"/>
            <w:noWrap/>
            <w:hideMark/>
          </w:tcPr>
          <w:p w14:paraId="7E9F4BED" w14:textId="77777777" w:rsidR="006F0BB0" w:rsidRPr="006F0BB0" w:rsidRDefault="006F0BB0" w:rsidP="007D1DBA">
            <w:pPr>
              <w:jc w:val="right"/>
              <w:rPr>
                <w:sz w:val="18"/>
                <w:szCs w:val="18"/>
                <w:lang w:val="es-419" w:eastAsia="es-419"/>
              </w:rPr>
            </w:pPr>
            <w:r w:rsidRPr="006F0BB0">
              <w:rPr>
                <w:sz w:val="18"/>
                <w:szCs w:val="18"/>
                <w:lang w:val="es-419" w:eastAsia="es-419"/>
              </w:rPr>
              <w:t>30 670</w:t>
            </w:r>
          </w:p>
        </w:tc>
        <w:tc>
          <w:tcPr>
            <w:tcW w:w="950" w:type="dxa"/>
            <w:tcBorders>
              <w:top w:val="nil"/>
              <w:left w:val="nil"/>
              <w:bottom w:val="single" w:sz="4" w:space="0" w:color="auto"/>
              <w:right w:val="single" w:sz="4" w:space="0" w:color="auto"/>
            </w:tcBorders>
            <w:shd w:val="clear" w:color="auto" w:fill="auto"/>
            <w:noWrap/>
            <w:hideMark/>
          </w:tcPr>
          <w:p w14:paraId="4030C027" w14:textId="77777777" w:rsidR="006F0BB0" w:rsidRPr="006F0BB0" w:rsidRDefault="006F0BB0" w:rsidP="007D1DBA">
            <w:pPr>
              <w:jc w:val="right"/>
              <w:rPr>
                <w:sz w:val="18"/>
                <w:szCs w:val="18"/>
                <w:lang w:val="es-419" w:eastAsia="es-419"/>
              </w:rPr>
            </w:pPr>
            <w:r w:rsidRPr="006F0BB0">
              <w:rPr>
                <w:sz w:val="18"/>
                <w:szCs w:val="18"/>
                <w:lang w:val="es-419" w:eastAsia="es-419"/>
              </w:rPr>
              <w:t>31 283</w:t>
            </w:r>
          </w:p>
        </w:tc>
        <w:tc>
          <w:tcPr>
            <w:tcW w:w="978" w:type="dxa"/>
            <w:tcBorders>
              <w:top w:val="nil"/>
              <w:left w:val="nil"/>
              <w:bottom w:val="single" w:sz="4" w:space="0" w:color="auto"/>
              <w:right w:val="single" w:sz="4" w:space="0" w:color="auto"/>
            </w:tcBorders>
            <w:shd w:val="clear" w:color="auto" w:fill="auto"/>
            <w:noWrap/>
            <w:hideMark/>
          </w:tcPr>
          <w:p w14:paraId="29487827" w14:textId="77777777" w:rsidR="006F0BB0" w:rsidRPr="006F0BB0" w:rsidRDefault="006F0BB0" w:rsidP="007D1DBA">
            <w:pPr>
              <w:jc w:val="right"/>
              <w:rPr>
                <w:sz w:val="18"/>
                <w:szCs w:val="18"/>
                <w:lang w:val="es-419" w:eastAsia="es-419"/>
              </w:rPr>
            </w:pPr>
            <w:r w:rsidRPr="006F0BB0">
              <w:rPr>
                <w:sz w:val="18"/>
                <w:szCs w:val="18"/>
                <w:lang w:val="es-419" w:eastAsia="es-419"/>
              </w:rPr>
              <w:t>31 909</w:t>
            </w:r>
          </w:p>
        </w:tc>
        <w:tc>
          <w:tcPr>
            <w:tcW w:w="950" w:type="dxa"/>
            <w:tcBorders>
              <w:top w:val="nil"/>
              <w:left w:val="nil"/>
              <w:bottom w:val="single" w:sz="4" w:space="0" w:color="auto"/>
              <w:right w:val="single" w:sz="4" w:space="0" w:color="auto"/>
            </w:tcBorders>
            <w:shd w:val="clear" w:color="auto" w:fill="auto"/>
            <w:noWrap/>
            <w:hideMark/>
          </w:tcPr>
          <w:p w14:paraId="5C363DCB" w14:textId="77777777" w:rsidR="006F0BB0" w:rsidRPr="006F0BB0" w:rsidRDefault="006F0BB0" w:rsidP="007D1DBA">
            <w:pPr>
              <w:jc w:val="right"/>
              <w:rPr>
                <w:sz w:val="18"/>
                <w:szCs w:val="18"/>
                <w:lang w:val="es-419" w:eastAsia="es-419"/>
              </w:rPr>
            </w:pPr>
            <w:r w:rsidRPr="006F0BB0">
              <w:rPr>
                <w:sz w:val="18"/>
                <w:szCs w:val="18"/>
                <w:lang w:val="es-419" w:eastAsia="es-419"/>
              </w:rPr>
              <w:t>35 100</w:t>
            </w:r>
          </w:p>
        </w:tc>
        <w:tc>
          <w:tcPr>
            <w:tcW w:w="950" w:type="dxa"/>
            <w:tcBorders>
              <w:top w:val="nil"/>
              <w:left w:val="nil"/>
              <w:bottom w:val="single" w:sz="4" w:space="0" w:color="auto"/>
              <w:right w:val="single" w:sz="4" w:space="0" w:color="auto"/>
            </w:tcBorders>
            <w:shd w:val="clear" w:color="auto" w:fill="auto"/>
            <w:noWrap/>
            <w:hideMark/>
          </w:tcPr>
          <w:p w14:paraId="27ED757B" w14:textId="77777777" w:rsidR="006F0BB0" w:rsidRPr="006F0BB0" w:rsidRDefault="006F0BB0" w:rsidP="007D1DBA">
            <w:pPr>
              <w:jc w:val="right"/>
              <w:rPr>
                <w:sz w:val="18"/>
                <w:szCs w:val="18"/>
                <w:lang w:val="es-419" w:eastAsia="es-419"/>
              </w:rPr>
            </w:pPr>
            <w:r w:rsidRPr="006F0BB0">
              <w:rPr>
                <w:sz w:val="18"/>
                <w:szCs w:val="18"/>
                <w:lang w:val="es-419" w:eastAsia="es-419"/>
              </w:rPr>
              <w:t>38 610</w:t>
            </w:r>
          </w:p>
        </w:tc>
        <w:tc>
          <w:tcPr>
            <w:tcW w:w="1076" w:type="dxa"/>
            <w:tcBorders>
              <w:top w:val="nil"/>
              <w:left w:val="nil"/>
              <w:bottom w:val="single" w:sz="4" w:space="0" w:color="auto"/>
              <w:right w:val="single" w:sz="4" w:space="0" w:color="auto"/>
            </w:tcBorders>
            <w:shd w:val="clear" w:color="auto" w:fill="auto"/>
            <w:noWrap/>
            <w:hideMark/>
          </w:tcPr>
          <w:p w14:paraId="5BC0B644" w14:textId="77777777" w:rsidR="006F0BB0" w:rsidRPr="006F0BB0" w:rsidRDefault="006F0BB0" w:rsidP="007D1DBA">
            <w:pPr>
              <w:jc w:val="right"/>
              <w:rPr>
                <w:sz w:val="18"/>
                <w:szCs w:val="18"/>
                <w:lang w:val="es-419" w:eastAsia="es-419"/>
              </w:rPr>
            </w:pPr>
            <w:r w:rsidRPr="006F0BB0">
              <w:rPr>
                <w:sz w:val="18"/>
                <w:szCs w:val="18"/>
                <w:lang w:val="es-419" w:eastAsia="es-419"/>
              </w:rPr>
              <w:t>31 287</w:t>
            </w:r>
          </w:p>
        </w:tc>
        <w:tc>
          <w:tcPr>
            <w:tcW w:w="1034" w:type="dxa"/>
            <w:tcBorders>
              <w:top w:val="nil"/>
              <w:left w:val="nil"/>
              <w:bottom w:val="single" w:sz="4" w:space="0" w:color="auto"/>
              <w:right w:val="single" w:sz="4" w:space="0" w:color="auto"/>
            </w:tcBorders>
            <w:shd w:val="clear" w:color="auto" w:fill="auto"/>
            <w:noWrap/>
            <w:hideMark/>
          </w:tcPr>
          <w:p w14:paraId="0B1D2C98" w14:textId="77777777" w:rsidR="006F0BB0" w:rsidRPr="006F0BB0" w:rsidRDefault="006F0BB0" w:rsidP="007D1DBA">
            <w:pPr>
              <w:jc w:val="right"/>
              <w:rPr>
                <w:sz w:val="18"/>
                <w:szCs w:val="18"/>
                <w:lang w:val="es-419" w:eastAsia="es-419"/>
              </w:rPr>
            </w:pPr>
            <w:r w:rsidRPr="006F0BB0">
              <w:rPr>
                <w:sz w:val="18"/>
                <w:szCs w:val="18"/>
                <w:lang w:val="es-419" w:eastAsia="es-419"/>
              </w:rPr>
              <w:t>960 971</w:t>
            </w:r>
          </w:p>
        </w:tc>
        <w:tc>
          <w:tcPr>
            <w:tcW w:w="1181" w:type="dxa"/>
            <w:tcBorders>
              <w:top w:val="nil"/>
              <w:left w:val="nil"/>
              <w:bottom w:val="single" w:sz="4" w:space="0" w:color="auto"/>
              <w:right w:val="single" w:sz="4" w:space="0" w:color="auto"/>
            </w:tcBorders>
            <w:shd w:val="clear" w:color="auto" w:fill="auto"/>
            <w:noWrap/>
            <w:hideMark/>
          </w:tcPr>
          <w:p w14:paraId="7944672E" w14:textId="77777777" w:rsidR="006F0BB0" w:rsidRPr="006F0BB0" w:rsidRDefault="006F0BB0" w:rsidP="007D1DBA">
            <w:pPr>
              <w:jc w:val="right"/>
              <w:rPr>
                <w:sz w:val="18"/>
                <w:szCs w:val="18"/>
                <w:lang w:val="es-419" w:eastAsia="es-419"/>
              </w:rPr>
            </w:pPr>
            <w:r w:rsidRPr="006F0BB0">
              <w:rPr>
                <w:sz w:val="18"/>
                <w:szCs w:val="18"/>
                <w:lang w:val="es-419" w:eastAsia="es-419"/>
              </w:rPr>
              <w:t>4,0%</w:t>
            </w:r>
          </w:p>
        </w:tc>
      </w:tr>
      <w:tr w:rsidR="006F0BB0" w:rsidRPr="006F0BB0" w14:paraId="3520C13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158956" w14:textId="77777777" w:rsidR="006F0BB0" w:rsidRPr="006F0BB0" w:rsidRDefault="006F0BB0" w:rsidP="007D1DBA">
            <w:pPr>
              <w:jc w:val="left"/>
              <w:rPr>
                <w:sz w:val="18"/>
                <w:szCs w:val="18"/>
                <w:lang w:val="es-419" w:eastAsia="es-419"/>
              </w:rPr>
            </w:pPr>
            <w:r w:rsidRPr="006F0BB0">
              <w:rPr>
                <w:sz w:val="18"/>
                <w:szCs w:val="18"/>
                <w:lang w:val="es-419" w:eastAsia="es-419"/>
              </w:rPr>
              <w:t>Venezuela</w:t>
            </w:r>
          </w:p>
        </w:tc>
        <w:tc>
          <w:tcPr>
            <w:tcW w:w="950" w:type="dxa"/>
            <w:tcBorders>
              <w:top w:val="nil"/>
              <w:left w:val="nil"/>
              <w:bottom w:val="single" w:sz="4" w:space="0" w:color="auto"/>
              <w:right w:val="single" w:sz="4" w:space="0" w:color="auto"/>
            </w:tcBorders>
            <w:shd w:val="clear" w:color="auto" w:fill="auto"/>
            <w:noWrap/>
            <w:hideMark/>
          </w:tcPr>
          <w:p w14:paraId="3342A2FA" w14:textId="77777777" w:rsidR="006F0BB0" w:rsidRPr="006F0BB0" w:rsidRDefault="006F0BB0" w:rsidP="007D1DBA">
            <w:pPr>
              <w:jc w:val="right"/>
              <w:rPr>
                <w:sz w:val="18"/>
                <w:szCs w:val="18"/>
                <w:lang w:val="es-419" w:eastAsia="es-419"/>
              </w:rPr>
            </w:pPr>
            <w:r w:rsidRPr="006F0BB0">
              <w:rPr>
                <w:sz w:val="18"/>
                <w:szCs w:val="18"/>
                <w:lang w:val="es-419" w:eastAsia="es-419"/>
              </w:rPr>
              <w:t>240 541</w:t>
            </w:r>
          </w:p>
        </w:tc>
        <w:tc>
          <w:tcPr>
            <w:tcW w:w="950" w:type="dxa"/>
            <w:tcBorders>
              <w:top w:val="nil"/>
              <w:left w:val="nil"/>
              <w:bottom w:val="single" w:sz="4" w:space="0" w:color="auto"/>
              <w:right w:val="single" w:sz="4" w:space="0" w:color="auto"/>
            </w:tcBorders>
            <w:shd w:val="clear" w:color="auto" w:fill="auto"/>
            <w:noWrap/>
            <w:hideMark/>
          </w:tcPr>
          <w:p w14:paraId="1E7318AE" w14:textId="77777777" w:rsidR="006F0BB0" w:rsidRPr="006F0BB0" w:rsidRDefault="006F0BB0" w:rsidP="007D1DBA">
            <w:pPr>
              <w:jc w:val="right"/>
              <w:rPr>
                <w:sz w:val="18"/>
                <w:szCs w:val="18"/>
                <w:lang w:val="es-419" w:eastAsia="es-419"/>
              </w:rPr>
            </w:pPr>
            <w:r w:rsidRPr="006F0BB0">
              <w:rPr>
                <w:sz w:val="18"/>
                <w:szCs w:val="18"/>
                <w:lang w:val="es-419" w:eastAsia="es-419"/>
              </w:rPr>
              <w:t>245 352</w:t>
            </w:r>
          </w:p>
        </w:tc>
        <w:tc>
          <w:tcPr>
            <w:tcW w:w="950" w:type="dxa"/>
            <w:tcBorders>
              <w:top w:val="nil"/>
              <w:left w:val="nil"/>
              <w:bottom w:val="single" w:sz="4" w:space="0" w:color="auto"/>
              <w:right w:val="single" w:sz="4" w:space="0" w:color="auto"/>
            </w:tcBorders>
            <w:shd w:val="clear" w:color="auto" w:fill="auto"/>
            <w:noWrap/>
            <w:hideMark/>
          </w:tcPr>
          <w:p w14:paraId="4086861B" w14:textId="77777777" w:rsidR="006F0BB0" w:rsidRPr="006F0BB0" w:rsidRDefault="006F0BB0" w:rsidP="007D1DBA">
            <w:pPr>
              <w:jc w:val="right"/>
              <w:rPr>
                <w:sz w:val="18"/>
                <w:szCs w:val="18"/>
                <w:lang w:val="es-419" w:eastAsia="es-419"/>
              </w:rPr>
            </w:pPr>
            <w:r w:rsidRPr="006F0BB0">
              <w:rPr>
                <w:sz w:val="18"/>
                <w:szCs w:val="18"/>
                <w:lang w:val="es-419" w:eastAsia="es-419"/>
              </w:rPr>
              <w:t>250 259</w:t>
            </w:r>
          </w:p>
        </w:tc>
        <w:tc>
          <w:tcPr>
            <w:tcW w:w="978" w:type="dxa"/>
            <w:tcBorders>
              <w:top w:val="nil"/>
              <w:left w:val="nil"/>
              <w:bottom w:val="single" w:sz="4" w:space="0" w:color="auto"/>
              <w:right w:val="single" w:sz="4" w:space="0" w:color="auto"/>
            </w:tcBorders>
            <w:shd w:val="clear" w:color="auto" w:fill="auto"/>
            <w:noWrap/>
            <w:hideMark/>
          </w:tcPr>
          <w:p w14:paraId="03D38ACF" w14:textId="77777777" w:rsidR="006F0BB0" w:rsidRPr="006F0BB0" w:rsidRDefault="006F0BB0" w:rsidP="007D1DBA">
            <w:pPr>
              <w:jc w:val="right"/>
              <w:rPr>
                <w:sz w:val="18"/>
                <w:szCs w:val="18"/>
                <w:lang w:val="es-419" w:eastAsia="es-419"/>
              </w:rPr>
            </w:pPr>
            <w:r w:rsidRPr="006F0BB0">
              <w:rPr>
                <w:sz w:val="18"/>
                <w:szCs w:val="18"/>
                <w:lang w:val="es-419" w:eastAsia="es-419"/>
              </w:rPr>
              <w:t>255 264</w:t>
            </w:r>
          </w:p>
        </w:tc>
        <w:tc>
          <w:tcPr>
            <w:tcW w:w="950" w:type="dxa"/>
            <w:tcBorders>
              <w:top w:val="nil"/>
              <w:left w:val="nil"/>
              <w:bottom w:val="single" w:sz="4" w:space="0" w:color="auto"/>
              <w:right w:val="single" w:sz="4" w:space="0" w:color="auto"/>
            </w:tcBorders>
            <w:shd w:val="clear" w:color="auto" w:fill="auto"/>
            <w:noWrap/>
            <w:hideMark/>
          </w:tcPr>
          <w:p w14:paraId="6580E83C" w14:textId="77777777" w:rsidR="006F0BB0" w:rsidRPr="006F0BB0" w:rsidRDefault="006F0BB0" w:rsidP="007D1DBA">
            <w:pPr>
              <w:jc w:val="right"/>
              <w:rPr>
                <w:sz w:val="18"/>
                <w:szCs w:val="18"/>
                <w:lang w:val="es-419" w:eastAsia="es-419"/>
              </w:rPr>
            </w:pPr>
            <w:r w:rsidRPr="006F0BB0">
              <w:rPr>
                <w:sz w:val="18"/>
                <w:szCs w:val="18"/>
                <w:lang w:val="es-419" w:eastAsia="es-419"/>
              </w:rPr>
              <w:t>280 790</w:t>
            </w:r>
          </w:p>
        </w:tc>
        <w:tc>
          <w:tcPr>
            <w:tcW w:w="950" w:type="dxa"/>
            <w:tcBorders>
              <w:top w:val="nil"/>
              <w:left w:val="nil"/>
              <w:bottom w:val="single" w:sz="4" w:space="0" w:color="auto"/>
              <w:right w:val="single" w:sz="4" w:space="0" w:color="auto"/>
            </w:tcBorders>
            <w:shd w:val="clear" w:color="auto" w:fill="auto"/>
            <w:noWrap/>
            <w:hideMark/>
          </w:tcPr>
          <w:p w14:paraId="1D5A391D" w14:textId="77777777" w:rsidR="006F0BB0" w:rsidRPr="006F0BB0" w:rsidRDefault="006F0BB0" w:rsidP="007D1DBA">
            <w:pPr>
              <w:jc w:val="right"/>
              <w:rPr>
                <w:sz w:val="18"/>
                <w:szCs w:val="18"/>
                <w:lang w:val="es-419" w:eastAsia="es-419"/>
              </w:rPr>
            </w:pPr>
            <w:r w:rsidRPr="006F0BB0">
              <w:rPr>
                <w:sz w:val="18"/>
                <w:szCs w:val="18"/>
                <w:lang w:val="es-419" w:eastAsia="es-419"/>
              </w:rPr>
              <w:t>308 869</w:t>
            </w:r>
          </w:p>
        </w:tc>
        <w:tc>
          <w:tcPr>
            <w:tcW w:w="1076" w:type="dxa"/>
            <w:tcBorders>
              <w:top w:val="nil"/>
              <w:left w:val="nil"/>
              <w:bottom w:val="single" w:sz="4" w:space="0" w:color="auto"/>
              <w:right w:val="single" w:sz="4" w:space="0" w:color="auto"/>
            </w:tcBorders>
            <w:shd w:val="clear" w:color="auto" w:fill="auto"/>
            <w:noWrap/>
            <w:hideMark/>
          </w:tcPr>
          <w:p w14:paraId="294DD5EB" w14:textId="77777777" w:rsidR="006F0BB0" w:rsidRPr="006F0BB0" w:rsidRDefault="006F0BB0" w:rsidP="007D1DBA">
            <w:pPr>
              <w:jc w:val="right"/>
              <w:rPr>
                <w:sz w:val="18"/>
                <w:szCs w:val="18"/>
                <w:lang w:val="es-419" w:eastAsia="es-419"/>
              </w:rPr>
            </w:pPr>
            <w:r w:rsidRPr="006F0BB0">
              <w:rPr>
                <w:sz w:val="18"/>
                <w:szCs w:val="18"/>
                <w:lang w:val="es-419" w:eastAsia="es-419"/>
              </w:rPr>
              <w:t>250 292</w:t>
            </w:r>
          </w:p>
        </w:tc>
        <w:tc>
          <w:tcPr>
            <w:tcW w:w="1034" w:type="dxa"/>
            <w:tcBorders>
              <w:top w:val="nil"/>
              <w:left w:val="nil"/>
              <w:bottom w:val="single" w:sz="4" w:space="0" w:color="auto"/>
              <w:right w:val="single" w:sz="4" w:space="0" w:color="auto"/>
            </w:tcBorders>
            <w:shd w:val="clear" w:color="auto" w:fill="auto"/>
            <w:noWrap/>
            <w:hideMark/>
          </w:tcPr>
          <w:p w14:paraId="2A145DAE" w14:textId="77777777" w:rsidR="006F0BB0" w:rsidRPr="006F0BB0" w:rsidRDefault="006F0BB0" w:rsidP="007D1DBA">
            <w:pPr>
              <w:jc w:val="right"/>
              <w:rPr>
                <w:sz w:val="18"/>
                <w:szCs w:val="18"/>
                <w:lang w:val="es-419" w:eastAsia="es-419"/>
              </w:rPr>
            </w:pPr>
            <w:r w:rsidRPr="006F0BB0">
              <w:rPr>
                <w:sz w:val="18"/>
                <w:szCs w:val="18"/>
                <w:lang w:val="es-419" w:eastAsia="es-419"/>
              </w:rPr>
              <w:t>4 008 456</w:t>
            </w:r>
          </w:p>
        </w:tc>
        <w:tc>
          <w:tcPr>
            <w:tcW w:w="1181" w:type="dxa"/>
            <w:tcBorders>
              <w:top w:val="nil"/>
              <w:left w:val="nil"/>
              <w:bottom w:val="single" w:sz="4" w:space="0" w:color="auto"/>
              <w:right w:val="single" w:sz="4" w:space="0" w:color="auto"/>
            </w:tcBorders>
            <w:shd w:val="clear" w:color="auto" w:fill="auto"/>
            <w:noWrap/>
            <w:hideMark/>
          </w:tcPr>
          <w:p w14:paraId="6A5AB6B9" w14:textId="77777777" w:rsidR="006F0BB0" w:rsidRPr="006F0BB0" w:rsidRDefault="006F0BB0" w:rsidP="007D1DBA">
            <w:pPr>
              <w:jc w:val="right"/>
              <w:rPr>
                <w:sz w:val="18"/>
                <w:szCs w:val="18"/>
                <w:lang w:val="es-419" w:eastAsia="es-419"/>
              </w:rPr>
            </w:pPr>
            <w:r w:rsidRPr="006F0BB0">
              <w:rPr>
                <w:sz w:val="18"/>
                <w:szCs w:val="18"/>
                <w:lang w:val="es-419" w:eastAsia="es-419"/>
              </w:rPr>
              <w:t>7,7%</w:t>
            </w:r>
          </w:p>
        </w:tc>
      </w:tr>
      <w:tr w:rsidR="006F0BB0" w:rsidRPr="006F0BB0" w14:paraId="4C97EA5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A1CF19" w14:textId="77777777" w:rsidR="006F0BB0" w:rsidRPr="006F0BB0" w:rsidRDefault="006F0BB0" w:rsidP="007D1DBA">
            <w:pPr>
              <w:jc w:val="left"/>
              <w:rPr>
                <w:sz w:val="18"/>
                <w:szCs w:val="18"/>
                <w:lang w:val="es-419" w:eastAsia="es-419"/>
              </w:rPr>
            </w:pPr>
            <w:r w:rsidRPr="006F0BB0">
              <w:rPr>
                <w:sz w:val="18"/>
                <w:szCs w:val="18"/>
                <w:lang w:val="es-419" w:eastAsia="es-419"/>
              </w:rPr>
              <w:t>Liberia</w:t>
            </w:r>
          </w:p>
        </w:tc>
        <w:tc>
          <w:tcPr>
            <w:tcW w:w="950" w:type="dxa"/>
            <w:tcBorders>
              <w:top w:val="nil"/>
              <w:left w:val="nil"/>
              <w:bottom w:val="single" w:sz="4" w:space="0" w:color="auto"/>
              <w:right w:val="single" w:sz="4" w:space="0" w:color="auto"/>
            </w:tcBorders>
            <w:shd w:val="clear" w:color="auto" w:fill="auto"/>
            <w:noWrap/>
            <w:hideMark/>
          </w:tcPr>
          <w:p w14:paraId="0E92C3AF" w14:textId="77777777" w:rsidR="006F0BB0" w:rsidRPr="006F0BB0" w:rsidRDefault="006F0BB0" w:rsidP="007D1DBA">
            <w:pPr>
              <w:jc w:val="right"/>
              <w:rPr>
                <w:sz w:val="18"/>
                <w:szCs w:val="18"/>
                <w:lang w:val="es-419" w:eastAsia="es-419"/>
              </w:rPr>
            </w:pPr>
            <w:r w:rsidRPr="006F0BB0">
              <w:rPr>
                <w:sz w:val="18"/>
                <w:szCs w:val="18"/>
                <w:lang w:val="es-419" w:eastAsia="es-419"/>
              </w:rPr>
              <w:t>12 169</w:t>
            </w:r>
          </w:p>
        </w:tc>
        <w:tc>
          <w:tcPr>
            <w:tcW w:w="950" w:type="dxa"/>
            <w:tcBorders>
              <w:top w:val="nil"/>
              <w:left w:val="nil"/>
              <w:bottom w:val="single" w:sz="4" w:space="0" w:color="auto"/>
              <w:right w:val="single" w:sz="4" w:space="0" w:color="auto"/>
            </w:tcBorders>
            <w:shd w:val="clear" w:color="auto" w:fill="auto"/>
            <w:noWrap/>
            <w:hideMark/>
          </w:tcPr>
          <w:p w14:paraId="2F69BCA2" w14:textId="77777777" w:rsidR="006F0BB0" w:rsidRPr="006F0BB0" w:rsidRDefault="006F0BB0" w:rsidP="007D1DBA">
            <w:pPr>
              <w:jc w:val="right"/>
              <w:rPr>
                <w:sz w:val="18"/>
                <w:szCs w:val="18"/>
                <w:lang w:val="es-419" w:eastAsia="es-419"/>
              </w:rPr>
            </w:pPr>
            <w:r w:rsidRPr="006F0BB0">
              <w:rPr>
                <w:sz w:val="18"/>
                <w:szCs w:val="18"/>
                <w:lang w:val="es-419" w:eastAsia="es-419"/>
              </w:rPr>
              <w:t>12 412</w:t>
            </w:r>
          </w:p>
        </w:tc>
        <w:tc>
          <w:tcPr>
            <w:tcW w:w="950" w:type="dxa"/>
            <w:tcBorders>
              <w:top w:val="nil"/>
              <w:left w:val="nil"/>
              <w:bottom w:val="single" w:sz="4" w:space="0" w:color="auto"/>
              <w:right w:val="single" w:sz="4" w:space="0" w:color="auto"/>
            </w:tcBorders>
            <w:shd w:val="clear" w:color="auto" w:fill="auto"/>
            <w:noWrap/>
            <w:hideMark/>
          </w:tcPr>
          <w:p w14:paraId="06766534" w14:textId="77777777" w:rsidR="006F0BB0" w:rsidRPr="006F0BB0" w:rsidRDefault="006F0BB0" w:rsidP="007D1DBA">
            <w:pPr>
              <w:jc w:val="right"/>
              <w:rPr>
                <w:sz w:val="18"/>
                <w:szCs w:val="18"/>
                <w:lang w:val="es-419" w:eastAsia="es-419"/>
              </w:rPr>
            </w:pPr>
            <w:r w:rsidRPr="006F0BB0">
              <w:rPr>
                <w:sz w:val="18"/>
                <w:szCs w:val="18"/>
                <w:lang w:val="es-419" w:eastAsia="es-419"/>
              </w:rPr>
              <w:t>12 661</w:t>
            </w:r>
          </w:p>
        </w:tc>
        <w:tc>
          <w:tcPr>
            <w:tcW w:w="978" w:type="dxa"/>
            <w:tcBorders>
              <w:top w:val="nil"/>
              <w:left w:val="nil"/>
              <w:bottom w:val="single" w:sz="4" w:space="0" w:color="auto"/>
              <w:right w:val="single" w:sz="4" w:space="0" w:color="auto"/>
            </w:tcBorders>
            <w:shd w:val="clear" w:color="auto" w:fill="auto"/>
            <w:noWrap/>
            <w:hideMark/>
          </w:tcPr>
          <w:p w14:paraId="071520E9" w14:textId="77777777" w:rsidR="006F0BB0" w:rsidRPr="006F0BB0" w:rsidRDefault="006F0BB0" w:rsidP="007D1DBA">
            <w:pPr>
              <w:jc w:val="right"/>
              <w:rPr>
                <w:sz w:val="18"/>
                <w:szCs w:val="18"/>
                <w:lang w:val="es-419" w:eastAsia="es-419"/>
              </w:rPr>
            </w:pPr>
            <w:r w:rsidRPr="006F0BB0">
              <w:rPr>
                <w:sz w:val="18"/>
                <w:szCs w:val="18"/>
                <w:lang w:val="es-419" w:eastAsia="es-419"/>
              </w:rPr>
              <w:t>12 914</w:t>
            </w:r>
          </w:p>
        </w:tc>
        <w:tc>
          <w:tcPr>
            <w:tcW w:w="950" w:type="dxa"/>
            <w:tcBorders>
              <w:top w:val="nil"/>
              <w:left w:val="nil"/>
              <w:bottom w:val="single" w:sz="4" w:space="0" w:color="auto"/>
              <w:right w:val="single" w:sz="4" w:space="0" w:color="auto"/>
            </w:tcBorders>
            <w:shd w:val="clear" w:color="auto" w:fill="auto"/>
            <w:noWrap/>
            <w:hideMark/>
          </w:tcPr>
          <w:p w14:paraId="509C33C8" w14:textId="77777777" w:rsidR="006F0BB0" w:rsidRPr="006F0BB0" w:rsidRDefault="006F0BB0" w:rsidP="007D1DBA">
            <w:pPr>
              <w:jc w:val="right"/>
              <w:rPr>
                <w:sz w:val="18"/>
                <w:szCs w:val="18"/>
                <w:lang w:val="es-419" w:eastAsia="es-419"/>
              </w:rPr>
            </w:pPr>
            <w:r w:rsidRPr="006F0BB0">
              <w:rPr>
                <w:sz w:val="18"/>
                <w:szCs w:val="18"/>
                <w:lang w:val="es-419" w:eastAsia="es-419"/>
              </w:rPr>
              <w:t>14 205</w:t>
            </w:r>
          </w:p>
        </w:tc>
        <w:tc>
          <w:tcPr>
            <w:tcW w:w="950" w:type="dxa"/>
            <w:tcBorders>
              <w:top w:val="nil"/>
              <w:left w:val="nil"/>
              <w:bottom w:val="single" w:sz="4" w:space="0" w:color="auto"/>
              <w:right w:val="single" w:sz="4" w:space="0" w:color="auto"/>
            </w:tcBorders>
            <w:shd w:val="clear" w:color="auto" w:fill="auto"/>
            <w:noWrap/>
            <w:hideMark/>
          </w:tcPr>
          <w:p w14:paraId="137B4EC9" w14:textId="77777777" w:rsidR="006F0BB0" w:rsidRPr="006F0BB0" w:rsidRDefault="006F0BB0" w:rsidP="007D1DBA">
            <w:pPr>
              <w:jc w:val="right"/>
              <w:rPr>
                <w:sz w:val="18"/>
                <w:szCs w:val="18"/>
                <w:lang w:val="es-419" w:eastAsia="es-419"/>
              </w:rPr>
            </w:pPr>
            <w:r w:rsidRPr="006F0BB0">
              <w:rPr>
                <w:sz w:val="18"/>
                <w:szCs w:val="18"/>
                <w:lang w:val="es-419" w:eastAsia="es-419"/>
              </w:rPr>
              <w:t>15 626</w:t>
            </w:r>
          </w:p>
        </w:tc>
        <w:tc>
          <w:tcPr>
            <w:tcW w:w="1076" w:type="dxa"/>
            <w:tcBorders>
              <w:top w:val="nil"/>
              <w:left w:val="nil"/>
              <w:bottom w:val="single" w:sz="4" w:space="0" w:color="auto"/>
              <w:right w:val="single" w:sz="4" w:space="0" w:color="auto"/>
            </w:tcBorders>
            <w:shd w:val="clear" w:color="auto" w:fill="auto"/>
            <w:noWrap/>
            <w:hideMark/>
          </w:tcPr>
          <w:p w14:paraId="7C8A214C" w14:textId="77777777" w:rsidR="006F0BB0" w:rsidRPr="006F0BB0" w:rsidRDefault="006F0BB0" w:rsidP="007D1DBA">
            <w:pPr>
              <w:jc w:val="right"/>
              <w:rPr>
                <w:sz w:val="18"/>
                <w:szCs w:val="18"/>
                <w:lang w:val="es-419" w:eastAsia="es-419"/>
              </w:rPr>
            </w:pPr>
            <w:r w:rsidRPr="006F0BB0">
              <w:rPr>
                <w:sz w:val="18"/>
                <w:szCs w:val="18"/>
                <w:lang w:val="es-419" w:eastAsia="es-419"/>
              </w:rPr>
              <w:t>12 662</w:t>
            </w:r>
          </w:p>
        </w:tc>
        <w:tc>
          <w:tcPr>
            <w:tcW w:w="1034" w:type="dxa"/>
            <w:tcBorders>
              <w:top w:val="nil"/>
              <w:left w:val="nil"/>
              <w:bottom w:val="single" w:sz="4" w:space="0" w:color="auto"/>
              <w:right w:val="single" w:sz="4" w:space="0" w:color="auto"/>
            </w:tcBorders>
            <w:shd w:val="clear" w:color="auto" w:fill="auto"/>
            <w:noWrap/>
            <w:hideMark/>
          </w:tcPr>
          <w:p w14:paraId="5A2C6E39" w14:textId="77777777" w:rsidR="006F0BB0" w:rsidRPr="006F0BB0" w:rsidRDefault="006F0BB0" w:rsidP="007D1DBA">
            <w:pPr>
              <w:jc w:val="right"/>
              <w:rPr>
                <w:sz w:val="18"/>
                <w:szCs w:val="18"/>
                <w:lang w:val="es-419" w:eastAsia="es-419"/>
              </w:rPr>
            </w:pPr>
            <w:r w:rsidRPr="006F0BB0">
              <w:rPr>
                <w:sz w:val="18"/>
                <w:szCs w:val="18"/>
                <w:lang w:val="es-419" w:eastAsia="es-419"/>
              </w:rPr>
              <w:t>124 959</w:t>
            </w:r>
          </w:p>
        </w:tc>
        <w:tc>
          <w:tcPr>
            <w:tcW w:w="1181" w:type="dxa"/>
            <w:tcBorders>
              <w:top w:val="nil"/>
              <w:left w:val="nil"/>
              <w:bottom w:val="single" w:sz="4" w:space="0" w:color="auto"/>
              <w:right w:val="single" w:sz="4" w:space="0" w:color="auto"/>
            </w:tcBorders>
            <w:shd w:val="clear" w:color="auto" w:fill="auto"/>
            <w:noWrap/>
            <w:hideMark/>
          </w:tcPr>
          <w:p w14:paraId="758D663B" w14:textId="77777777" w:rsidR="006F0BB0" w:rsidRPr="006F0BB0" w:rsidRDefault="006F0BB0" w:rsidP="007D1DBA">
            <w:pPr>
              <w:jc w:val="right"/>
              <w:rPr>
                <w:sz w:val="18"/>
                <w:szCs w:val="18"/>
                <w:lang w:val="es-419" w:eastAsia="es-419"/>
              </w:rPr>
            </w:pPr>
            <w:r w:rsidRPr="006F0BB0">
              <w:rPr>
                <w:sz w:val="18"/>
                <w:szCs w:val="18"/>
                <w:lang w:val="es-419" w:eastAsia="es-419"/>
              </w:rPr>
              <w:t>12,5%</w:t>
            </w:r>
          </w:p>
        </w:tc>
      </w:tr>
      <w:tr w:rsidR="006F0BB0" w:rsidRPr="006F0BB0" w14:paraId="2CACE129"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0687E3" w14:textId="77777777" w:rsidR="006F0BB0" w:rsidRPr="006F0BB0" w:rsidRDefault="006F0BB0" w:rsidP="007D1DBA">
            <w:pPr>
              <w:jc w:val="left"/>
              <w:rPr>
                <w:sz w:val="18"/>
                <w:szCs w:val="18"/>
                <w:lang w:val="es-419" w:eastAsia="es-419"/>
              </w:rPr>
            </w:pPr>
            <w:r w:rsidRPr="006F0BB0">
              <w:rPr>
                <w:sz w:val="18"/>
                <w:szCs w:val="18"/>
                <w:lang w:val="es-419" w:eastAsia="es-419"/>
              </w:rPr>
              <w:t>Nigeria</w:t>
            </w:r>
          </w:p>
        </w:tc>
        <w:tc>
          <w:tcPr>
            <w:tcW w:w="950" w:type="dxa"/>
            <w:tcBorders>
              <w:top w:val="nil"/>
              <w:left w:val="nil"/>
              <w:bottom w:val="single" w:sz="4" w:space="0" w:color="auto"/>
              <w:right w:val="single" w:sz="4" w:space="0" w:color="auto"/>
            </w:tcBorders>
            <w:shd w:val="clear" w:color="auto" w:fill="auto"/>
            <w:noWrap/>
            <w:hideMark/>
          </w:tcPr>
          <w:p w14:paraId="4497FFB5" w14:textId="77777777" w:rsidR="006F0BB0" w:rsidRPr="006F0BB0" w:rsidRDefault="006F0BB0" w:rsidP="007D1DBA">
            <w:pPr>
              <w:jc w:val="right"/>
              <w:rPr>
                <w:sz w:val="18"/>
                <w:szCs w:val="18"/>
                <w:lang w:val="es-419" w:eastAsia="es-419"/>
              </w:rPr>
            </w:pPr>
            <w:r w:rsidRPr="006F0BB0">
              <w:rPr>
                <w:sz w:val="18"/>
                <w:szCs w:val="18"/>
                <w:lang w:val="es-419" w:eastAsia="es-419"/>
              </w:rPr>
              <w:t>807 493</w:t>
            </w:r>
          </w:p>
        </w:tc>
        <w:tc>
          <w:tcPr>
            <w:tcW w:w="950" w:type="dxa"/>
            <w:tcBorders>
              <w:top w:val="nil"/>
              <w:left w:val="nil"/>
              <w:bottom w:val="single" w:sz="4" w:space="0" w:color="auto"/>
              <w:right w:val="single" w:sz="4" w:space="0" w:color="auto"/>
            </w:tcBorders>
            <w:shd w:val="clear" w:color="auto" w:fill="auto"/>
            <w:noWrap/>
            <w:hideMark/>
          </w:tcPr>
          <w:p w14:paraId="1639A07E" w14:textId="77777777" w:rsidR="006F0BB0" w:rsidRPr="006F0BB0" w:rsidRDefault="006F0BB0" w:rsidP="007D1DBA">
            <w:pPr>
              <w:jc w:val="right"/>
              <w:rPr>
                <w:sz w:val="18"/>
                <w:szCs w:val="18"/>
                <w:lang w:val="es-419" w:eastAsia="es-419"/>
              </w:rPr>
            </w:pPr>
            <w:r w:rsidRPr="006F0BB0">
              <w:rPr>
                <w:sz w:val="18"/>
                <w:szCs w:val="18"/>
                <w:lang w:val="es-419" w:eastAsia="es-419"/>
              </w:rPr>
              <w:t>823 643</w:t>
            </w:r>
          </w:p>
        </w:tc>
        <w:tc>
          <w:tcPr>
            <w:tcW w:w="950" w:type="dxa"/>
            <w:tcBorders>
              <w:top w:val="nil"/>
              <w:left w:val="nil"/>
              <w:bottom w:val="single" w:sz="4" w:space="0" w:color="auto"/>
              <w:right w:val="single" w:sz="4" w:space="0" w:color="auto"/>
            </w:tcBorders>
            <w:shd w:val="clear" w:color="auto" w:fill="auto"/>
            <w:noWrap/>
            <w:hideMark/>
          </w:tcPr>
          <w:p w14:paraId="3BCEBE2B" w14:textId="77777777" w:rsidR="006F0BB0" w:rsidRPr="006F0BB0" w:rsidRDefault="006F0BB0" w:rsidP="007D1DBA">
            <w:pPr>
              <w:jc w:val="right"/>
              <w:rPr>
                <w:sz w:val="18"/>
                <w:szCs w:val="18"/>
                <w:lang w:val="es-419" w:eastAsia="es-419"/>
              </w:rPr>
            </w:pPr>
            <w:r w:rsidRPr="006F0BB0">
              <w:rPr>
                <w:sz w:val="18"/>
                <w:szCs w:val="18"/>
                <w:lang w:val="es-419" w:eastAsia="es-419"/>
              </w:rPr>
              <w:t>840 115</w:t>
            </w:r>
          </w:p>
        </w:tc>
        <w:tc>
          <w:tcPr>
            <w:tcW w:w="978" w:type="dxa"/>
            <w:tcBorders>
              <w:top w:val="nil"/>
              <w:left w:val="nil"/>
              <w:bottom w:val="single" w:sz="4" w:space="0" w:color="auto"/>
              <w:right w:val="single" w:sz="4" w:space="0" w:color="auto"/>
            </w:tcBorders>
            <w:shd w:val="clear" w:color="auto" w:fill="auto"/>
            <w:noWrap/>
            <w:hideMark/>
          </w:tcPr>
          <w:p w14:paraId="05623A89" w14:textId="77777777" w:rsidR="006F0BB0" w:rsidRPr="006F0BB0" w:rsidRDefault="006F0BB0" w:rsidP="007D1DBA">
            <w:pPr>
              <w:jc w:val="right"/>
              <w:rPr>
                <w:sz w:val="18"/>
                <w:szCs w:val="18"/>
                <w:lang w:val="es-419" w:eastAsia="es-419"/>
              </w:rPr>
            </w:pPr>
            <w:r w:rsidRPr="006F0BB0">
              <w:rPr>
                <w:sz w:val="18"/>
                <w:szCs w:val="18"/>
                <w:lang w:val="es-419" w:eastAsia="es-419"/>
              </w:rPr>
              <w:t>856 918</w:t>
            </w:r>
          </w:p>
        </w:tc>
        <w:tc>
          <w:tcPr>
            <w:tcW w:w="950" w:type="dxa"/>
            <w:tcBorders>
              <w:top w:val="nil"/>
              <w:left w:val="nil"/>
              <w:bottom w:val="single" w:sz="4" w:space="0" w:color="auto"/>
              <w:right w:val="single" w:sz="4" w:space="0" w:color="auto"/>
            </w:tcBorders>
            <w:shd w:val="clear" w:color="auto" w:fill="auto"/>
            <w:noWrap/>
            <w:hideMark/>
          </w:tcPr>
          <w:p w14:paraId="246C551D" w14:textId="77777777" w:rsidR="006F0BB0" w:rsidRPr="006F0BB0" w:rsidRDefault="006F0BB0" w:rsidP="007D1DBA">
            <w:pPr>
              <w:jc w:val="right"/>
              <w:rPr>
                <w:sz w:val="18"/>
                <w:szCs w:val="18"/>
                <w:lang w:val="es-419" w:eastAsia="es-419"/>
              </w:rPr>
            </w:pPr>
            <w:r w:rsidRPr="006F0BB0">
              <w:rPr>
                <w:sz w:val="18"/>
                <w:szCs w:val="18"/>
                <w:lang w:val="es-419" w:eastAsia="es-419"/>
              </w:rPr>
              <w:t>942 610</w:t>
            </w:r>
          </w:p>
        </w:tc>
        <w:tc>
          <w:tcPr>
            <w:tcW w:w="950" w:type="dxa"/>
            <w:tcBorders>
              <w:top w:val="nil"/>
              <w:left w:val="nil"/>
              <w:bottom w:val="single" w:sz="4" w:space="0" w:color="auto"/>
              <w:right w:val="single" w:sz="4" w:space="0" w:color="auto"/>
            </w:tcBorders>
            <w:shd w:val="clear" w:color="auto" w:fill="auto"/>
            <w:noWrap/>
            <w:hideMark/>
          </w:tcPr>
          <w:p w14:paraId="6B0A0DFA" w14:textId="77777777" w:rsidR="006F0BB0" w:rsidRPr="006F0BB0" w:rsidRDefault="006F0BB0" w:rsidP="007D1DBA">
            <w:pPr>
              <w:jc w:val="right"/>
              <w:rPr>
                <w:sz w:val="18"/>
                <w:szCs w:val="18"/>
                <w:lang w:val="es-419" w:eastAsia="es-419"/>
              </w:rPr>
            </w:pPr>
            <w:r w:rsidRPr="006F0BB0">
              <w:rPr>
                <w:sz w:val="18"/>
                <w:szCs w:val="18"/>
                <w:lang w:val="es-419" w:eastAsia="es-419"/>
              </w:rPr>
              <w:t>1 036 870</w:t>
            </w:r>
          </w:p>
        </w:tc>
        <w:tc>
          <w:tcPr>
            <w:tcW w:w="1076" w:type="dxa"/>
            <w:tcBorders>
              <w:top w:val="nil"/>
              <w:left w:val="nil"/>
              <w:bottom w:val="single" w:sz="4" w:space="0" w:color="auto"/>
              <w:right w:val="single" w:sz="4" w:space="0" w:color="auto"/>
            </w:tcBorders>
            <w:shd w:val="clear" w:color="auto" w:fill="auto"/>
            <w:noWrap/>
            <w:hideMark/>
          </w:tcPr>
          <w:p w14:paraId="7BC724DB" w14:textId="77777777" w:rsidR="006F0BB0" w:rsidRPr="006F0BB0" w:rsidRDefault="006F0BB0" w:rsidP="007D1DBA">
            <w:pPr>
              <w:jc w:val="right"/>
              <w:rPr>
                <w:sz w:val="18"/>
                <w:szCs w:val="18"/>
                <w:lang w:val="es-419" w:eastAsia="es-419"/>
              </w:rPr>
            </w:pPr>
            <w:r w:rsidRPr="006F0BB0">
              <w:rPr>
                <w:sz w:val="18"/>
                <w:szCs w:val="18"/>
                <w:lang w:val="es-419" w:eastAsia="es-419"/>
              </w:rPr>
              <w:t>840 225</w:t>
            </w:r>
          </w:p>
        </w:tc>
        <w:tc>
          <w:tcPr>
            <w:tcW w:w="1034" w:type="dxa"/>
            <w:tcBorders>
              <w:top w:val="nil"/>
              <w:left w:val="nil"/>
              <w:bottom w:val="single" w:sz="4" w:space="0" w:color="auto"/>
              <w:right w:val="single" w:sz="4" w:space="0" w:color="auto"/>
            </w:tcBorders>
            <w:shd w:val="clear" w:color="auto" w:fill="auto"/>
            <w:noWrap/>
            <w:hideMark/>
          </w:tcPr>
          <w:p w14:paraId="21DDDB46" w14:textId="77777777" w:rsidR="006F0BB0" w:rsidRPr="006F0BB0" w:rsidRDefault="006F0BB0" w:rsidP="007D1DBA">
            <w:pPr>
              <w:jc w:val="right"/>
              <w:rPr>
                <w:sz w:val="18"/>
                <w:szCs w:val="18"/>
                <w:lang w:val="es-419" w:eastAsia="es-419"/>
              </w:rPr>
            </w:pPr>
            <w:r w:rsidRPr="006F0BB0">
              <w:rPr>
                <w:sz w:val="18"/>
                <w:szCs w:val="18"/>
                <w:lang w:val="es-419" w:eastAsia="es-419"/>
              </w:rPr>
              <w:t>6 569 326</w:t>
            </w:r>
          </w:p>
        </w:tc>
        <w:tc>
          <w:tcPr>
            <w:tcW w:w="1181" w:type="dxa"/>
            <w:tcBorders>
              <w:top w:val="nil"/>
              <w:left w:val="nil"/>
              <w:bottom w:val="single" w:sz="4" w:space="0" w:color="auto"/>
              <w:right w:val="single" w:sz="4" w:space="0" w:color="auto"/>
            </w:tcBorders>
            <w:shd w:val="clear" w:color="auto" w:fill="auto"/>
            <w:noWrap/>
            <w:hideMark/>
          </w:tcPr>
          <w:p w14:paraId="5731CDB1" w14:textId="77777777" w:rsidR="006F0BB0" w:rsidRPr="006F0BB0" w:rsidRDefault="006F0BB0" w:rsidP="007D1DBA">
            <w:pPr>
              <w:jc w:val="right"/>
              <w:rPr>
                <w:sz w:val="18"/>
                <w:szCs w:val="18"/>
                <w:lang w:val="es-419" w:eastAsia="es-419"/>
              </w:rPr>
            </w:pPr>
            <w:r w:rsidRPr="006F0BB0">
              <w:rPr>
                <w:sz w:val="18"/>
                <w:szCs w:val="18"/>
                <w:lang w:val="es-419" w:eastAsia="es-419"/>
              </w:rPr>
              <w:t>15,8%</w:t>
            </w:r>
          </w:p>
        </w:tc>
      </w:tr>
      <w:tr w:rsidR="006F0BB0" w:rsidRPr="006F0BB0" w14:paraId="59BCA9BE"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469DE9" w14:textId="77777777" w:rsidR="006F0BB0" w:rsidRPr="006F0BB0" w:rsidRDefault="006F0BB0" w:rsidP="007D1DBA">
            <w:pPr>
              <w:jc w:val="left"/>
              <w:rPr>
                <w:sz w:val="18"/>
                <w:szCs w:val="18"/>
                <w:lang w:val="es-419" w:eastAsia="es-419"/>
              </w:rPr>
            </w:pPr>
            <w:r w:rsidRPr="006F0BB0">
              <w:rPr>
                <w:sz w:val="18"/>
                <w:szCs w:val="18"/>
                <w:lang w:val="es-419" w:eastAsia="es-419"/>
              </w:rPr>
              <w:t>Camboya</w:t>
            </w:r>
          </w:p>
        </w:tc>
        <w:tc>
          <w:tcPr>
            <w:tcW w:w="950" w:type="dxa"/>
            <w:tcBorders>
              <w:top w:val="nil"/>
              <w:left w:val="nil"/>
              <w:bottom w:val="single" w:sz="4" w:space="0" w:color="auto"/>
              <w:right w:val="single" w:sz="4" w:space="0" w:color="auto"/>
            </w:tcBorders>
            <w:shd w:val="clear" w:color="auto" w:fill="auto"/>
            <w:noWrap/>
            <w:hideMark/>
          </w:tcPr>
          <w:p w14:paraId="5324E071" w14:textId="77777777" w:rsidR="006F0BB0" w:rsidRPr="006F0BB0" w:rsidRDefault="006F0BB0" w:rsidP="007D1DBA">
            <w:pPr>
              <w:jc w:val="right"/>
              <w:rPr>
                <w:sz w:val="18"/>
                <w:szCs w:val="18"/>
                <w:lang w:val="es-419" w:eastAsia="es-419"/>
              </w:rPr>
            </w:pPr>
            <w:r w:rsidRPr="006F0BB0">
              <w:rPr>
                <w:sz w:val="18"/>
                <w:szCs w:val="18"/>
                <w:lang w:val="es-419" w:eastAsia="es-419"/>
              </w:rPr>
              <w:t>70 072</w:t>
            </w:r>
          </w:p>
        </w:tc>
        <w:tc>
          <w:tcPr>
            <w:tcW w:w="950" w:type="dxa"/>
            <w:tcBorders>
              <w:top w:val="nil"/>
              <w:left w:val="nil"/>
              <w:bottom w:val="single" w:sz="4" w:space="0" w:color="auto"/>
              <w:right w:val="single" w:sz="4" w:space="0" w:color="auto"/>
            </w:tcBorders>
            <w:shd w:val="clear" w:color="auto" w:fill="auto"/>
            <w:noWrap/>
            <w:hideMark/>
          </w:tcPr>
          <w:p w14:paraId="48C31F00" w14:textId="77777777" w:rsidR="006F0BB0" w:rsidRPr="006F0BB0" w:rsidRDefault="006F0BB0" w:rsidP="007D1DBA">
            <w:pPr>
              <w:jc w:val="right"/>
              <w:rPr>
                <w:sz w:val="18"/>
                <w:szCs w:val="18"/>
                <w:lang w:val="es-419" w:eastAsia="es-419"/>
              </w:rPr>
            </w:pPr>
            <w:r w:rsidRPr="006F0BB0">
              <w:rPr>
                <w:sz w:val="18"/>
                <w:szCs w:val="18"/>
                <w:lang w:val="es-419" w:eastAsia="es-419"/>
              </w:rPr>
              <w:t>71 473</w:t>
            </w:r>
          </w:p>
        </w:tc>
        <w:tc>
          <w:tcPr>
            <w:tcW w:w="950" w:type="dxa"/>
            <w:tcBorders>
              <w:top w:val="nil"/>
              <w:left w:val="nil"/>
              <w:bottom w:val="single" w:sz="4" w:space="0" w:color="auto"/>
              <w:right w:val="single" w:sz="4" w:space="0" w:color="auto"/>
            </w:tcBorders>
            <w:shd w:val="clear" w:color="auto" w:fill="auto"/>
            <w:noWrap/>
            <w:hideMark/>
          </w:tcPr>
          <w:p w14:paraId="00891593" w14:textId="77777777" w:rsidR="006F0BB0" w:rsidRPr="006F0BB0" w:rsidRDefault="006F0BB0" w:rsidP="007D1DBA">
            <w:pPr>
              <w:jc w:val="right"/>
              <w:rPr>
                <w:sz w:val="18"/>
                <w:szCs w:val="18"/>
                <w:lang w:val="es-419" w:eastAsia="es-419"/>
              </w:rPr>
            </w:pPr>
            <w:r w:rsidRPr="006F0BB0">
              <w:rPr>
                <w:sz w:val="18"/>
                <w:szCs w:val="18"/>
                <w:lang w:val="es-419" w:eastAsia="es-419"/>
              </w:rPr>
              <w:t>72 903</w:t>
            </w:r>
          </w:p>
        </w:tc>
        <w:tc>
          <w:tcPr>
            <w:tcW w:w="978" w:type="dxa"/>
            <w:tcBorders>
              <w:top w:val="nil"/>
              <w:left w:val="nil"/>
              <w:bottom w:val="single" w:sz="4" w:space="0" w:color="auto"/>
              <w:right w:val="single" w:sz="4" w:space="0" w:color="auto"/>
            </w:tcBorders>
            <w:shd w:val="clear" w:color="auto" w:fill="auto"/>
            <w:noWrap/>
            <w:hideMark/>
          </w:tcPr>
          <w:p w14:paraId="260D6253" w14:textId="77777777" w:rsidR="006F0BB0" w:rsidRPr="006F0BB0" w:rsidRDefault="006F0BB0" w:rsidP="007D1DBA">
            <w:pPr>
              <w:jc w:val="right"/>
              <w:rPr>
                <w:sz w:val="18"/>
                <w:szCs w:val="18"/>
                <w:lang w:val="es-419" w:eastAsia="es-419"/>
              </w:rPr>
            </w:pPr>
            <w:r w:rsidRPr="006F0BB0">
              <w:rPr>
                <w:sz w:val="18"/>
                <w:szCs w:val="18"/>
                <w:lang w:val="es-419" w:eastAsia="es-419"/>
              </w:rPr>
              <w:t>74 361</w:t>
            </w:r>
          </w:p>
        </w:tc>
        <w:tc>
          <w:tcPr>
            <w:tcW w:w="950" w:type="dxa"/>
            <w:tcBorders>
              <w:top w:val="nil"/>
              <w:left w:val="nil"/>
              <w:bottom w:val="single" w:sz="4" w:space="0" w:color="auto"/>
              <w:right w:val="single" w:sz="4" w:space="0" w:color="auto"/>
            </w:tcBorders>
            <w:shd w:val="clear" w:color="auto" w:fill="auto"/>
            <w:noWrap/>
            <w:hideMark/>
          </w:tcPr>
          <w:p w14:paraId="6A81CD49" w14:textId="77777777" w:rsidR="006F0BB0" w:rsidRPr="006F0BB0" w:rsidRDefault="006F0BB0" w:rsidP="007D1DBA">
            <w:pPr>
              <w:jc w:val="right"/>
              <w:rPr>
                <w:sz w:val="18"/>
                <w:szCs w:val="18"/>
                <w:lang w:val="es-419" w:eastAsia="es-419"/>
              </w:rPr>
            </w:pPr>
            <w:r w:rsidRPr="006F0BB0">
              <w:rPr>
                <w:sz w:val="18"/>
                <w:szCs w:val="18"/>
                <w:lang w:val="es-419" w:eastAsia="es-419"/>
              </w:rPr>
              <w:t>81 797</w:t>
            </w:r>
          </w:p>
        </w:tc>
        <w:tc>
          <w:tcPr>
            <w:tcW w:w="950" w:type="dxa"/>
            <w:tcBorders>
              <w:top w:val="nil"/>
              <w:left w:val="nil"/>
              <w:bottom w:val="single" w:sz="4" w:space="0" w:color="auto"/>
              <w:right w:val="single" w:sz="4" w:space="0" w:color="auto"/>
            </w:tcBorders>
            <w:shd w:val="clear" w:color="auto" w:fill="auto"/>
            <w:noWrap/>
            <w:hideMark/>
          </w:tcPr>
          <w:p w14:paraId="10AD6BA3" w14:textId="77777777" w:rsidR="006F0BB0" w:rsidRPr="006F0BB0" w:rsidRDefault="006F0BB0" w:rsidP="007D1DBA">
            <w:pPr>
              <w:jc w:val="right"/>
              <w:rPr>
                <w:sz w:val="18"/>
                <w:szCs w:val="18"/>
                <w:lang w:val="es-419" w:eastAsia="es-419"/>
              </w:rPr>
            </w:pPr>
            <w:r w:rsidRPr="006F0BB0">
              <w:rPr>
                <w:sz w:val="18"/>
                <w:szCs w:val="18"/>
                <w:lang w:val="es-419" w:eastAsia="es-419"/>
              </w:rPr>
              <w:t>89 977</w:t>
            </w:r>
          </w:p>
        </w:tc>
        <w:tc>
          <w:tcPr>
            <w:tcW w:w="1076" w:type="dxa"/>
            <w:tcBorders>
              <w:top w:val="nil"/>
              <w:left w:val="nil"/>
              <w:bottom w:val="single" w:sz="4" w:space="0" w:color="auto"/>
              <w:right w:val="single" w:sz="4" w:space="0" w:color="auto"/>
            </w:tcBorders>
            <w:shd w:val="clear" w:color="auto" w:fill="auto"/>
            <w:noWrap/>
            <w:hideMark/>
          </w:tcPr>
          <w:p w14:paraId="6806FC9E" w14:textId="77777777" w:rsidR="006F0BB0" w:rsidRPr="006F0BB0" w:rsidRDefault="006F0BB0" w:rsidP="007D1DBA">
            <w:pPr>
              <w:jc w:val="right"/>
              <w:rPr>
                <w:sz w:val="18"/>
                <w:szCs w:val="18"/>
                <w:lang w:val="es-419" w:eastAsia="es-419"/>
              </w:rPr>
            </w:pPr>
            <w:r w:rsidRPr="006F0BB0">
              <w:rPr>
                <w:sz w:val="18"/>
                <w:szCs w:val="18"/>
                <w:lang w:val="es-419" w:eastAsia="es-419"/>
              </w:rPr>
              <w:t>72 912</w:t>
            </w:r>
          </w:p>
        </w:tc>
        <w:tc>
          <w:tcPr>
            <w:tcW w:w="1034" w:type="dxa"/>
            <w:tcBorders>
              <w:top w:val="nil"/>
              <w:left w:val="nil"/>
              <w:bottom w:val="single" w:sz="4" w:space="0" w:color="auto"/>
              <w:right w:val="single" w:sz="4" w:space="0" w:color="auto"/>
            </w:tcBorders>
            <w:shd w:val="clear" w:color="auto" w:fill="auto"/>
            <w:noWrap/>
            <w:hideMark/>
          </w:tcPr>
          <w:p w14:paraId="6F162046" w14:textId="77777777" w:rsidR="006F0BB0" w:rsidRPr="006F0BB0" w:rsidRDefault="006F0BB0" w:rsidP="007D1DBA">
            <w:pPr>
              <w:jc w:val="right"/>
              <w:rPr>
                <w:sz w:val="18"/>
                <w:szCs w:val="18"/>
                <w:lang w:val="es-419" w:eastAsia="es-419"/>
              </w:rPr>
            </w:pPr>
            <w:r w:rsidRPr="006F0BB0">
              <w:rPr>
                <w:sz w:val="18"/>
                <w:szCs w:val="18"/>
                <w:lang w:val="es-419" w:eastAsia="es-419"/>
              </w:rPr>
              <w:t>393 162</w:t>
            </w:r>
          </w:p>
        </w:tc>
        <w:tc>
          <w:tcPr>
            <w:tcW w:w="1181" w:type="dxa"/>
            <w:tcBorders>
              <w:top w:val="nil"/>
              <w:left w:val="nil"/>
              <w:bottom w:val="single" w:sz="4" w:space="0" w:color="auto"/>
              <w:right w:val="single" w:sz="4" w:space="0" w:color="auto"/>
            </w:tcBorders>
            <w:shd w:val="clear" w:color="auto" w:fill="auto"/>
            <w:noWrap/>
            <w:hideMark/>
          </w:tcPr>
          <w:p w14:paraId="3EE10654" w14:textId="77777777" w:rsidR="006F0BB0" w:rsidRPr="006F0BB0" w:rsidRDefault="006F0BB0" w:rsidP="007D1DBA">
            <w:pPr>
              <w:jc w:val="right"/>
              <w:rPr>
                <w:sz w:val="18"/>
                <w:szCs w:val="18"/>
                <w:lang w:val="es-419" w:eastAsia="es-419"/>
              </w:rPr>
            </w:pPr>
            <w:r w:rsidRPr="006F0BB0">
              <w:rPr>
                <w:sz w:val="18"/>
                <w:szCs w:val="18"/>
                <w:lang w:val="es-419" w:eastAsia="es-419"/>
              </w:rPr>
              <w:t>22,9%</w:t>
            </w:r>
          </w:p>
        </w:tc>
      </w:tr>
      <w:tr w:rsidR="006F0BB0" w:rsidRPr="006F0BB0" w14:paraId="2E6D0FB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C8C713" w14:textId="77777777" w:rsidR="006F0BB0" w:rsidRPr="006F0BB0" w:rsidRDefault="006F0BB0" w:rsidP="007D1DBA">
            <w:pPr>
              <w:jc w:val="left"/>
              <w:rPr>
                <w:sz w:val="18"/>
                <w:szCs w:val="18"/>
                <w:lang w:val="es-419" w:eastAsia="es-419"/>
              </w:rPr>
            </w:pPr>
            <w:r w:rsidRPr="006F0BB0">
              <w:rPr>
                <w:sz w:val="18"/>
                <w:szCs w:val="18"/>
                <w:lang w:val="es-419" w:eastAsia="es-419"/>
              </w:rPr>
              <w:t>Camerún</w:t>
            </w:r>
          </w:p>
        </w:tc>
        <w:tc>
          <w:tcPr>
            <w:tcW w:w="950" w:type="dxa"/>
            <w:tcBorders>
              <w:top w:val="nil"/>
              <w:left w:val="nil"/>
              <w:bottom w:val="single" w:sz="4" w:space="0" w:color="auto"/>
              <w:right w:val="single" w:sz="4" w:space="0" w:color="auto"/>
            </w:tcBorders>
            <w:shd w:val="clear" w:color="auto" w:fill="auto"/>
            <w:noWrap/>
            <w:hideMark/>
          </w:tcPr>
          <w:p w14:paraId="7289F0B3" w14:textId="77777777" w:rsidR="006F0BB0" w:rsidRPr="006F0BB0" w:rsidRDefault="006F0BB0" w:rsidP="007D1DBA">
            <w:pPr>
              <w:jc w:val="right"/>
              <w:rPr>
                <w:sz w:val="18"/>
                <w:szCs w:val="18"/>
                <w:lang w:val="es-419" w:eastAsia="es-419"/>
              </w:rPr>
            </w:pPr>
            <w:r w:rsidRPr="006F0BB0">
              <w:rPr>
                <w:sz w:val="18"/>
                <w:szCs w:val="18"/>
                <w:lang w:val="es-419" w:eastAsia="es-419"/>
              </w:rPr>
              <w:t>344 326</w:t>
            </w:r>
          </w:p>
        </w:tc>
        <w:tc>
          <w:tcPr>
            <w:tcW w:w="950" w:type="dxa"/>
            <w:tcBorders>
              <w:top w:val="nil"/>
              <w:left w:val="nil"/>
              <w:bottom w:val="single" w:sz="4" w:space="0" w:color="auto"/>
              <w:right w:val="single" w:sz="4" w:space="0" w:color="auto"/>
            </w:tcBorders>
            <w:shd w:val="clear" w:color="auto" w:fill="auto"/>
            <w:noWrap/>
            <w:hideMark/>
          </w:tcPr>
          <w:p w14:paraId="30E40A33" w14:textId="77777777" w:rsidR="006F0BB0" w:rsidRPr="006F0BB0" w:rsidRDefault="006F0BB0" w:rsidP="007D1DBA">
            <w:pPr>
              <w:jc w:val="right"/>
              <w:rPr>
                <w:sz w:val="18"/>
                <w:szCs w:val="18"/>
                <w:lang w:val="es-419" w:eastAsia="es-419"/>
              </w:rPr>
            </w:pPr>
            <w:r w:rsidRPr="006F0BB0">
              <w:rPr>
                <w:sz w:val="18"/>
                <w:szCs w:val="18"/>
                <w:lang w:val="es-419" w:eastAsia="es-419"/>
              </w:rPr>
              <w:t>351 213</w:t>
            </w:r>
          </w:p>
        </w:tc>
        <w:tc>
          <w:tcPr>
            <w:tcW w:w="950" w:type="dxa"/>
            <w:tcBorders>
              <w:top w:val="nil"/>
              <w:left w:val="nil"/>
              <w:bottom w:val="single" w:sz="4" w:space="0" w:color="auto"/>
              <w:right w:val="single" w:sz="4" w:space="0" w:color="auto"/>
            </w:tcBorders>
            <w:shd w:val="clear" w:color="auto" w:fill="auto"/>
            <w:noWrap/>
            <w:hideMark/>
          </w:tcPr>
          <w:p w14:paraId="37681414" w14:textId="77777777" w:rsidR="006F0BB0" w:rsidRPr="006F0BB0" w:rsidRDefault="006F0BB0" w:rsidP="007D1DBA">
            <w:pPr>
              <w:jc w:val="right"/>
              <w:rPr>
                <w:sz w:val="18"/>
                <w:szCs w:val="18"/>
                <w:lang w:val="es-419" w:eastAsia="es-419"/>
              </w:rPr>
            </w:pPr>
            <w:r w:rsidRPr="006F0BB0">
              <w:rPr>
                <w:sz w:val="18"/>
                <w:szCs w:val="18"/>
                <w:lang w:val="es-419" w:eastAsia="es-419"/>
              </w:rPr>
              <w:t>358 237</w:t>
            </w:r>
          </w:p>
        </w:tc>
        <w:tc>
          <w:tcPr>
            <w:tcW w:w="978" w:type="dxa"/>
            <w:tcBorders>
              <w:top w:val="nil"/>
              <w:left w:val="nil"/>
              <w:bottom w:val="single" w:sz="4" w:space="0" w:color="auto"/>
              <w:right w:val="single" w:sz="4" w:space="0" w:color="auto"/>
            </w:tcBorders>
            <w:shd w:val="clear" w:color="auto" w:fill="auto"/>
            <w:noWrap/>
            <w:hideMark/>
          </w:tcPr>
          <w:p w14:paraId="2ED71D08" w14:textId="77777777" w:rsidR="006F0BB0" w:rsidRPr="006F0BB0" w:rsidRDefault="006F0BB0" w:rsidP="007D1DBA">
            <w:pPr>
              <w:jc w:val="right"/>
              <w:rPr>
                <w:sz w:val="18"/>
                <w:szCs w:val="18"/>
                <w:lang w:val="es-419" w:eastAsia="es-419"/>
              </w:rPr>
            </w:pPr>
            <w:r w:rsidRPr="006F0BB0">
              <w:rPr>
                <w:sz w:val="18"/>
                <w:szCs w:val="18"/>
                <w:lang w:val="es-419" w:eastAsia="es-419"/>
              </w:rPr>
              <w:t>365 402</w:t>
            </w:r>
          </w:p>
        </w:tc>
        <w:tc>
          <w:tcPr>
            <w:tcW w:w="950" w:type="dxa"/>
            <w:tcBorders>
              <w:top w:val="nil"/>
              <w:left w:val="nil"/>
              <w:bottom w:val="single" w:sz="4" w:space="0" w:color="auto"/>
              <w:right w:val="single" w:sz="4" w:space="0" w:color="auto"/>
            </w:tcBorders>
            <w:shd w:val="clear" w:color="auto" w:fill="auto"/>
            <w:noWrap/>
            <w:hideMark/>
          </w:tcPr>
          <w:p w14:paraId="0D81869D" w14:textId="77777777" w:rsidR="006F0BB0" w:rsidRPr="006F0BB0" w:rsidRDefault="006F0BB0" w:rsidP="007D1DBA">
            <w:pPr>
              <w:jc w:val="right"/>
              <w:rPr>
                <w:sz w:val="18"/>
                <w:szCs w:val="18"/>
                <w:lang w:val="es-419" w:eastAsia="es-419"/>
              </w:rPr>
            </w:pPr>
            <w:r w:rsidRPr="006F0BB0">
              <w:rPr>
                <w:sz w:val="18"/>
                <w:szCs w:val="18"/>
                <w:lang w:val="es-419" w:eastAsia="es-419"/>
              </w:rPr>
              <w:t>401 942</w:t>
            </w:r>
          </w:p>
        </w:tc>
        <w:tc>
          <w:tcPr>
            <w:tcW w:w="950" w:type="dxa"/>
            <w:tcBorders>
              <w:top w:val="nil"/>
              <w:left w:val="nil"/>
              <w:bottom w:val="single" w:sz="4" w:space="0" w:color="auto"/>
              <w:right w:val="single" w:sz="4" w:space="0" w:color="auto"/>
            </w:tcBorders>
            <w:shd w:val="clear" w:color="auto" w:fill="auto"/>
            <w:noWrap/>
            <w:hideMark/>
          </w:tcPr>
          <w:p w14:paraId="3D15EC2F" w14:textId="77777777" w:rsidR="006F0BB0" w:rsidRPr="006F0BB0" w:rsidRDefault="006F0BB0" w:rsidP="007D1DBA">
            <w:pPr>
              <w:jc w:val="right"/>
              <w:rPr>
                <w:sz w:val="18"/>
                <w:szCs w:val="18"/>
                <w:lang w:val="es-419" w:eastAsia="es-419"/>
              </w:rPr>
            </w:pPr>
            <w:r w:rsidRPr="006F0BB0">
              <w:rPr>
                <w:sz w:val="18"/>
                <w:szCs w:val="18"/>
                <w:lang w:val="es-419" w:eastAsia="es-419"/>
              </w:rPr>
              <w:t>442 136</w:t>
            </w:r>
          </w:p>
        </w:tc>
        <w:tc>
          <w:tcPr>
            <w:tcW w:w="1076" w:type="dxa"/>
            <w:tcBorders>
              <w:top w:val="nil"/>
              <w:left w:val="nil"/>
              <w:bottom w:val="single" w:sz="4" w:space="0" w:color="auto"/>
              <w:right w:val="single" w:sz="4" w:space="0" w:color="auto"/>
            </w:tcBorders>
            <w:shd w:val="clear" w:color="auto" w:fill="auto"/>
            <w:noWrap/>
            <w:hideMark/>
          </w:tcPr>
          <w:p w14:paraId="0D1294EE" w14:textId="77777777" w:rsidR="006F0BB0" w:rsidRPr="006F0BB0" w:rsidRDefault="006F0BB0" w:rsidP="007D1DBA">
            <w:pPr>
              <w:jc w:val="right"/>
              <w:rPr>
                <w:sz w:val="18"/>
                <w:szCs w:val="18"/>
                <w:lang w:val="es-419" w:eastAsia="es-419"/>
              </w:rPr>
            </w:pPr>
            <w:r w:rsidRPr="006F0BB0">
              <w:rPr>
                <w:sz w:val="18"/>
                <w:szCs w:val="18"/>
                <w:lang w:val="es-419" w:eastAsia="es-419"/>
              </w:rPr>
              <w:t>358 284</w:t>
            </w:r>
          </w:p>
        </w:tc>
        <w:tc>
          <w:tcPr>
            <w:tcW w:w="1034" w:type="dxa"/>
            <w:tcBorders>
              <w:top w:val="nil"/>
              <w:left w:val="nil"/>
              <w:bottom w:val="single" w:sz="4" w:space="0" w:color="auto"/>
              <w:right w:val="single" w:sz="4" w:space="0" w:color="auto"/>
            </w:tcBorders>
            <w:shd w:val="clear" w:color="auto" w:fill="auto"/>
            <w:noWrap/>
            <w:hideMark/>
          </w:tcPr>
          <w:p w14:paraId="1CE81760" w14:textId="77777777" w:rsidR="006F0BB0" w:rsidRPr="006F0BB0" w:rsidRDefault="006F0BB0" w:rsidP="007D1DBA">
            <w:pPr>
              <w:jc w:val="right"/>
              <w:rPr>
                <w:sz w:val="18"/>
                <w:szCs w:val="18"/>
                <w:lang w:val="es-419" w:eastAsia="es-419"/>
              </w:rPr>
            </w:pPr>
            <w:r w:rsidRPr="006F0BB0">
              <w:rPr>
                <w:sz w:val="18"/>
                <w:szCs w:val="18"/>
                <w:lang w:val="es-419" w:eastAsia="es-419"/>
              </w:rPr>
              <w:t>1 880 793</w:t>
            </w:r>
          </w:p>
        </w:tc>
        <w:tc>
          <w:tcPr>
            <w:tcW w:w="1181" w:type="dxa"/>
            <w:tcBorders>
              <w:top w:val="nil"/>
              <w:left w:val="nil"/>
              <w:bottom w:val="single" w:sz="4" w:space="0" w:color="auto"/>
              <w:right w:val="single" w:sz="4" w:space="0" w:color="auto"/>
            </w:tcBorders>
            <w:shd w:val="clear" w:color="auto" w:fill="auto"/>
            <w:noWrap/>
            <w:hideMark/>
          </w:tcPr>
          <w:p w14:paraId="0ED57819" w14:textId="77777777" w:rsidR="006F0BB0" w:rsidRPr="006F0BB0" w:rsidRDefault="006F0BB0" w:rsidP="007D1DBA">
            <w:pPr>
              <w:jc w:val="right"/>
              <w:rPr>
                <w:sz w:val="18"/>
                <w:szCs w:val="18"/>
                <w:lang w:val="es-419" w:eastAsia="es-419"/>
              </w:rPr>
            </w:pPr>
            <w:r w:rsidRPr="006F0BB0">
              <w:rPr>
                <w:sz w:val="18"/>
                <w:szCs w:val="18"/>
                <w:lang w:val="es-419" w:eastAsia="es-419"/>
              </w:rPr>
              <w:t>23,5%</w:t>
            </w:r>
          </w:p>
        </w:tc>
      </w:tr>
      <w:tr w:rsidR="006F0BB0" w:rsidRPr="006F0BB0" w14:paraId="62C4E0A5"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0138B3" w14:textId="77777777" w:rsidR="006F0BB0" w:rsidRPr="006F0BB0" w:rsidRDefault="006F0BB0" w:rsidP="007D1DBA">
            <w:pPr>
              <w:jc w:val="left"/>
              <w:rPr>
                <w:sz w:val="18"/>
                <w:szCs w:val="18"/>
                <w:lang w:val="es-419" w:eastAsia="es-419"/>
              </w:rPr>
            </w:pPr>
            <w:r w:rsidRPr="006F0BB0">
              <w:rPr>
                <w:sz w:val="18"/>
                <w:szCs w:val="18"/>
                <w:lang w:val="es-419" w:eastAsia="es-419"/>
              </w:rPr>
              <w:t>Guinea Ecuatorial</w:t>
            </w:r>
          </w:p>
        </w:tc>
        <w:tc>
          <w:tcPr>
            <w:tcW w:w="950" w:type="dxa"/>
            <w:tcBorders>
              <w:top w:val="nil"/>
              <w:left w:val="nil"/>
              <w:bottom w:val="single" w:sz="4" w:space="0" w:color="auto"/>
              <w:right w:val="single" w:sz="4" w:space="0" w:color="auto"/>
            </w:tcBorders>
            <w:shd w:val="clear" w:color="auto" w:fill="auto"/>
            <w:noWrap/>
            <w:hideMark/>
          </w:tcPr>
          <w:p w14:paraId="2EE8F49C" w14:textId="77777777" w:rsidR="006F0BB0" w:rsidRPr="006F0BB0" w:rsidRDefault="006F0BB0" w:rsidP="007D1DBA">
            <w:pPr>
              <w:jc w:val="right"/>
              <w:rPr>
                <w:sz w:val="18"/>
                <w:szCs w:val="18"/>
                <w:lang w:val="es-419" w:eastAsia="es-419"/>
              </w:rPr>
            </w:pPr>
            <w:r w:rsidRPr="006F0BB0">
              <w:rPr>
                <w:sz w:val="18"/>
                <w:szCs w:val="18"/>
                <w:lang w:val="es-419" w:eastAsia="es-419"/>
              </w:rPr>
              <w:t>39 686</w:t>
            </w:r>
          </w:p>
        </w:tc>
        <w:tc>
          <w:tcPr>
            <w:tcW w:w="950" w:type="dxa"/>
            <w:tcBorders>
              <w:top w:val="nil"/>
              <w:left w:val="nil"/>
              <w:bottom w:val="single" w:sz="4" w:space="0" w:color="auto"/>
              <w:right w:val="single" w:sz="4" w:space="0" w:color="auto"/>
            </w:tcBorders>
            <w:shd w:val="clear" w:color="auto" w:fill="auto"/>
            <w:noWrap/>
            <w:hideMark/>
          </w:tcPr>
          <w:p w14:paraId="39FCC662" w14:textId="77777777" w:rsidR="006F0BB0" w:rsidRPr="006F0BB0" w:rsidRDefault="006F0BB0" w:rsidP="007D1DBA">
            <w:pPr>
              <w:jc w:val="right"/>
              <w:rPr>
                <w:sz w:val="18"/>
                <w:szCs w:val="18"/>
                <w:lang w:val="es-419" w:eastAsia="es-419"/>
              </w:rPr>
            </w:pPr>
            <w:r w:rsidRPr="006F0BB0">
              <w:rPr>
                <w:sz w:val="18"/>
                <w:szCs w:val="18"/>
                <w:lang w:val="es-419" w:eastAsia="es-419"/>
              </w:rPr>
              <w:t>40 480</w:t>
            </w:r>
          </w:p>
        </w:tc>
        <w:tc>
          <w:tcPr>
            <w:tcW w:w="950" w:type="dxa"/>
            <w:tcBorders>
              <w:top w:val="nil"/>
              <w:left w:val="nil"/>
              <w:bottom w:val="single" w:sz="4" w:space="0" w:color="auto"/>
              <w:right w:val="single" w:sz="4" w:space="0" w:color="auto"/>
            </w:tcBorders>
            <w:shd w:val="clear" w:color="auto" w:fill="auto"/>
            <w:noWrap/>
            <w:hideMark/>
          </w:tcPr>
          <w:p w14:paraId="315382E8" w14:textId="77777777" w:rsidR="006F0BB0" w:rsidRPr="006F0BB0" w:rsidRDefault="006F0BB0" w:rsidP="007D1DBA">
            <w:pPr>
              <w:jc w:val="right"/>
              <w:rPr>
                <w:sz w:val="18"/>
                <w:szCs w:val="18"/>
                <w:lang w:val="es-419" w:eastAsia="es-419"/>
              </w:rPr>
            </w:pPr>
            <w:r w:rsidRPr="006F0BB0">
              <w:rPr>
                <w:sz w:val="18"/>
                <w:szCs w:val="18"/>
                <w:lang w:val="es-419" w:eastAsia="es-419"/>
              </w:rPr>
              <w:t>41 289</w:t>
            </w:r>
          </w:p>
        </w:tc>
        <w:tc>
          <w:tcPr>
            <w:tcW w:w="978" w:type="dxa"/>
            <w:tcBorders>
              <w:top w:val="nil"/>
              <w:left w:val="nil"/>
              <w:bottom w:val="single" w:sz="4" w:space="0" w:color="auto"/>
              <w:right w:val="single" w:sz="4" w:space="0" w:color="auto"/>
            </w:tcBorders>
            <w:shd w:val="clear" w:color="auto" w:fill="auto"/>
            <w:noWrap/>
            <w:hideMark/>
          </w:tcPr>
          <w:p w14:paraId="6BD1C7EF" w14:textId="77777777" w:rsidR="006F0BB0" w:rsidRPr="006F0BB0" w:rsidRDefault="006F0BB0" w:rsidP="007D1DBA">
            <w:pPr>
              <w:jc w:val="right"/>
              <w:rPr>
                <w:sz w:val="18"/>
                <w:szCs w:val="18"/>
                <w:lang w:val="es-419" w:eastAsia="es-419"/>
              </w:rPr>
            </w:pPr>
            <w:r w:rsidRPr="006F0BB0">
              <w:rPr>
                <w:sz w:val="18"/>
                <w:szCs w:val="18"/>
                <w:lang w:val="es-419" w:eastAsia="es-419"/>
              </w:rPr>
              <w:t>42 115</w:t>
            </w:r>
          </w:p>
        </w:tc>
        <w:tc>
          <w:tcPr>
            <w:tcW w:w="950" w:type="dxa"/>
            <w:tcBorders>
              <w:top w:val="nil"/>
              <w:left w:val="nil"/>
              <w:bottom w:val="single" w:sz="4" w:space="0" w:color="auto"/>
              <w:right w:val="single" w:sz="4" w:space="0" w:color="auto"/>
            </w:tcBorders>
            <w:shd w:val="clear" w:color="auto" w:fill="auto"/>
            <w:noWrap/>
            <w:hideMark/>
          </w:tcPr>
          <w:p w14:paraId="69F00ADE" w14:textId="77777777" w:rsidR="006F0BB0" w:rsidRPr="006F0BB0" w:rsidRDefault="006F0BB0" w:rsidP="007D1DBA">
            <w:pPr>
              <w:jc w:val="right"/>
              <w:rPr>
                <w:sz w:val="18"/>
                <w:szCs w:val="18"/>
                <w:lang w:val="es-419" w:eastAsia="es-419"/>
              </w:rPr>
            </w:pPr>
            <w:r w:rsidRPr="006F0BB0">
              <w:rPr>
                <w:sz w:val="18"/>
                <w:szCs w:val="18"/>
                <w:lang w:val="es-419" w:eastAsia="es-419"/>
              </w:rPr>
              <w:t>46 327</w:t>
            </w:r>
          </w:p>
        </w:tc>
        <w:tc>
          <w:tcPr>
            <w:tcW w:w="950" w:type="dxa"/>
            <w:tcBorders>
              <w:top w:val="nil"/>
              <w:left w:val="nil"/>
              <w:bottom w:val="single" w:sz="4" w:space="0" w:color="auto"/>
              <w:right w:val="single" w:sz="4" w:space="0" w:color="auto"/>
            </w:tcBorders>
            <w:shd w:val="clear" w:color="auto" w:fill="auto"/>
            <w:noWrap/>
            <w:hideMark/>
          </w:tcPr>
          <w:p w14:paraId="38DDC7FB" w14:textId="77777777" w:rsidR="006F0BB0" w:rsidRPr="006F0BB0" w:rsidRDefault="006F0BB0" w:rsidP="007D1DBA">
            <w:pPr>
              <w:jc w:val="right"/>
              <w:rPr>
                <w:sz w:val="18"/>
                <w:szCs w:val="18"/>
                <w:lang w:val="es-419" w:eastAsia="es-419"/>
              </w:rPr>
            </w:pPr>
            <w:r w:rsidRPr="006F0BB0">
              <w:rPr>
                <w:sz w:val="18"/>
                <w:szCs w:val="18"/>
                <w:lang w:val="es-419" w:eastAsia="es-419"/>
              </w:rPr>
              <w:t>50 959</w:t>
            </w:r>
          </w:p>
        </w:tc>
        <w:tc>
          <w:tcPr>
            <w:tcW w:w="1076" w:type="dxa"/>
            <w:tcBorders>
              <w:top w:val="nil"/>
              <w:left w:val="nil"/>
              <w:bottom w:val="single" w:sz="4" w:space="0" w:color="auto"/>
              <w:right w:val="single" w:sz="4" w:space="0" w:color="auto"/>
            </w:tcBorders>
            <w:shd w:val="clear" w:color="auto" w:fill="auto"/>
            <w:noWrap/>
            <w:hideMark/>
          </w:tcPr>
          <w:p w14:paraId="2F4DC027" w14:textId="77777777" w:rsidR="006F0BB0" w:rsidRPr="006F0BB0" w:rsidRDefault="006F0BB0" w:rsidP="007D1DBA">
            <w:pPr>
              <w:jc w:val="right"/>
              <w:rPr>
                <w:sz w:val="18"/>
                <w:szCs w:val="18"/>
                <w:lang w:val="es-419" w:eastAsia="es-419"/>
              </w:rPr>
            </w:pPr>
            <w:r w:rsidRPr="006F0BB0">
              <w:rPr>
                <w:sz w:val="18"/>
                <w:szCs w:val="18"/>
                <w:lang w:val="es-419" w:eastAsia="es-419"/>
              </w:rPr>
              <w:t>41 295</w:t>
            </w:r>
          </w:p>
        </w:tc>
        <w:tc>
          <w:tcPr>
            <w:tcW w:w="1034" w:type="dxa"/>
            <w:tcBorders>
              <w:top w:val="nil"/>
              <w:left w:val="nil"/>
              <w:bottom w:val="single" w:sz="4" w:space="0" w:color="auto"/>
              <w:right w:val="single" w:sz="4" w:space="0" w:color="auto"/>
            </w:tcBorders>
            <w:shd w:val="clear" w:color="auto" w:fill="auto"/>
            <w:noWrap/>
            <w:hideMark/>
          </w:tcPr>
          <w:p w14:paraId="54D15515" w14:textId="77777777" w:rsidR="006F0BB0" w:rsidRPr="006F0BB0" w:rsidRDefault="006F0BB0" w:rsidP="007D1DBA">
            <w:pPr>
              <w:jc w:val="right"/>
              <w:rPr>
                <w:sz w:val="18"/>
                <w:szCs w:val="18"/>
                <w:lang w:val="es-419" w:eastAsia="es-419"/>
              </w:rPr>
            </w:pPr>
            <w:r w:rsidRPr="006F0BB0">
              <w:rPr>
                <w:sz w:val="18"/>
                <w:szCs w:val="18"/>
                <w:lang w:val="es-419" w:eastAsia="es-419"/>
              </w:rPr>
              <w:t>175 833</w:t>
            </w:r>
          </w:p>
        </w:tc>
        <w:tc>
          <w:tcPr>
            <w:tcW w:w="1181" w:type="dxa"/>
            <w:tcBorders>
              <w:top w:val="nil"/>
              <w:left w:val="nil"/>
              <w:bottom w:val="single" w:sz="4" w:space="0" w:color="auto"/>
              <w:right w:val="single" w:sz="4" w:space="0" w:color="auto"/>
            </w:tcBorders>
            <w:shd w:val="clear" w:color="auto" w:fill="auto"/>
            <w:noWrap/>
            <w:hideMark/>
          </w:tcPr>
          <w:p w14:paraId="7DB9FA51" w14:textId="77777777" w:rsidR="006F0BB0" w:rsidRPr="006F0BB0" w:rsidRDefault="006F0BB0" w:rsidP="007D1DBA">
            <w:pPr>
              <w:jc w:val="right"/>
              <w:rPr>
                <w:sz w:val="18"/>
                <w:szCs w:val="18"/>
                <w:lang w:val="es-419" w:eastAsia="es-419"/>
              </w:rPr>
            </w:pPr>
            <w:r w:rsidRPr="006F0BB0">
              <w:rPr>
                <w:sz w:val="18"/>
                <w:szCs w:val="18"/>
                <w:lang w:val="es-419" w:eastAsia="es-419"/>
              </w:rPr>
              <w:t>29,0%</w:t>
            </w:r>
          </w:p>
        </w:tc>
      </w:tr>
      <w:tr w:rsidR="006F0BB0" w:rsidRPr="006F0BB0" w14:paraId="1CEDEEF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EB1772" w14:textId="77777777" w:rsidR="006F0BB0" w:rsidRPr="006F0BB0" w:rsidRDefault="006F0BB0" w:rsidP="007D1DBA">
            <w:pPr>
              <w:jc w:val="left"/>
              <w:rPr>
                <w:sz w:val="18"/>
                <w:szCs w:val="18"/>
                <w:lang w:val="es-419" w:eastAsia="es-419"/>
              </w:rPr>
            </w:pPr>
            <w:r w:rsidRPr="006F0BB0">
              <w:rPr>
                <w:sz w:val="18"/>
                <w:szCs w:val="18"/>
                <w:lang w:val="es-419" w:eastAsia="es-419"/>
              </w:rPr>
              <w:t>Burundi</w:t>
            </w:r>
          </w:p>
        </w:tc>
        <w:tc>
          <w:tcPr>
            <w:tcW w:w="950" w:type="dxa"/>
            <w:tcBorders>
              <w:top w:val="nil"/>
              <w:left w:val="nil"/>
              <w:bottom w:val="single" w:sz="4" w:space="0" w:color="auto"/>
              <w:right w:val="single" w:sz="4" w:space="0" w:color="auto"/>
            </w:tcBorders>
            <w:shd w:val="clear" w:color="auto" w:fill="auto"/>
            <w:noWrap/>
            <w:hideMark/>
          </w:tcPr>
          <w:p w14:paraId="16EF53C6" w14:textId="77777777" w:rsidR="006F0BB0" w:rsidRPr="006F0BB0" w:rsidRDefault="006F0BB0" w:rsidP="007D1DBA">
            <w:pPr>
              <w:jc w:val="right"/>
              <w:rPr>
                <w:sz w:val="18"/>
                <w:szCs w:val="18"/>
                <w:lang w:val="es-419" w:eastAsia="es-419"/>
              </w:rPr>
            </w:pPr>
            <w:r w:rsidRPr="006F0BB0">
              <w:rPr>
                <w:sz w:val="18"/>
                <w:szCs w:val="18"/>
                <w:lang w:val="es-419" w:eastAsia="es-419"/>
              </w:rPr>
              <w:t>46 214</w:t>
            </w:r>
          </w:p>
        </w:tc>
        <w:tc>
          <w:tcPr>
            <w:tcW w:w="950" w:type="dxa"/>
            <w:tcBorders>
              <w:top w:val="nil"/>
              <w:left w:val="nil"/>
              <w:bottom w:val="single" w:sz="4" w:space="0" w:color="auto"/>
              <w:right w:val="single" w:sz="4" w:space="0" w:color="auto"/>
            </w:tcBorders>
            <w:shd w:val="clear" w:color="auto" w:fill="auto"/>
            <w:noWrap/>
            <w:hideMark/>
          </w:tcPr>
          <w:p w14:paraId="766D80DC" w14:textId="77777777" w:rsidR="006F0BB0" w:rsidRPr="006F0BB0" w:rsidRDefault="006F0BB0" w:rsidP="007D1DBA">
            <w:pPr>
              <w:jc w:val="right"/>
              <w:rPr>
                <w:sz w:val="18"/>
                <w:szCs w:val="18"/>
                <w:lang w:val="es-419" w:eastAsia="es-419"/>
              </w:rPr>
            </w:pPr>
            <w:r w:rsidRPr="006F0BB0">
              <w:rPr>
                <w:sz w:val="18"/>
                <w:szCs w:val="18"/>
                <w:lang w:val="es-419" w:eastAsia="es-419"/>
              </w:rPr>
              <w:t>47 138</w:t>
            </w:r>
          </w:p>
        </w:tc>
        <w:tc>
          <w:tcPr>
            <w:tcW w:w="950" w:type="dxa"/>
            <w:tcBorders>
              <w:top w:val="nil"/>
              <w:left w:val="nil"/>
              <w:bottom w:val="single" w:sz="4" w:space="0" w:color="auto"/>
              <w:right w:val="single" w:sz="4" w:space="0" w:color="auto"/>
            </w:tcBorders>
            <w:shd w:val="clear" w:color="auto" w:fill="auto"/>
            <w:noWrap/>
            <w:hideMark/>
          </w:tcPr>
          <w:p w14:paraId="61F55F05" w14:textId="77777777" w:rsidR="006F0BB0" w:rsidRPr="006F0BB0" w:rsidRDefault="006F0BB0" w:rsidP="007D1DBA">
            <w:pPr>
              <w:jc w:val="right"/>
              <w:rPr>
                <w:sz w:val="18"/>
                <w:szCs w:val="18"/>
                <w:lang w:val="es-419" w:eastAsia="es-419"/>
              </w:rPr>
            </w:pPr>
            <w:r w:rsidRPr="006F0BB0">
              <w:rPr>
                <w:sz w:val="18"/>
                <w:szCs w:val="18"/>
                <w:lang w:val="es-419" w:eastAsia="es-419"/>
              </w:rPr>
              <w:t>48 081</w:t>
            </w:r>
          </w:p>
        </w:tc>
        <w:tc>
          <w:tcPr>
            <w:tcW w:w="978" w:type="dxa"/>
            <w:tcBorders>
              <w:top w:val="nil"/>
              <w:left w:val="nil"/>
              <w:bottom w:val="single" w:sz="4" w:space="0" w:color="auto"/>
              <w:right w:val="single" w:sz="4" w:space="0" w:color="auto"/>
            </w:tcBorders>
            <w:shd w:val="clear" w:color="auto" w:fill="auto"/>
            <w:noWrap/>
            <w:hideMark/>
          </w:tcPr>
          <w:p w14:paraId="1D4B40A0" w14:textId="77777777" w:rsidR="006F0BB0" w:rsidRPr="006F0BB0" w:rsidRDefault="006F0BB0" w:rsidP="007D1DBA">
            <w:pPr>
              <w:jc w:val="right"/>
              <w:rPr>
                <w:sz w:val="18"/>
                <w:szCs w:val="18"/>
                <w:lang w:val="es-419" w:eastAsia="es-419"/>
              </w:rPr>
            </w:pPr>
            <w:r w:rsidRPr="006F0BB0">
              <w:rPr>
                <w:sz w:val="18"/>
                <w:szCs w:val="18"/>
                <w:lang w:val="es-419" w:eastAsia="es-419"/>
              </w:rPr>
              <w:t>49 043</w:t>
            </w:r>
          </w:p>
        </w:tc>
        <w:tc>
          <w:tcPr>
            <w:tcW w:w="950" w:type="dxa"/>
            <w:tcBorders>
              <w:top w:val="nil"/>
              <w:left w:val="nil"/>
              <w:bottom w:val="single" w:sz="4" w:space="0" w:color="auto"/>
              <w:right w:val="single" w:sz="4" w:space="0" w:color="auto"/>
            </w:tcBorders>
            <w:shd w:val="clear" w:color="auto" w:fill="auto"/>
            <w:noWrap/>
            <w:hideMark/>
          </w:tcPr>
          <w:p w14:paraId="6AFAECA0" w14:textId="77777777" w:rsidR="006F0BB0" w:rsidRPr="006F0BB0" w:rsidRDefault="006F0BB0" w:rsidP="007D1DBA">
            <w:pPr>
              <w:jc w:val="right"/>
              <w:rPr>
                <w:sz w:val="18"/>
                <w:szCs w:val="18"/>
                <w:lang w:val="es-419" w:eastAsia="es-419"/>
              </w:rPr>
            </w:pPr>
            <w:r w:rsidRPr="006F0BB0">
              <w:rPr>
                <w:sz w:val="18"/>
                <w:szCs w:val="18"/>
                <w:lang w:val="es-419" w:eastAsia="es-419"/>
              </w:rPr>
              <w:t>53 947</w:t>
            </w:r>
          </w:p>
        </w:tc>
        <w:tc>
          <w:tcPr>
            <w:tcW w:w="950" w:type="dxa"/>
            <w:tcBorders>
              <w:top w:val="nil"/>
              <w:left w:val="nil"/>
              <w:bottom w:val="single" w:sz="4" w:space="0" w:color="auto"/>
              <w:right w:val="single" w:sz="4" w:space="0" w:color="auto"/>
            </w:tcBorders>
            <w:shd w:val="clear" w:color="auto" w:fill="auto"/>
            <w:noWrap/>
            <w:hideMark/>
          </w:tcPr>
          <w:p w14:paraId="3754A04D" w14:textId="77777777" w:rsidR="006F0BB0" w:rsidRPr="006F0BB0" w:rsidRDefault="006F0BB0" w:rsidP="007D1DBA">
            <w:pPr>
              <w:jc w:val="right"/>
              <w:rPr>
                <w:sz w:val="18"/>
                <w:szCs w:val="18"/>
                <w:lang w:val="es-419" w:eastAsia="es-419"/>
              </w:rPr>
            </w:pPr>
            <w:r w:rsidRPr="006F0BB0">
              <w:rPr>
                <w:sz w:val="18"/>
                <w:szCs w:val="18"/>
                <w:lang w:val="es-419" w:eastAsia="es-419"/>
              </w:rPr>
              <w:t>59 342</w:t>
            </w:r>
          </w:p>
        </w:tc>
        <w:tc>
          <w:tcPr>
            <w:tcW w:w="1076" w:type="dxa"/>
            <w:tcBorders>
              <w:top w:val="nil"/>
              <w:left w:val="nil"/>
              <w:bottom w:val="single" w:sz="4" w:space="0" w:color="auto"/>
              <w:right w:val="single" w:sz="4" w:space="0" w:color="auto"/>
            </w:tcBorders>
            <w:shd w:val="clear" w:color="auto" w:fill="auto"/>
            <w:noWrap/>
            <w:hideMark/>
          </w:tcPr>
          <w:p w14:paraId="44966C49" w14:textId="77777777" w:rsidR="006F0BB0" w:rsidRPr="006F0BB0" w:rsidRDefault="006F0BB0" w:rsidP="007D1DBA">
            <w:pPr>
              <w:jc w:val="right"/>
              <w:rPr>
                <w:sz w:val="18"/>
                <w:szCs w:val="18"/>
                <w:lang w:val="es-419" w:eastAsia="es-419"/>
              </w:rPr>
            </w:pPr>
            <w:r w:rsidRPr="006F0BB0">
              <w:rPr>
                <w:sz w:val="18"/>
                <w:szCs w:val="18"/>
                <w:lang w:val="es-419" w:eastAsia="es-419"/>
              </w:rPr>
              <w:t>48 087</w:t>
            </w:r>
          </w:p>
        </w:tc>
        <w:tc>
          <w:tcPr>
            <w:tcW w:w="1034" w:type="dxa"/>
            <w:tcBorders>
              <w:top w:val="nil"/>
              <w:left w:val="nil"/>
              <w:bottom w:val="single" w:sz="4" w:space="0" w:color="auto"/>
              <w:right w:val="single" w:sz="4" w:space="0" w:color="auto"/>
            </w:tcBorders>
            <w:shd w:val="clear" w:color="auto" w:fill="auto"/>
            <w:noWrap/>
            <w:hideMark/>
          </w:tcPr>
          <w:p w14:paraId="59C4FCD7" w14:textId="77777777" w:rsidR="006F0BB0" w:rsidRPr="006F0BB0" w:rsidRDefault="006F0BB0" w:rsidP="007D1DBA">
            <w:pPr>
              <w:jc w:val="right"/>
              <w:rPr>
                <w:sz w:val="18"/>
                <w:szCs w:val="18"/>
                <w:lang w:val="es-419" w:eastAsia="es-419"/>
              </w:rPr>
            </w:pPr>
            <w:r w:rsidRPr="006F0BB0">
              <w:rPr>
                <w:sz w:val="18"/>
                <w:szCs w:val="18"/>
                <w:lang w:val="es-419" w:eastAsia="es-419"/>
              </w:rPr>
              <w:t>200 091</w:t>
            </w:r>
          </w:p>
        </w:tc>
        <w:tc>
          <w:tcPr>
            <w:tcW w:w="1181" w:type="dxa"/>
            <w:tcBorders>
              <w:top w:val="nil"/>
              <w:left w:val="nil"/>
              <w:bottom w:val="single" w:sz="4" w:space="0" w:color="auto"/>
              <w:right w:val="single" w:sz="4" w:space="0" w:color="auto"/>
            </w:tcBorders>
            <w:shd w:val="clear" w:color="auto" w:fill="auto"/>
            <w:noWrap/>
            <w:hideMark/>
          </w:tcPr>
          <w:p w14:paraId="7524B984" w14:textId="77777777" w:rsidR="006F0BB0" w:rsidRPr="006F0BB0" w:rsidRDefault="006F0BB0" w:rsidP="007D1DBA">
            <w:pPr>
              <w:jc w:val="right"/>
              <w:rPr>
                <w:sz w:val="18"/>
                <w:szCs w:val="18"/>
                <w:lang w:val="es-419" w:eastAsia="es-419"/>
              </w:rPr>
            </w:pPr>
            <w:r w:rsidRPr="006F0BB0">
              <w:rPr>
                <w:sz w:val="18"/>
                <w:szCs w:val="18"/>
                <w:lang w:val="es-419" w:eastAsia="es-419"/>
              </w:rPr>
              <w:t>29,7%</w:t>
            </w:r>
          </w:p>
        </w:tc>
      </w:tr>
      <w:tr w:rsidR="006F0BB0" w:rsidRPr="006F0BB0" w14:paraId="28498371"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EF671CB"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Lesotho</w:t>
            </w:r>
            <w:proofErr w:type="spellEnd"/>
          </w:p>
        </w:tc>
        <w:tc>
          <w:tcPr>
            <w:tcW w:w="950" w:type="dxa"/>
            <w:tcBorders>
              <w:top w:val="nil"/>
              <w:left w:val="nil"/>
              <w:bottom w:val="single" w:sz="4" w:space="0" w:color="auto"/>
              <w:right w:val="single" w:sz="4" w:space="0" w:color="auto"/>
            </w:tcBorders>
            <w:shd w:val="clear" w:color="auto" w:fill="auto"/>
            <w:noWrap/>
            <w:hideMark/>
          </w:tcPr>
          <w:p w14:paraId="7F786BAF" w14:textId="77777777" w:rsidR="006F0BB0" w:rsidRPr="006F0BB0" w:rsidRDefault="006F0BB0" w:rsidP="007D1DBA">
            <w:pPr>
              <w:jc w:val="right"/>
              <w:rPr>
                <w:sz w:val="18"/>
                <w:szCs w:val="18"/>
                <w:lang w:val="es-419" w:eastAsia="es-419"/>
              </w:rPr>
            </w:pPr>
            <w:r w:rsidRPr="006F0BB0">
              <w:rPr>
                <w:sz w:val="18"/>
                <w:szCs w:val="18"/>
                <w:lang w:val="es-419" w:eastAsia="es-419"/>
              </w:rPr>
              <w:t>24 165</w:t>
            </w:r>
          </w:p>
        </w:tc>
        <w:tc>
          <w:tcPr>
            <w:tcW w:w="950" w:type="dxa"/>
            <w:tcBorders>
              <w:top w:val="nil"/>
              <w:left w:val="nil"/>
              <w:bottom w:val="single" w:sz="4" w:space="0" w:color="auto"/>
              <w:right w:val="single" w:sz="4" w:space="0" w:color="auto"/>
            </w:tcBorders>
            <w:shd w:val="clear" w:color="auto" w:fill="auto"/>
            <w:noWrap/>
            <w:hideMark/>
          </w:tcPr>
          <w:p w14:paraId="49C80AFD" w14:textId="77777777" w:rsidR="006F0BB0" w:rsidRPr="006F0BB0" w:rsidRDefault="006F0BB0" w:rsidP="007D1DBA">
            <w:pPr>
              <w:jc w:val="right"/>
              <w:rPr>
                <w:sz w:val="18"/>
                <w:szCs w:val="18"/>
                <w:lang w:val="es-419" w:eastAsia="es-419"/>
              </w:rPr>
            </w:pPr>
            <w:r w:rsidRPr="006F0BB0">
              <w:rPr>
                <w:sz w:val="18"/>
                <w:szCs w:val="18"/>
                <w:lang w:val="es-419" w:eastAsia="es-419"/>
              </w:rPr>
              <w:t>24 648</w:t>
            </w:r>
          </w:p>
        </w:tc>
        <w:tc>
          <w:tcPr>
            <w:tcW w:w="950" w:type="dxa"/>
            <w:tcBorders>
              <w:top w:val="nil"/>
              <w:left w:val="nil"/>
              <w:bottom w:val="single" w:sz="4" w:space="0" w:color="auto"/>
              <w:right w:val="single" w:sz="4" w:space="0" w:color="auto"/>
            </w:tcBorders>
            <w:shd w:val="clear" w:color="auto" w:fill="auto"/>
            <w:noWrap/>
            <w:hideMark/>
          </w:tcPr>
          <w:p w14:paraId="1A5A73D7" w14:textId="77777777" w:rsidR="006F0BB0" w:rsidRPr="006F0BB0" w:rsidRDefault="006F0BB0" w:rsidP="007D1DBA">
            <w:pPr>
              <w:jc w:val="right"/>
              <w:rPr>
                <w:sz w:val="18"/>
                <w:szCs w:val="18"/>
                <w:lang w:val="es-419" w:eastAsia="es-419"/>
              </w:rPr>
            </w:pPr>
            <w:r w:rsidRPr="006F0BB0">
              <w:rPr>
                <w:sz w:val="18"/>
                <w:szCs w:val="18"/>
                <w:lang w:val="es-419" w:eastAsia="es-419"/>
              </w:rPr>
              <w:t>25 141</w:t>
            </w:r>
          </w:p>
        </w:tc>
        <w:tc>
          <w:tcPr>
            <w:tcW w:w="978" w:type="dxa"/>
            <w:tcBorders>
              <w:top w:val="nil"/>
              <w:left w:val="nil"/>
              <w:bottom w:val="single" w:sz="4" w:space="0" w:color="auto"/>
              <w:right w:val="single" w:sz="4" w:space="0" w:color="auto"/>
            </w:tcBorders>
            <w:shd w:val="clear" w:color="auto" w:fill="auto"/>
            <w:noWrap/>
            <w:hideMark/>
          </w:tcPr>
          <w:p w14:paraId="1B1AB01C" w14:textId="77777777" w:rsidR="006F0BB0" w:rsidRPr="006F0BB0" w:rsidRDefault="006F0BB0" w:rsidP="007D1DBA">
            <w:pPr>
              <w:jc w:val="right"/>
              <w:rPr>
                <w:sz w:val="18"/>
                <w:szCs w:val="18"/>
                <w:lang w:val="es-419" w:eastAsia="es-419"/>
              </w:rPr>
            </w:pPr>
            <w:r w:rsidRPr="006F0BB0">
              <w:rPr>
                <w:sz w:val="18"/>
                <w:szCs w:val="18"/>
                <w:lang w:val="es-419" w:eastAsia="es-419"/>
              </w:rPr>
              <w:t>25 644</w:t>
            </w:r>
          </w:p>
        </w:tc>
        <w:tc>
          <w:tcPr>
            <w:tcW w:w="950" w:type="dxa"/>
            <w:tcBorders>
              <w:top w:val="nil"/>
              <w:left w:val="nil"/>
              <w:bottom w:val="single" w:sz="4" w:space="0" w:color="auto"/>
              <w:right w:val="single" w:sz="4" w:space="0" w:color="auto"/>
            </w:tcBorders>
            <w:shd w:val="clear" w:color="auto" w:fill="auto"/>
            <w:noWrap/>
            <w:hideMark/>
          </w:tcPr>
          <w:p w14:paraId="69E2F411" w14:textId="77777777" w:rsidR="006F0BB0" w:rsidRPr="006F0BB0" w:rsidRDefault="006F0BB0" w:rsidP="007D1DBA">
            <w:pPr>
              <w:jc w:val="right"/>
              <w:rPr>
                <w:sz w:val="18"/>
                <w:szCs w:val="18"/>
                <w:lang w:val="es-419" w:eastAsia="es-419"/>
              </w:rPr>
            </w:pPr>
            <w:r w:rsidRPr="006F0BB0">
              <w:rPr>
                <w:sz w:val="18"/>
                <w:szCs w:val="18"/>
                <w:lang w:val="es-419" w:eastAsia="es-419"/>
              </w:rPr>
              <w:t>28 209</w:t>
            </w:r>
          </w:p>
        </w:tc>
        <w:tc>
          <w:tcPr>
            <w:tcW w:w="950" w:type="dxa"/>
            <w:tcBorders>
              <w:top w:val="nil"/>
              <w:left w:val="nil"/>
              <w:bottom w:val="single" w:sz="4" w:space="0" w:color="auto"/>
              <w:right w:val="single" w:sz="4" w:space="0" w:color="auto"/>
            </w:tcBorders>
            <w:shd w:val="clear" w:color="auto" w:fill="auto"/>
            <w:noWrap/>
            <w:hideMark/>
          </w:tcPr>
          <w:p w14:paraId="42BA1E78" w14:textId="77777777" w:rsidR="006F0BB0" w:rsidRPr="006F0BB0" w:rsidRDefault="006F0BB0" w:rsidP="007D1DBA">
            <w:pPr>
              <w:jc w:val="right"/>
              <w:rPr>
                <w:sz w:val="18"/>
                <w:szCs w:val="18"/>
                <w:lang w:val="es-419" w:eastAsia="es-419"/>
              </w:rPr>
            </w:pPr>
            <w:r w:rsidRPr="006F0BB0">
              <w:rPr>
                <w:sz w:val="18"/>
                <w:szCs w:val="18"/>
                <w:lang w:val="es-419" w:eastAsia="es-419"/>
              </w:rPr>
              <w:t>31 029</w:t>
            </w:r>
          </w:p>
        </w:tc>
        <w:tc>
          <w:tcPr>
            <w:tcW w:w="1076" w:type="dxa"/>
            <w:tcBorders>
              <w:top w:val="nil"/>
              <w:left w:val="nil"/>
              <w:bottom w:val="single" w:sz="4" w:space="0" w:color="auto"/>
              <w:right w:val="single" w:sz="4" w:space="0" w:color="auto"/>
            </w:tcBorders>
            <w:shd w:val="clear" w:color="auto" w:fill="auto"/>
            <w:noWrap/>
            <w:hideMark/>
          </w:tcPr>
          <w:p w14:paraId="792FC9D1" w14:textId="77777777" w:rsidR="006F0BB0" w:rsidRPr="006F0BB0" w:rsidRDefault="006F0BB0" w:rsidP="007D1DBA">
            <w:pPr>
              <w:jc w:val="right"/>
              <w:rPr>
                <w:sz w:val="18"/>
                <w:szCs w:val="18"/>
                <w:lang w:val="es-419" w:eastAsia="es-419"/>
              </w:rPr>
            </w:pPr>
            <w:r w:rsidRPr="006F0BB0">
              <w:rPr>
                <w:sz w:val="18"/>
                <w:szCs w:val="18"/>
                <w:lang w:val="es-419" w:eastAsia="es-419"/>
              </w:rPr>
              <w:t>25 145</w:t>
            </w:r>
          </w:p>
        </w:tc>
        <w:tc>
          <w:tcPr>
            <w:tcW w:w="1034" w:type="dxa"/>
            <w:tcBorders>
              <w:top w:val="nil"/>
              <w:left w:val="nil"/>
              <w:bottom w:val="single" w:sz="4" w:space="0" w:color="auto"/>
              <w:right w:val="single" w:sz="4" w:space="0" w:color="auto"/>
            </w:tcBorders>
            <w:shd w:val="clear" w:color="auto" w:fill="auto"/>
            <w:noWrap/>
            <w:hideMark/>
          </w:tcPr>
          <w:p w14:paraId="395E4A2B" w14:textId="77777777" w:rsidR="006F0BB0" w:rsidRPr="006F0BB0" w:rsidRDefault="006F0BB0" w:rsidP="007D1DBA">
            <w:pPr>
              <w:jc w:val="right"/>
              <w:rPr>
                <w:sz w:val="18"/>
                <w:szCs w:val="18"/>
                <w:lang w:val="es-419" w:eastAsia="es-419"/>
              </w:rPr>
            </w:pPr>
            <w:r w:rsidRPr="006F0BB0">
              <w:rPr>
                <w:sz w:val="18"/>
                <w:szCs w:val="18"/>
                <w:lang w:val="es-419" w:eastAsia="es-419"/>
              </w:rPr>
              <w:t>98 888</w:t>
            </w:r>
          </w:p>
        </w:tc>
        <w:tc>
          <w:tcPr>
            <w:tcW w:w="1181" w:type="dxa"/>
            <w:tcBorders>
              <w:top w:val="nil"/>
              <w:left w:val="nil"/>
              <w:bottom w:val="single" w:sz="4" w:space="0" w:color="auto"/>
              <w:right w:val="single" w:sz="4" w:space="0" w:color="auto"/>
            </w:tcBorders>
            <w:shd w:val="clear" w:color="auto" w:fill="auto"/>
            <w:noWrap/>
            <w:hideMark/>
          </w:tcPr>
          <w:p w14:paraId="7150152E" w14:textId="77777777" w:rsidR="006F0BB0" w:rsidRPr="006F0BB0" w:rsidRDefault="006F0BB0" w:rsidP="007D1DBA">
            <w:pPr>
              <w:jc w:val="right"/>
              <w:rPr>
                <w:sz w:val="18"/>
                <w:szCs w:val="18"/>
                <w:lang w:val="es-419" w:eastAsia="es-419"/>
              </w:rPr>
            </w:pPr>
            <w:r w:rsidRPr="006F0BB0">
              <w:rPr>
                <w:sz w:val="18"/>
                <w:szCs w:val="18"/>
                <w:lang w:val="es-419" w:eastAsia="es-419"/>
              </w:rPr>
              <w:t>31,4%</w:t>
            </w:r>
          </w:p>
        </w:tc>
      </w:tr>
      <w:tr w:rsidR="006F0BB0" w:rsidRPr="006F0BB0" w14:paraId="5D37E2B6"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445819" w14:textId="77777777" w:rsidR="006F0BB0" w:rsidRPr="006F0BB0" w:rsidRDefault="006F0BB0" w:rsidP="007D1DBA">
            <w:pPr>
              <w:jc w:val="left"/>
              <w:rPr>
                <w:sz w:val="18"/>
                <w:szCs w:val="18"/>
                <w:lang w:val="es-419" w:eastAsia="es-419"/>
              </w:rPr>
            </w:pPr>
            <w:r w:rsidRPr="006F0BB0">
              <w:rPr>
                <w:sz w:val="18"/>
                <w:szCs w:val="18"/>
                <w:lang w:val="es-419" w:eastAsia="es-419"/>
              </w:rPr>
              <w:t>Mali</w:t>
            </w:r>
          </w:p>
        </w:tc>
        <w:tc>
          <w:tcPr>
            <w:tcW w:w="950" w:type="dxa"/>
            <w:tcBorders>
              <w:top w:val="nil"/>
              <w:left w:val="nil"/>
              <w:bottom w:val="single" w:sz="4" w:space="0" w:color="auto"/>
              <w:right w:val="single" w:sz="4" w:space="0" w:color="auto"/>
            </w:tcBorders>
            <w:shd w:val="clear" w:color="auto" w:fill="auto"/>
            <w:noWrap/>
            <w:hideMark/>
          </w:tcPr>
          <w:p w14:paraId="03F48CF4" w14:textId="77777777" w:rsidR="006F0BB0" w:rsidRPr="006F0BB0" w:rsidRDefault="006F0BB0" w:rsidP="007D1DBA">
            <w:pPr>
              <w:jc w:val="right"/>
              <w:rPr>
                <w:sz w:val="18"/>
                <w:szCs w:val="18"/>
                <w:lang w:val="es-419" w:eastAsia="es-419"/>
              </w:rPr>
            </w:pPr>
            <w:r w:rsidRPr="006F0BB0">
              <w:rPr>
                <w:sz w:val="18"/>
                <w:szCs w:val="18"/>
                <w:lang w:val="es-419" w:eastAsia="es-419"/>
              </w:rPr>
              <w:t>108 522</w:t>
            </w:r>
          </w:p>
        </w:tc>
        <w:tc>
          <w:tcPr>
            <w:tcW w:w="950" w:type="dxa"/>
            <w:tcBorders>
              <w:top w:val="nil"/>
              <w:left w:val="nil"/>
              <w:bottom w:val="single" w:sz="4" w:space="0" w:color="auto"/>
              <w:right w:val="single" w:sz="4" w:space="0" w:color="auto"/>
            </w:tcBorders>
            <w:shd w:val="clear" w:color="auto" w:fill="auto"/>
            <w:noWrap/>
            <w:hideMark/>
          </w:tcPr>
          <w:p w14:paraId="57D02642" w14:textId="77777777" w:rsidR="006F0BB0" w:rsidRPr="006F0BB0" w:rsidRDefault="006F0BB0" w:rsidP="007D1DBA">
            <w:pPr>
              <w:jc w:val="right"/>
              <w:rPr>
                <w:sz w:val="18"/>
                <w:szCs w:val="18"/>
                <w:lang w:val="es-419" w:eastAsia="es-419"/>
              </w:rPr>
            </w:pPr>
            <w:r w:rsidRPr="006F0BB0">
              <w:rPr>
                <w:sz w:val="18"/>
                <w:szCs w:val="18"/>
                <w:lang w:val="es-419" w:eastAsia="es-419"/>
              </w:rPr>
              <w:t>110 692</w:t>
            </w:r>
          </w:p>
        </w:tc>
        <w:tc>
          <w:tcPr>
            <w:tcW w:w="950" w:type="dxa"/>
            <w:tcBorders>
              <w:top w:val="nil"/>
              <w:left w:val="nil"/>
              <w:bottom w:val="single" w:sz="4" w:space="0" w:color="auto"/>
              <w:right w:val="single" w:sz="4" w:space="0" w:color="auto"/>
            </w:tcBorders>
            <w:shd w:val="clear" w:color="auto" w:fill="auto"/>
            <w:noWrap/>
            <w:hideMark/>
          </w:tcPr>
          <w:p w14:paraId="6758A5F7" w14:textId="77777777" w:rsidR="006F0BB0" w:rsidRPr="006F0BB0" w:rsidRDefault="006F0BB0" w:rsidP="007D1DBA">
            <w:pPr>
              <w:jc w:val="right"/>
              <w:rPr>
                <w:sz w:val="18"/>
                <w:szCs w:val="18"/>
                <w:lang w:val="es-419" w:eastAsia="es-419"/>
              </w:rPr>
            </w:pPr>
            <w:r w:rsidRPr="006F0BB0">
              <w:rPr>
                <w:sz w:val="18"/>
                <w:szCs w:val="18"/>
                <w:lang w:val="es-419" w:eastAsia="es-419"/>
              </w:rPr>
              <w:t>112 906</w:t>
            </w:r>
          </w:p>
        </w:tc>
        <w:tc>
          <w:tcPr>
            <w:tcW w:w="978" w:type="dxa"/>
            <w:tcBorders>
              <w:top w:val="nil"/>
              <w:left w:val="nil"/>
              <w:bottom w:val="single" w:sz="4" w:space="0" w:color="auto"/>
              <w:right w:val="single" w:sz="4" w:space="0" w:color="auto"/>
            </w:tcBorders>
            <w:shd w:val="clear" w:color="auto" w:fill="auto"/>
            <w:noWrap/>
            <w:hideMark/>
          </w:tcPr>
          <w:p w14:paraId="4EE3D576" w14:textId="77777777" w:rsidR="006F0BB0" w:rsidRPr="006F0BB0" w:rsidRDefault="006F0BB0" w:rsidP="007D1DBA">
            <w:pPr>
              <w:jc w:val="right"/>
              <w:rPr>
                <w:sz w:val="18"/>
                <w:szCs w:val="18"/>
                <w:lang w:val="es-419" w:eastAsia="es-419"/>
              </w:rPr>
            </w:pPr>
            <w:r w:rsidRPr="006F0BB0">
              <w:rPr>
                <w:sz w:val="18"/>
                <w:szCs w:val="18"/>
                <w:lang w:val="es-419" w:eastAsia="es-419"/>
              </w:rPr>
              <w:t>115 164</w:t>
            </w:r>
          </w:p>
        </w:tc>
        <w:tc>
          <w:tcPr>
            <w:tcW w:w="950" w:type="dxa"/>
            <w:tcBorders>
              <w:top w:val="nil"/>
              <w:left w:val="nil"/>
              <w:bottom w:val="single" w:sz="4" w:space="0" w:color="auto"/>
              <w:right w:val="single" w:sz="4" w:space="0" w:color="auto"/>
            </w:tcBorders>
            <w:shd w:val="clear" w:color="auto" w:fill="auto"/>
            <w:noWrap/>
            <w:hideMark/>
          </w:tcPr>
          <w:p w14:paraId="1580FCD1" w14:textId="77777777" w:rsidR="006F0BB0" w:rsidRPr="006F0BB0" w:rsidRDefault="006F0BB0" w:rsidP="007D1DBA">
            <w:pPr>
              <w:jc w:val="right"/>
              <w:rPr>
                <w:sz w:val="18"/>
                <w:szCs w:val="18"/>
                <w:lang w:val="es-419" w:eastAsia="es-419"/>
              </w:rPr>
            </w:pPr>
            <w:r w:rsidRPr="006F0BB0">
              <w:rPr>
                <w:sz w:val="18"/>
                <w:szCs w:val="18"/>
                <w:lang w:val="es-419" w:eastAsia="es-419"/>
              </w:rPr>
              <w:t>126 681</w:t>
            </w:r>
          </w:p>
        </w:tc>
        <w:tc>
          <w:tcPr>
            <w:tcW w:w="950" w:type="dxa"/>
            <w:tcBorders>
              <w:top w:val="nil"/>
              <w:left w:val="nil"/>
              <w:bottom w:val="single" w:sz="4" w:space="0" w:color="auto"/>
              <w:right w:val="single" w:sz="4" w:space="0" w:color="auto"/>
            </w:tcBorders>
            <w:shd w:val="clear" w:color="auto" w:fill="auto"/>
            <w:noWrap/>
            <w:hideMark/>
          </w:tcPr>
          <w:p w14:paraId="106F9573" w14:textId="77777777" w:rsidR="006F0BB0" w:rsidRPr="006F0BB0" w:rsidRDefault="006F0BB0" w:rsidP="007D1DBA">
            <w:pPr>
              <w:jc w:val="right"/>
              <w:rPr>
                <w:sz w:val="18"/>
                <w:szCs w:val="18"/>
                <w:lang w:val="es-419" w:eastAsia="es-419"/>
              </w:rPr>
            </w:pPr>
            <w:r w:rsidRPr="006F0BB0">
              <w:rPr>
                <w:sz w:val="18"/>
                <w:szCs w:val="18"/>
                <w:lang w:val="es-419" w:eastAsia="es-419"/>
              </w:rPr>
              <w:t>139 349</w:t>
            </w:r>
          </w:p>
        </w:tc>
        <w:tc>
          <w:tcPr>
            <w:tcW w:w="1076" w:type="dxa"/>
            <w:tcBorders>
              <w:top w:val="nil"/>
              <w:left w:val="nil"/>
              <w:bottom w:val="single" w:sz="4" w:space="0" w:color="auto"/>
              <w:right w:val="single" w:sz="4" w:space="0" w:color="auto"/>
            </w:tcBorders>
            <w:shd w:val="clear" w:color="auto" w:fill="auto"/>
            <w:noWrap/>
            <w:hideMark/>
          </w:tcPr>
          <w:p w14:paraId="23C5271C" w14:textId="77777777" w:rsidR="006F0BB0" w:rsidRPr="006F0BB0" w:rsidRDefault="006F0BB0" w:rsidP="007D1DBA">
            <w:pPr>
              <w:jc w:val="right"/>
              <w:rPr>
                <w:sz w:val="18"/>
                <w:szCs w:val="18"/>
                <w:lang w:val="es-419" w:eastAsia="es-419"/>
              </w:rPr>
            </w:pPr>
            <w:r w:rsidRPr="006F0BB0">
              <w:rPr>
                <w:sz w:val="18"/>
                <w:szCs w:val="18"/>
                <w:lang w:val="es-419" w:eastAsia="es-419"/>
              </w:rPr>
              <w:t>112 921</w:t>
            </w:r>
          </w:p>
        </w:tc>
        <w:tc>
          <w:tcPr>
            <w:tcW w:w="1034" w:type="dxa"/>
            <w:tcBorders>
              <w:top w:val="nil"/>
              <w:left w:val="nil"/>
              <w:bottom w:val="single" w:sz="4" w:space="0" w:color="auto"/>
              <w:right w:val="single" w:sz="4" w:space="0" w:color="auto"/>
            </w:tcBorders>
            <w:shd w:val="clear" w:color="auto" w:fill="auto"/>
            <w:noWrap/>
            <w:hideMark/>
          </w:tcPr>
          <w:p w14:paraId="5D7A17D7" w14:textId="77777777" w:rsidR="006F0BB0" w:rsidRPr="006F0BB0" w:rsidRDefault="006F0BB0" w:rsidP="007D1DBA">
            <w:pPr>
              <w:jc w:val="right"/>
              <w:rPr>
                <w:sz w:val="18"/>
                <w:szCs w:val="18"/>
                <w:lang w:val="es-419" w:eastAsia="es-419"/>
              </w:rPr>
            </w:pPr>
            <w:r w:rsidRPr="006F0BB0">
              <w:rPr>
                <w:sz w:val="18"/>
                <w:szCs w:val="18"/>
                <w:lang w:val="es-419" w:eastAsia="es-419"/>
              </w:rPr>
              <w:t>433 223</w:t>
            </w:r>
          </w:p>
        </w:tc>
        <w:tc>
          <w:tcPr>
            <w:tcW w:w="1181" w:type="dxa"/>
            <w:tcBorders>
              <w:top w:val="nil"/>
              <w:left w:val="nil"/>
              <w:bottom w:val="single" w:sz="4" w:space="0" w:color="auto"/>
              <w:right w:val="single" w:sz="4" w:space="0" w:color="auto"/>
            </w:tcBorders>
            <w:shd w:val="clear" w:color="auto" w:fill="auto"/>
            <w:noWrap/>
            <w:hideMark/>
          </w:tcPr>
          <w:p w14:paraId="2FF17590" w14:textId="77777777" w:rsidR="006F0BB0" w:rsidRPr="006F0BB0" w:rsidRDefault="006F0BB0" w:rsidP="007D1DBA">
            <w:pPr>
              <w:jc w:val="right"/>
              <w:rPr>
                <w:sz w:val="18"/>
                <w:szCs w:val="18"/>
                <w:lang w:val="es-419" w:eastAsia="es-419"/>
              </w:rPr>
            </w:pPr>
            <w:r w:rsidRPr="006F0BB0">
              <w:rPr>
                <w:sz w:val="18"/>
                <w:szCs w:val="18"/>
                <w:lang w:val="es-419" w:eastAsia="es-419"/>
              </w:rPr>
              <w:t>32,2%</w:t>
            </w:r>
          </w:p>
        </w:tc>
      </w:tr>
      <w:tr w:rsidR="006F0BB0" w:rsidRPr="006F0BB0" w14:paraId="55B20DE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01524F" w14:textId="77777777" w:rsidR="006F0BB0" w:rsidRPr="006F0BB0" w:rsidRDefault="006F0BB0" w:rsidP="007D1DBA">
            <w:pPr>
              <w:jc w:val="left"/>
              <w:rPr>
                <w:sz w:val="18"/>
                <w:szCs w:val="18"/>
                <w:lang w:val="es-419" w:eastAsia="es-419"/>
              </w:rPr>
            </w:pPr>
            <w:r w:rsidRPr="006F0BB0">
              <w:rPr>
                <w:sz w:val="18"/>
                <w:szCs w:val="18"/>
                <w:lang w:val="es-419" w:eastAsia="es-419"/>
              </w:rPr>
              <w:t>Ghana</w:t>
            </w:r>
          </w:p>
        </w:tc>
        <w:tc>
          <w:tcPr>
            <w:tcW w:w="950" w:type="dxa"/>
            <w:tcBorders>
              <w:top w:val="nil"/>
              <w:left w:val="nil"/>
              <w:bottom w:val="single" w:sz="4" w:space="0" w:color="auto"/>
              <w:right w:val="single" w:sz="4" w:space="0" w:color="auto"/>
            </w:tcBorders>
            <w:shd w:val="clear" w:color="auto" w:fill="auto"/>
            <w:noWrap/>
            <w:hideMark/>
          </w:tcPr>
          <w:p w14:paraId="01BF73A6" w14:textId="77777777" w:rsidR="006F0BB0" w:rsidRPr="006F0BB0" w:rsidRDefault="006F0BB0" w:rsidP="007D1DBA">
            <w:pPr>
              <w:jc w:val="right"/>
              <w:rPr>
                <w:sz w:val="18"/>
                <w:szCs w:val="18"/>
                <w:lang w:val="es-419" w:eastAsia="es-419"/>
              </w:rPr>
            </w:pPr>
            <w:r w:rsidRPr="006F0BB0">
              <w:rPr>
                <w:sz w:val="18"/>
                <w:szCs w:val="18"/>
                <w:lang w:val="es-419" w:eastAsia="es-419"/>
              </w:rPr>
              <w:t>496 683</w:t>
            </w:r>
          </w:p>
        </w:tc>
        <w:tc>
          <w:tcPr>
            <w:tcW w:w="950" w:type="dxa"/>
            <w:tcBorders>
              <w:top w:val="nil"/>
              <w:left w:val="nil"/>
              <w:bottom w:val="single" w:sz="4" w:space="0" w:color="auto"/>
              <w:right w:val="single" w:sz="4" w:space="0" w:color="auto"/>
            </w:tcBorders>
            <w:shd w:val="clear" w:color="auto" w:fill="auto"/>
            <w:noWrap/>
            <w:hideMark/>
          </w:tcPr>
          <w:p w14:paraId="28C45DB4" w14:textId="77777777" w:rsidR="006F0BB0" w:rsidRPr="006F0BB0" w:rsidRDefault="006F0BB0" w:rsidP="007D1DBA">
            <w:pPr>
              <w:jc w:val="right"/>
              <w:rPr>
                <w:sz w:val="18"/>
                <w:szCs w:val="18"/>
                <w:lang w:val="es-419" w:eastAsia="es-419"/>
              </w:rPr>
            </w:pPr>
            <w:r w:rsidRPr="006F0BB0">
              <w:rPr>
                <w:sz w:val="18"/>
                <w:szCs w:val="18"/>
                <w:lang w:val="es-419" w:eastAsia="es-419"/>
              </w:rPr>
              <w:t>506 617</w:t>
            </w:r>
          </w:p>
        </w:tc>
        <w:tc>
          <w:tcPr>
            <w:tcW w:w="950" w:type="dxa"/>
            <w:tcBorders>
              <w:top w:val="nil"/>
              <w:left w:val="nil"/>
              <w:bottom w:val="single" w:sz="4" w:space="0" w:color="auto"/>
              <w:right w:val="single" w:sz="4" w:space="0" w:color="auto"/>
            </w:tcBorders>
            <w:shd w:val="clear" w:color="auto" w:fill="auto"/>
            <w:noWrap/>
            <w:hideMark/>
          </w:tcPr>
          <w:p w14:paraId="104B974A" w14:textId="77777777" w:rsidR="006F0BB0" w:rsidRPr="006F0BB0" w:rsidRDefault="006F0BB0" w:rsidP="007D1DBA">
            <w:pPr>
              <w:jc w:val="right"/>
              <w:rPr>
                <w:sz w:val="18"/>
                <w:szCs w:val="18"/>
                <w:lang w:val="es-419" w:eastAsia="es-419"/>
              </w:rPr>
            </w:pPr>
            <w:r w:rsidRPr="006F0BB0">
              <w:rPr>
                <w:sz w:val="18"/>
                <w:szCs w:val="18"/>
                <w:lang w:val="es-419" w:eastAsia="es-419"/>
              </w:rPr>
              <w:t>516 749</w:t>
            </w:r>
          </w:p>
        </w:tc>
        <w:tc>
          <w:tcPr>
            <w:tcW w:w="978" w:type="dxa"/>
            <w:tcBorders>
              <w:top w:val="nil"/>
              <w:left w:val="nil"/>
              <w:bottom w:val="single" w:sz="4" w:space="0" w:color="auto"/>
              <w:right w:val="single" w:sz="4" w:space="0" w:color="auto"/>
            </w:tcBorders>
            <w:shd w:val="clear" w:color="auto" w:fill="auto"/>
            <w:noWrap/>
            <w:hideMark/>
          </w:tcPr>
          <w:p w14:paraId="3EF7B4A5" w14:textId="77777777" w:rsidR="006F0BB0" w:rsidRPr="006F0BB0" w:rsidRDefault="006F0BB0" w:rsidP="007D1DBA">
            <w:pPr>
              <w:jc w:val="right"/>
              <w:rPr>
                <w:sz w:val="18"/>
                <w:szCs w:val="18"/>
                <w:lang w:val="es-419" w:eastAsia="es-419"/>
              </w:rPr>
            </w:pPr>
            <w:r w:rsidRPr="006F0BB0">
              <w:rPr>
                <w:sz w:val="18"/>
                <w:szCs w:val="18"/>
                <w:lang w:val="es-419" w:eastAsia="es-419"/>
              </w:rPr>
              <w:t>527 084</w:t>
            </w:r>
          </w:p>
        </w:tc>
        <w:tc>
          <w:tcPr>
            <w:tcW w:w="950" w:type="dxa"/>
            <w:tcBorders>
              <w:top w:val="nil"/>
              <w:left w:val="nil"/>
              <w:bottom w:val="single" w:sz="4" w:space="0" w:color="auto"/>
              <w:right w:val="single" w:sz="4" w:space="0" w:color="auto"/>
            </w:tcBorders>
            <w:shd w:val="clear" w:color="auto" w:fill="auto"/>
            <w:noWrap/>
            <w:hideMark/>
          </w:tcPr>
          <w:p w14:paraId="3FD9F1B6" w14:textId="77777777" w:rsidR="006F0BB0" w:rsidRPr="006F0BB0" w:rsidRDefault="006F0BB0" w:rsidP="007D1DBA">
            <w:pPr>
              <w:jc w:val="right"/>
              <w:rPr>
                <w:sz w:val="18"/>
                <w:szCs w:val="18"/>
                <w:lang w:val="es-419" w:eastAsia="es-419"/>
              </w:rPr>
            </w:pPr>
            <w:r w:rsidRPr="006F0BB0">
              <w:rPr>
                <w:sz w:val="18"/>
                <w:szCs w:val="18"/>
                <w:lang w:val="es-419" w:eastAsia="es-419"/>
              </w:rPr>
              <w:t>579 792</w:t>
            </w:r>
          </w:p>
        </w:tc>
        <w:tc>
          <w:tcPr>
            <w:tcW w:w="950" w:type="dxa"/>
            <w:tcBorders>
              <w:top w:val="nil"/>
              <w:left w:val="nil"/>
              <w:bottom w:val="single" w:sz="4" w:space="0" w:color="auto"/>
              <w:right w:val="single" w:sz="4" w:space="0" w:color="auto"/>
            </w:tcBorders>
            <w:shd w:val="clear" w:color="auto" w:fill="auto"/>
            <w:noWrap/>
            <w:hideMark/>
          </w:tcPr>
          <w:p w14:paraId="271AAFCE" w14:textId="77777777" w:rsidR="006F0BB0" w:rsidRPr="006F0BB0" w:rsidRDefault="006F0BB0" w:rsidP="007D1DBA">
            <w:pPr>
              <w:jc w:val="right"/>
              <w:rPr>
                <w:sz w:val="18"/>
                <w:szCs w:val="18"/>
                <w:lang w:val="es-419" w:eastAsia="es-419"/>
              </w:rPr>
            </w:pPr>
            <w:r w:rsidRPr="006F0BB0">
              <w:rPr>
                <w:sz w:val="18"/>
                <w:szCs w:val="18"/>
                <w:lang w:val="es-419" w:eastAsia="es-419"/>
              </w:rPr>
              <w:t>637 772</w:t>
            </w:r>
          </w:p>
        </w:tc>
        <w:tc>
          <w:tcPr>
            <w:tcW w:w="1076" w:type="dxa"/>
            <w:tcBorders>
              <w:top w:val="nil"/>
              <w:left w:val="nil"/>
              <w:bottom w:val="single" w:sz="4" w:space="0" w:color="auto"/>
              <w:right w:val="single" w:sz="4" w:space="0" w:color="auto"/>
            </w:tcBorders>
            <w:shd w:val="clear" w:color="auto" w:fill="auto"/>
            <w:noWrap/>
            <w:hideMark/>
          </w:tcPr>
          <w:p w14:paraId="45D73FC3" w14:textId="77777777" w:rsidR="006F0BB0" w:rsidRPr="006F0BB0" w:rsidRDefault="006F0BB0" w:rsidP="007D1DBA">
            <w:pPr>
              <w:jc w:val="right"/>
              <w:rPr>
                <w:sz w:val="18"/>
                <w:szCs w:val="18"/>
                <w:lang w:val="es-419" w:eastAsia="es-419"/>
              </w:rPr>
            </w:pPr>
            <w:r w:rsidRPr="006F0BB0">
              <w:rPr>
                <w:sz w:val="18"/>
                <w:szCs w:val="18"/>
                <w:lang w:val="es-419" w:eastAsia="es-419"/>
              </w:rPr>
              <w:t>516 817</w:t>
            </w:r>
          </w:p>
        </w:tc>
        <w:tc>
          <w:tcPr>
            <w:tcW w:w="1034" w:type="dxa"/>
            <w:tcBorders>
              <w:top w:val="nil"/>
              <w:left w:val="nil"/>
              <w:bottom w:val="single" w:sz="4" w:space="0" w:color="auto"/>
              <w:right w:val="single" w:sz="4" w:space="0" w:color="auto"/>
            </w:tcBorders>
            <w:shd w:val="clear" w:color="auto" w:fill="auto"/>
            <w:noWrap/>
            <w:hideMark/>
          </w:tcPr>
          <w:p w14:paraId="6DB5F214" w14:textId="77777777" w:rsidR="006F0BB0" w:rsidRPr="006F0BB0" w:rsidRDefault="006F0BB0" w:rsidP="007D1DBA">
            <w:pPr>
              <w:jc w:val="right"/>
              <w:rPr>
                <w:sz w:val="18"/>
                <w:szCs w:val="18"/>
                <w:lang w:val="es-419" w:eastAsia="es-419"/>
              </w:rPr>
            </w:pPr>
            <w:r w:rsidRPr="006F0BB0">
              <w:rPr>
                <w:sz w:val="18"/>
                <w:szCs w:val="18"/>
                <w:lang w:val="es-419" w:eastAsia="es-419"/>
              </w:rPr>
              <w:t>1 766 399</w:t>
            </w:r>
          </w:p>
        </w:tc>
        <w:tc>
          <w:tcPr>
            <w:tcW w:w="1181" w:type="dxa"/>
            <w:tcBorders>
              <w:top w:val="nil"/>
              <w:left w:val="nil"/>
              <w:bottom w:val="single" w:sz="4" w:space="0" w:color="auto"/>
              <w:right w:val="single" w:sz="4" w:space="0" w:color="auto"/>
            </w:tcBorders>
            <w:shd w:val="clear" w:color="auto" w:fill="auto"/>
            <w:noWrap/>
            <w:hideMark/>
          </w:tcPr>
          <w:p w14:paraId="7814EC16" w14:textId="77777777" w:rsidR="006F0BB0" w:rsidRPr="006F0BB0" w:rsidRDefault="006F0BB0" w:rsidP="007D1DBA">
            <w:pPr>
              <w:jc w:val="right"/>
              <w:rPr>
                <w:sz w:val="18"/>
                <w:szCs w:val="18"/>
                <w:lang w:val="es-419" w:eastAsia="es-419"/>
              </w:rPr>
            </w:pPr>
            <w:r w:rsidRPr="006F0BB0">
              <w:rPr>
                <w:sz w:val="18"/>
                <w:szCs w:val="18"/>
                <w:lang w:val="es-419" w:eastAsia="es-419"/>
              </w:rPr>
              <w:t>36,1%</w:t>
            </w:r>
          </w:p>
        </w:tc>
      </w:tr>
      <w:tr w:rsidR="006F0BB0" w:rsidRPr="006F0BB0" w14:paraId="42F51BB8"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CBAE15"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Sao Tomé y </w:t>
            </w:r>
            <w:proofErr w:type="spellStart"/>
            <w:r w:rsidRPr="006F0BB0">
              <w:rPr>
                <w:sz w:val="18"/>
                <w:szCs w:val="18"/>
                <w:lang w:val="es-419" w:eastAsia="es-419"/>
              </w:rPr>
              <w:t>Principe</w:t>
            </w:r>
            <w:proofErr w:type="spellEnd"/>
          </w:p>
        </w:tc>
        <w:tc>
          <w:tcPr>
            <w:tcW w:w="950" w:type="dxa"/>
            <w:tcBorders>
              <w:top w:val="nil"/>
              <w:left w:val="nil"/>
              <w:bottom w:val="single" w:sz="4" w:space="0" w:color="auto"/>
              <w:right w:val="single" w:sz="4" w:space="0" w:color="auto"/>
            </w:tcBorders>
            <w:shd w:val="clear" w:color="auto" w:fill="auto"/>
            <w:noWrap/>
            <w:hideMark/>
          </w:tcPr>
          <w:p w14:paraId="62E235B1" w14:textId="77777777" w:rsidR="006F0BB0" w:rsidRPr="006F0BB0" w:rsidRDefault="006F0BB0" w:rsidP="007D1DBA">
            <w:pPr>
              <w:jc w:val="right"/>
              <w:rPr>
                <w:sz w:val="18"/>
                <w:szCs w:val="18"/>
                <w:lang w:val="es-419" w:eastAsia="es-419"/>
              </w:rPr>
            </w:pPr>
            <w:r w:rsidRPr="006F0BB0">
              <w:rPr>
                <w:sz w:val="18"/>
                <w:szCs w:val="18"/>
                <w:lang w:val="es-419" w:eastAsia="es-419"/>
              </w:rPr>
              <w:t>22 287</w:t>
            </w:r>
          </w:p>
        </w:tc>
        <w:tc>
          <w:tcPr>
            <w:tcW w:w="950" w:type="dxa"/>
            <w:tcBorders>
              <w:top w:val="nil"/>
              <w:left w:val="nil"/>
              <w:bottom w:val="single" w:sz="4" w:space="0" w:color="auto"/>
              <w:right w:val="single" w:sz="4" w:space="0" w:color="auto"/>
            </w:tcBorders>
            <w:shd w:val="clear" w:color="auto" w:fill="auto"/>
            <w:noWrap/>
            <w:hideMark/>
          </w:tcPr>
          <w:p w14:paraId="1B32ADE1" w14:textId="77777777" w:rsidR="006F0BB0" w:rsidRPr="006F0BB0" w:rsidRDefault="006F0BB0" w:rsidP="007D1DBA">
            <w:pPr>
              <w:jc w:val="right"/>
              <w:rPr>
                <w:sz w:val="18"/>
                <w:szCs w:val="18"/>
                <w:lang w:val="es-419" w:eastAsia="es-419"/>
              </w:rPr>
            </w:pPr>
            <w:r w:rsidRPr="006F0BB0">
              <w:rPr>
                <w:sz w:val="18"/>
                <w:szCs w:val="18"/>
                <w:lang w:val="es-419" w:eastAsia="es-419"/>
              </w:rPr>
              <w:t>22 733</w:t>
            </w:r>
          </w:p>
        </w:tc>
        <w:tc>
          <w:tcPr>
            <w:tcW w:w="950" w:type="dxa"/>
            <w:tcBorders>
              <w:top w:val="nil"/>
              <w:left w:val="nil"/>
              <w:bottom w:val="single" w:sz="4" w:space="0" w:color="auto"/>
              <w:right w:val="single" w:sz="4" w:space="0" w:color="auto"/>
            </w:tcBorders>
            <w:shd w:val="clear" w:color="auto" w:fill="auto"/>
            <w:noWrap/>
            <w:hideMark/>
          </w:tcPr>
          <w:p w14:paraId="02455DC5" w14:textId="77777777" w:rsidR="006F0BB0" w:rsidRPr="006F0BB0" w:rsidRDefault="006F0BB0" w:rsidP="007D1DBA">
            <w:pPr>
              <w:jc w:val="right"/>
              <w:rPr>
                <w:sz w:val="18"/>
                <w:szCs w:val="18"/>
                <w:lang w:val="es-419" w:eastAsia="es-419"/>
              </w:rPr>
            </w:pPr>
            <w:r w:rsidRPr="006F0BB0">
              <w:rPr>
                <w:sz w:val="18"/>
                <w:szCs w:val="18"/>
                <w:lang w:val="es-419" w:eastAsia="es-419"/>
              </w:rPr>
              <w:t>23 187</w:t>
            </w:r>
          </w:p>
        </w:tc>
        <w:tc>
          <w:tcPr>
            <w:tcW w:w="978" w:type="dxa"/>
            <w:tcBorders>
              <w:top w:val="nil"/>
              <w:left w:val="nil"/>
              <w:bottom w:val="single" w:sz="4" w:space="0" w:color="auto"/>
              <w:right w:val="single" w:sz="4" w:space="0" w:color="auto"/>
            </w:tcBorders>
            <w:shd w:val="clear" w:color="auto" w:fill="auto"/>
            <w:noWrap/>
            <w:hideMark/>
          </w:tcPr>
          <w:p w14:paraId="3A2AF78E" w14:textId="77777777" w:rsidR="006F0BB0" w:rsidRPr="006F0BB0" w:rsidRDefault="006F0BB0" w:rsidP="007D1DBA">
            <w:pPr>
              <w:jc w:val="right"/>
              <w:rPr>
                <w:sz w:val="18"/>
                <w:szCs w:val="18"/>
                <w:lang w:val="es-419" w:eastAsia="es-419"/>
              </w:rPr>
            </w:pPr>
            <w:r w:rsidRPr="006F0BB0">
              <w:rPr>
                <w:sz w:val="18"/>
                <w:szCs w:val="18"/>
                <w:lang w:val="es-419" w:eastAsia="es-419"/>
              </w:rPr>
              <w:t>23 651</w:t>
            </w:r>
          </w:p>
        </w:tc>
        <w:tc>
          <w:tcPr>
            <w:tcW w:w="950" w:type="dxa"/>
            <w:tcBorders>
              <w:top w:val="nil"/>
              <w:left w:val="nil"/>
              <w:bottom w:val="single" w:sz="4" w:space="0" w:color="auto"/>
              <w:right w:val="single" w:sz="4" w:space="0" w:color="auto"/>
            </w:tcBorders>
            <w:shd w:val="clear" w:color="auto" w:fill="auto"/>
            <w:noWrap/>
            <w:hideMark/>
          </w:tcPr>
          <w:p w14:paraId="1D67C3C7" w14:textId="77777777" w:rsidR="006F0BB0" w:rsidRPr="006F0BB0" w:rsidRDefault="006F0BB0" w:rsidP="007D1DBA">
            <w:pPr>
              <w:jc w:val="right"/>
              <w:rPr>
                <w:sz w:val="18"/>
                <w:szCs w:val="18"/>
                <w:lang w:val="es-419" w:eastAsia="es-419"/>
              </w:rPr>
            </w:pPr>
            <w:r w:rsidRPr="006F0BB0">
              <w:rPr>
                <w:sz w:val="18"/>
                <w:szCs w:val="18"/>
                <w:lang w:val="es-419" w:eastAsia="es-419"/>
              </w:rPr>
              <w:t>26 016</w:t>
            </w:r>
          </w:p>
        </w:tc>
        <w:tc>
          <w:tcPr>
            <w:tcW w:w="950" w:type="dxa"/>
            <w:tcBorders>
              <w:top w:val="nil"/>
              <w:left w:val="nil"/>
              <w:bottom w:val="single" w:sz="4" w:space="0" w:color="auto"/>
              <w:right w:val="single" w:sz="4" w:space="0" w:color="auto"/>
            </w:tcBorders>
            <w:shd w:val="clear" w:color="auto" w:fill="auto"/>
            <w:noWrap/>
            <w:hideMark/>
          </w:tcPr>
          <w:p w14:paraId="30CE74D2" w14:textId="77777777" w:rsidR="006F0BB0" w:rsidRPr="006F0BB0" w:rsidRDefault="006F0BB0" w:rsidP="007D1DBA">
            <w:pPr>
              <w:jc w:val="right"/>
              <w:rPr>
                <w:sz w:val="18"/>
                <w:szCs w:val="18"/>
                <w:lang w:val="es-419" w:eastAsia="es-419"/>
              </w:rPr>
            </w:pPr>
            <w:r w:rsidRPr="006F0BB0">
              <w:rPr>
                <w:sz w:val="18"/>
                <w:szCs w:val="18"/>
                <w:lang w:val="es-419" w:eastAsia="es-419"/>
              </w:rPr>
              <w:t>28 618</w:t>
            </w:r>
          </w:p>
        </w:tc>
        <w:tc>
          <w:tcPr>
            <w:tcW w:w="1076" w:type="dxa"/>
            <w:tcBorders>
              <w:top w:val="nil"/>
              <w:left w:val="nil"/>
              <w:bottom w:val="single" w:sz="4" w:space="0" w:color="auto"/>
              <w:right w:val="single" w:sz="4" w:space="0" w:color="auto"/>
            </w:tcBorders>
            <w:shd w:val="clear" w:color="auto" w:fill="auto"/>
            <w:noWrap/>
            <w:hideMark/>
          </w:tcPr>
          <w:p w14:paraId="7B6479B9" w14:textId="77777777" w:rsidR="006F0BB0" w:rsidRPr="006F0BB0" w:rsidRDefault="006F0BB0" w:rsidP="007D1DBA">
            <w:pPr>
              <w:jc w:val="right"/>
              <w:rPr>
                <w:sz w:val="18"/>
                <w:szCs w:val="18"/>
                <w:lang w:val="es-419" w:eastAsia="es-419"/>
              </w:rPr>
            </w:pPr>
            <w:r w:rsidRPr="006F0BB0">
              <w:rPr>
                <w:sz w:val="18"/>
                <w:szCs w:val="18"/>
                <w:lang w:val="es-419" w:eastAsia="es-419"/>
              </w:rPr>
              <w:t>23 190</w:t>
            </w:r>
          </w:p>
        </w:tc>
        <w:tc>
          <w:tcPr>
            <w:tcW w:w="1034" w:type="dxa"/>
            <w:tcBorders>
              <w:top w:val="nil"/>
              <w:left w:val="nil"/>
              <w:bottom w:val="single" w:sz="4" w:space="0" w:color="auto"/>
              <w:right w:val="single" w:sz="4" w:space="0" w:color="auto"/>
            </w:tcBorders>
            <w:shd w:val="clear" w:color="auto" w:fill="auto"/>
            <w:noWrap/>
            <w:hideMark/>
          </w:tcPr>
          <w:p w14:paraId="589E9B74" w14:textId="77777777" w:rsidR="006F0BB0" w:rsidRPr="006F0BB0" w:rsidRDefault="006F0BB0" w:rsidP="007D1DBA">
            <w:pPr>
              <w:jc w:val="right"/>
              <w:rPr>
                <w:sz w:val="18"/>
                <w:szCs w:val="18"/>
                <w:lang w:val="es-419" w:eastAsia="es-419"/>
              </w:rPr>
            </w:pPr>
            <w:r w:rsidRPr="006F0BB0">
              <w:rPr>
                <w:sz w:val="18"/>
                <w:szCs w:val="18"/>
                <w:lang w:val="es-419" w:eastAsia="es-419"/>
              </w:rPr>
              <w:t>69 015</w:t>
            </w:r>
          </w:p>
        </w:tc>
        <w:tc>
          <w:tcPr>
            <w:tcW w:w="1181" w:type="dxa"/>
            <w:tcBorders>
              <w:top w:val="nil"/>
              <w:left w:val="nil"/>
              <w:bottom w:val="single" w:sz="4" w:space="0" w:color="auto"/>
              <w:right w:val="single" w:sz="4" w:space="0" w:color="auto"/>
            </w:tcBorders>
            <w:shd w:val="clear" w:color="auto" w:fill="auto"/>
            <w:noWrap/>
            <w:hideMark/>
          </w:tcPr>
          <w:p w14:paraId="57BE84AF" w14:textId="77777777" w:rsidR="006F0BB0" w:rsidRPr="006F0BB0" w:rsidRDefault="006F0BB0" w:rsidP="007D1DBA">
            <w:pPr>
              <w:jc w:val="right"/>
              <w:rPr>
                <w:sz w:val="18"/>
                <w:szCs w:val="18"/>
                <w:lang w:val="es-419" w:eastAsia="es-419"/>
              </w:rPr>
            </w:pPr>
            <w:r w:rsidRPr="006F0BB0">
              <w:rPr>
                <w:sz w:val="18"/>
                <w:szCs w:val="18"/>
                <w:lang w:val="es-419" w:eastAsia="es-419"/>
              </w:rPr>
              <w:t>41,5%</w:t>
            </w:r>
          </w:p>
        </w:tc>
      </w:tr>
      <w:tr w:rsidR="006F0BB0" w:rsidRPr="006F0BB0" w14:paraId="06A7FB4D"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0353C22" w14:textId="77777777" w:rsidR="006F0BB0" w:rsidRPr="006F0BB0" w:rsidRDefault="006F0BB0" w:rsidP="007D1DBA">
            <w:pPr>
              <w:jc w:val="left"/>
              <w:rPr>
                <w:sz w:val="18"/>
                <w:szCs w:val="18"/>
                <w:lang w:val="es-419" w:eastAsia="es-419"/>
              </w:rPr>
            </w:pPr>
            <w:r w:rsidRPr="006F0BB0">
              <w:rPr>
                <w:sz w:val="18"/>
                <w:szCs w:val="18"/>
                <w:lang w:val="es-419" w:eastAsia="es-419"/>
              </w:rPr>
              <w:t>Tuvalu</w:t>
            </w:r>
          </w:p>
        </w:tc>
        <w:tc>
          <w:tcPr>
            <w:tcW w:w="950" w:type="dxa"/>
            <w:tcBorders>
              <w:top w:val="nil"/>
              <w:left w:val="nil"/>
              <w:bottom w:val="single" w:sz="4" w:space="0" w:color="auto"/>
              <w:right w:val="single" w:sz="4" w:space="0" w:color="auto"/>
            </w:tcBorders>
            <w:shd w:val="clear" w:color="auto" w:fill="auto"/>
            <w:noWrap/>
            <w:hideMark/>
          </w:tcPr>
          <w:p w14:paraId="2550B979" w14:textId="77777777" w:rsidR="006F0BB0" w:rsidRPr="006F0BB0" w:rsidRDefault="006F0BB0" w:rsidP="007D1DBA">
            <w:pPr>
              <w:jc w:val="right"/>
              <w:rPr>
                <w:sz w:val="18"/>
                <w:szCs w:val="18"/>
                <w:lang w:val="es-419" w:eastAsia="es-419"/>
              </w:rPr>
            </w:pPr>
            <w:r w:rsidRPr="006F0BB0">
              <w:rPr>
                <w:sz w:val="18"/>
                <w:szCs w:val="18"/>
                <w:lang w:val="es-419" w:eastAsia="es-419"/>
              </w:rPr>
              <w:t>1 006</w:t>
            </w:r>
          </w:p>
        </w:tc>
        <w:tc>
          <w:tcPr>
            <w:tcW w:w="950" w:type="dxa"/>
            <w:tcBorders>
              <w:top w:val="nil"/>
              <w:left w:val="nil"/>
              <w:bottom w:val="single" w:sz="4" w:space="0" w:color="auto"/>
              <w:right w:val="single" w:sz="4" w:space="0" w:color="auto"/>
            </w:tcBorders>
            <w:shd w:val="clear" w:color="auto" w:fill="auto"/>
            <w:noWrap/>
            <w:hideMark/>
          </w:tcPr>
          <w:p w14:paraId="24E8179F" w14:textId="77777777" w:rsidR="006F0BB0" w:rsidRPr="006F0BB0" w:rsidRDefault="006F0BB0" w:rsidP="007D1DBA">
            <w:pPr>
              <w:jc w:val="right"/>
              <w:rPr>
                <w:sz w:val="18"/>
                <w:szCs w:val="18"/>
                <w:lang w:val="es-419" w:eastAsia="es-419"/>
              </w:rPr>
            </w:pPr>
            <w:r w:rsidRPr="006F0BB0">
              <w:rPr>
                <w:sz w:val="18"/>
                <w:szCs w:val="18"/>
                <w:lang w:val="es-419" w:eastAsia="es-419"/>
              </w:rPr>
              <w:t>1 026</w:t>
            </w:r>
          </w:p>
        </w:tc>
        <w:tc>
          <w:tcPr>
            <w:tcW w:w="950" w:type="dxa"/>
            <w:tcBorders>
              <w:top w:val="nil"/>
              <w:left w:val="nil"/>
              <w:bottom w:val="single" w:sz="4" w:space="0" w:color="auto"/>
              <w:right w:val="single" w:sz="4" w:space="0" w:color="auto"/>
            </w:tcBorders>
            <w:shd w:val="clear" w:color="auto" w:fill="auto"/>
            <w:noWrap/>
            <w:hideMark/>
          </w:tcPr>
          <w:p w14:paraId="76DEFF3B" w14:textId="77777777" w:rsidR="006F0BB0" w:rsidRPr="006F0BB0" w:rsidRDefault="006F0BB0" w:rsidP="007D1DBA">
            <w:pPr>
              <w:jc w:val="right"/>
              <w:rPr>
                <w:sz w:val="18"/>
                <w:szCs w:val="18"/>
                <w:lang w:val="es-419" w:eastAsia="es-419"/>
              </w:rPr>
            </w:pPr>
            <w:r w:rsidRPr="006F0BB0">
              <w:rPr>
                <w:sz w:val="18"/>
                <w:szCs w:val="18"/>
                <w:lang w:val="es-419" w:eastAsia="es-419"/>
              </w:rPr>
              <w:t>1 047</w:t>
            </w:r>
          </w:p>
        </w:tc>
        <w:tc>
          <w:tcPr>
            <w:tcW w:w="978" w:type="dxa"/>
            <w:tcBorders>
              <w:top w:val="nil"/>
              <w:left w:val="nil"/>
              <w:bottom w:val="single" w:sz="4" w:space="0" w:color="auto"/>
              <w:right w:val="single" w:sz="4" w:space="0" w:color="auto"/>
            </w:tcBorders>
            <w:shd w:val="clear" w:color="auto" w:fill="auto"/>
            <w:noWrap/>
            <w:hideMark/>
          </w:tcPr>
          <w:p w14:paraId="63F27DC8" w14:textId="77777777" w:rsidR="006F0BB0" w:rsidRPr="006F0BB0" w:rsidRDefault="006F0BB0" w:rsidP="007D1DBA">
            <w:pPr>
              <w:jc w:val="right"/>
              <w:rPr>
                <w:sz w:val="18"/>
                <w:szCs w:val="18"/>
                <w:lang w:val="es-419" w:eastAsia="es-419"/>
              </w:rPr>
            </w:pPr>
            <w:r w:rsidRPr="006F0BB0">
              <w:rPr>
                <w:sz w:val="18"/>
                <w:szCs w:val="18"/>
                <w:lang w:val="es-419" w:eastAsia="es-419"/>
              </w:rPr>
              <w:t>1 068</w:t>
            </w:r>
          </w:p>
        </w:tc>
        <w:tc>
          <w:tcPr>
            <w:tcW w:w="950" w:type="dxa"/>
            <w:tcBorders>
              <w:top w:val="nil"/>
              <w:left w:val="nil"/>
              <w:bottom w:val="single" w:sz="4" w:space="0" w:color="auto"/>
              <w:right w:val="single" w:sz="4" w:space="0" w:color="auto"/>
            </w:tcBorders>
            <w:shd w:val="clear" w:color="auto" w:fill="auto"/>
            <w:noWrap/>
            <w:hideMark/>
          </w:tcPr>
          <w:p w14:paraId="68D04B87" w14:textId="77777777" w:rsidR="006F0BB0" w:rsidRPr="006F0BB0" w:rsidRDefault="006F0BB0" w:rsidP="007D1DBA">
            <w:pPr>
              <w:jc w:val="right"/>
              <w:rPr>
                <w:sz w:val="18"/>
                <w:szCs w:val="18"/>
                <w:lang w:val="es-419" w:eastAsia="es-419"/>
              </w:rPr>
            </w:pPr>
            <w:r w:rsidRPr="006F0BB0">
              <w:rPr>
                <w:sz w:val="18"/>
                <w:szCs w:val="18"/>
                <w:lang w:val="es-419" w:eastAsia="es-419"/>
              </w:rPr>
              <w:t>1 174</w:t>
            </w:r>
          </w:p>
        </w:tc>
        <w:tc>
          <w:tcPr>
            <w:tcW w:w="950" w:type="dxa"/>
            <w:tcBorders>
              <w:top w:val="nil"/>
              <w:left w:val="nil"/>
              <w:bottom w:val="single" w:sz="4" w:space="0" w:color="auto"/>
              <w:right w:val="single" w:sz="4" w:space="0" w:color="auto"/>
            </w:tcBorders>
            <w:shd w:val="clear" w:color="auto" w:fill="auto"/>
            <w:noWrap/>
            <w:hideMark/>
          </w:tcPr>
          <w:p w14:paraId="19EE6D23" w14:textId="77777777" w:rsidR="006F0BB0" w:rsidRPr="006F0BB0" w:rsidRDefault="006F0BB0" w:rsidP="007D1DBA">
            <w:pPr>
              <w:jc w:val="right"/>
              <w:rPr>
                <w:sz w:val="18"/>
                <w:szCs w:val="18"/>
                <w:lang w:val="es-419" w:eastAsia="es-419"/>
              </w:rPr>
            </w:pPr>
            <w:r w:rsidRPr="006F0BB0">
              <w:rPr>
                <w:sz w:val="18"/>
                <w:szCs w:val="18"/>
                <w:lang w:val="es-419" w:eastAsia="es-419"/>
              </w:rPr>
              <w:t>1 292</w:t>
            </w:r>
          </w:p>
        </w:tc>
        <w:tc>
          <w:tcPr>
            <w:tcW w:w="1076" w:type="dxa"/>
            <w:tcBorders>
              <w:top w:val="nil"/>
              <w:left w:val="nil"/>
              <w:bottom w:val="single" w:sz="4" w:space="0" w:color="auto"/>
              <w:right w:val="single" w:sz="4" w:space="0" w:color="auto"/>
            </w:tcBorders>
            <w:shd w:val="clear" w:color="auto" w:fill="auto"/>
            <w:noWrap/>
            <w:hideMark/>
          </w:tcPr>
          <w:p w14:paraId="6ADD8B30" w14:textId="77777777" w:rsidR="006F0BB0" w:rsidRPr="006F0BB0" w:rsidRDefault="006F0BB0" w:rsidP="007D1DBA">
            <w:pPr>
              <w:jc w:val="right"/>
              <w:rPr>
                <w:sz w:val="18"/>
                <w:szCs w:val="18"/>
                <w:lang w:val="es-419" w:eastAsia="es-419"/>
              </w:rPr>
            </w:pPr>
            <w:r w:rsidRPr="006F0BB0">
              <w:rPr>
                <w:sz w:val="18"/>
                <w:szCs w:val="18"/>
                <w:lang w:val="es-419" w:eastAsia="es-419"/>
              </w:rPr>
              <w:t>1 047</w:t>
            </w:r>
          </w:p>
        </w:tc>
        <w:tc>
          <w:tcPr>
            <w:tcW w:w="1034" w:type="dxa"/>
            <w:tcBorders>
              <w:top w:val="nil"/>
              <w:left w:val="nil"/>
              <w:bottom w:val="single" w:sz="4" w:space="0" w:color="auto"/>
              <w:right w:val="single" w:sz="4" w:space="0" w:color="auto"/>
            </w:tcBorders>
            <w:shd w:val="clear" w:color="auto" w:fill="auto"/>
            <w:noWrap/>
            <w:hideMark/>
          </w:tcPr>
          <w:p w14:paraId="5031A879" w14:textId="77777777" w:rsidR="006F0BB0" w:rsidRPr="006F0BB0" w:rsidRDefault="006F0BB0" w:rsidP="007D1DBA">
            <w:pPr>
              <w:jc w:val="right"/>
              <w:rPr>
                <w:sz w:val="18"/>
                <w:szCs w:val="18"/>
                <w:lang w:val="es-419" w:eastAsia="es-419"/>
              </w:rPr>
            </w:pPr>
            <w:r w:rsidRPr="006F0BB0">
              <w:rPr>
                <w:sz w:val="18"/>
                <w:szCs w:val="18"/>
                <w:lang w:val="es-419" w:eastAsia="es-419"/>
              </w:rPr>
              <w:t>2 980</w:t>
            </w:r>
          </w:p>
        </w:tc>
        <w:tc>
          <w:tcPr>
            <w:tcW w:w="1181" w:type="dxa"/>
            <w:tcBorders>
              <w:top w:val="nil"/>
              <w:left w:val="nil"/>
              <w:bottom w:val="single" w:sz="4" w:space="0" w:color="auto"/>
              <w:right w:val="single" w:sz="4" w:space="0" w:color="auto"/>
            </w:tcBorders>
            <w:shd w:val="clear" w:color="auto" w:fill="auto"/>
            <w:noWrap/>
            <w:hideMark/>
          </w:tcPr>
          <w:p w14:paraId="1C190380" w14:textId="77777777" w:rsidR="006F0BB0" w:rsidRPr="006F0BB0" w:rsidRDefault="006F0BB0" w:rsidP="007D1DBA">
            <w:pPr>
              <w:jc w:val="right"/>
              <w:rPr>
                <w:sz w:val="18"/>
                <w:szCs w:val="18"/>
                <w:lang w:val="es-419" w:eastAsia="es-419"/>
              </w:rPr>
            </w:pPr>
            <w:r w:rsidRPr="006F0BB0">
              <w:rPr>
                <w:sz w:val="18"/>
                <w:szCs w:val="18"/>
                <w:lang w:val="es-419" w:eastAsia="es-419"/>
              </w:rPr>
              <w:t>43,3%</w:t>
            </w:r>
          </w:p>
        </w:tc>
      </w:tr>
      <w:tr w:rsidR="006F0BB0" w:rsidRPr="006F0BB0" w14:paraId="2EBB993A"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607C7B"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Kenya</w:t>
            </w:r>
            <w:proofErr w:type="spellEnd"/>
          </w:p>
        </w:tc>
        <w:tc>
          <w:tcPr>
            <w:tcW w:w="950" w:type="dxa"/>
            <w:tcBorders>
              <w:top w:val="nil"/>
              <w:left w:val="nil"/>
              <w:bottom w:val="single" w:sz="4" w:space="0" w:color="auto"/>
              <w:right w:val="single" w:sz="4" w:space="0" w:color="auto"/>
            </w:tcBorders>
            <w:shd w:val="clear" w:color="auto" w:fill="auto"/>
            <w:noWrap/>
            <w:hideMark/>
          </w:tcPr>
          <w:p w14:paraId="11946DC7" w14:textId="77777777" w:rsidR="006F0BB0" w:rsidRPr="006F0BB0" w:rsidRDefault="006F0BB0" w:rsidP="007D1DBA">
            <w:pPr>
              <w:jc w:val="right"/>
              <w:rPr>
                <w:sz w:val="18"/>
                <w:szCs w:val="18"/>
                <w:lang w:val="es-419" w:eastAsia="es-419"/>
              </w:rPr>
            </w:pPr>
            <w:r w:rsidRPr="006F0BB0">
              <w:rPr>
                <w:sz w:val="18"/>
                <w:szCs w:val="18"/>
                <w:lang w:val="es-419" w:eastAsia="es-419"/>
              </w:rPr>
              <w:t>588 860</w:t>
            </w:r>
          </w:p>
        </w:tc>
        <w:tc>
          <w:tcPr>
            <w:tcW w:w="950" w:type="dxa"/>
            <w:tcBorders>
              <w:top w:val="nil"/>
              <w:left w:val="nil"/>
              <w:bottom w:val="single" w:sz="4" w:space="0" w:color="auto"/>
              <w:right w:val="single" w:sz="4" w:space="0" w:color="auto"/>
            </w:tcBorders>
            <w:shd w:val="clear" w:color="auto" w:fill="auto"/>
            <w:noWrap/>
            <w:hideMark/>
          </w:tcPr>
          <w:p w14:paraId="06441EC6" w14:textId="77777777" w:rsidR="006F0BB0" w:rsidRPr="006F0BB0" w:rsidRDefault="006F0BB0" w:rsidP="007D1DBA">
            <w:pPr>
              <w:jc w:val="right"/>
              <w:rPr>
                <w:sz w:val="18"/>
                <w:szCs w:val="18"/>
                <w:lang w:val="es-419" w:eastAsia="es-419"/>
              </w:rPr>
            </w:pPr>
            <w:r w:rsidRPr="006F0BB0">
              <w:rPr>
                <w:sz w:val="18"/>
                <w:szCs w:val="18"/>
                <w:lang w:val="es-419" w:eastAsia="es-419"/>
              </w:rPr>
              <w:t>600 637</w:t>
            </w:r>
          </w:p>
        </w:tc>
        <w:tc>
          <w:tcPr>
            <w:tcW w:w="950" w:type="dxa"/>
            <w:tcBorders>
              <w:top w:val="nil"/>
              <w:left w:val="nil"/>
              <w:bottom w:val="single" w:sz="4" w:space="0" w:color="auto"/>
              <w:right w:val="single" w:sz="4" w:space="0" w:color="auto"/>
            </w:tcBorders>
            <w:shd w:val="clear" w:color="auto" w:fill="auto"/>
            <w:noWrap/>
            <w:hideMark/>
          </w:tcPr>
          <w:p w14:paraId="7E5D3D3C" w14:textId="77777777" w:rsidR="006F0BB0" w:rsidRPr="006F0BB0" w:rsidRDefault="006F0BB0" w:rsidP="007D1DBA">
            <w:pPr>
              <w:jc w:val="right"/>
              <w:rPr>
                <w:sz w:val="18"/>
                <w:szCs w:val="18"/>
                <w:lang w:val="es-419" w:eastAsia="es-419"/>
              </w:rPr>
            </w:pPr>
            <w:r w:rsidRPr="006F0BB0">
              <w:rPr>
                <w:sz w:val="18"/>
                <w:szCs w:val="18"/>
                <w:lang w:val="es-419" w:eastAsia="es-419"/>
              </w:rPr>
              <w:t>612 650</w:t>
            </w:r>
          </w:p>
        </w:tc>
        <w:tc>
          <w:tcPr>
            <w:tcW w:w="978" w:type="dxa"/>
            <w:tcBorders>
              <w:top w:val="nil"/>
              <w:left w:val="nil"/>
              <w:bottom w:val="single" w:sz="4" w:space="0" w:color="auto"/>
              <w:right w:val="single" w:sz="4" w:space="0" w:color="auto"/>
            </w:tcBorders>
            <w:shd w:val="clear" w:color="auto" w:fill="auto"/>
            <w:noWrap/>
            <w:hideMark/>
          </w:tcPr>
          <w:p w14:paraId="5A03268C" w14:textId="77777777" w:rsidR="006F0BB0" w:rsidRPr="006F0BB0" w:rsidRDefault="006F0BB0" w:rsidP="007D1DBA">
            <w:pPr>
              <w:jc w:val="right"/>
              <w:rPr>
                <w:sz w:val="18"/>
                <w:szCs w:val="18"/>
                <w:lang w:val="es-419" w:eastAsia="es-419"/>
              </w:rPr>
            </w:pPr>
            <w:r w:rsidRPr="006F0BB0">
              <w:rPr>
                <w:sz w:val="18"/>
                <w:szCs w:val="18"/>
                <w:lang w:val="es-419" w:eastAsia="es-419"/>
              </w:rPr>
              <w:t>624 903</w:t>
            </w:r>
          </w:p>
        </w:tc>
        <w:tc>
          <w:tcPr>
            <w:tcW w:w="950" w:type="dxa"/>
            <w:tcBorders>
              <w:top w:val="nil"/>
              <w:left w:val="nil"/>
              <w:bottom w:val="single" w:sz="4" w:space="0" w:color="auto"/>
              <w:right w:val="single" w:sz="4" w:space="0" w:color="auto"/>
            </w:tcBorders>
            <w:shd w:val="clear" w:color="auto" w:fill="auto"/>
            <w:noWrap/>
            <w:hideMark/>
          </w:tcPr>
          <w:p w14:paraId="45EABD86" w14:textId="77777777" w:rsidR="006F0BB0" w:rsidRPr="006F0BB0" w:rsidRDefault="006F0BB0" w:rsidP="007D1DBA">
            <w:pPr>
              <w:jc w:val="right"/>
              <w:rPr>
                <w:sz w:val="18"/>
                <w:szCs w:val="18"/>
                <w:lang w:val="es-419" w:eastAsia="es-419"/>
              </w:rPr>
            </w:pPr>
            <w:r w:rsidRPr="006F0BB0">
              <w:rPr>
                <w:sz w:val="18"/>
                <w:szCs w:val="18"/>
                <w:lang w:val="es-419" w:eastAsia="es-419"/>
              </w:rPr>
              <w:t>687 393</w:t>
            </w:r>
          </w:p>
        </w:tc>
        <w:tc>
          <w:tcPr>
            <w:tcW w:w="950" w:type="dxa"/>
            <w:tcBorders>
              <w:top w:val="nil"/>
              <w:left w:val="nil"/>
              <w:bottom w:val="single" w:sz="4" w:space="0" w:color="auto"/>
              <w:right w:val="single" w:sz="4" w:space="0" w:color="auto"/>
            </w:tcBorders>
            <w:shd w:val="clear" w:color="auto" w:fill="auto"/>
            <w:noWrap/>
            <w:hideMark/>
          </w:tcPr>
          <w:p w14:paraId="59759066" w14:textId="77777777" w:rsidR="006F0BB0" w:rsidRPr="006F0BB0" w:rsidRDefault="006F0BB0" w:rsidP="007D1DBA">
            <w:pPr>
              <w:jc w:val="right"/>
              <w:rPr>
                <w:sz w:val="18"/>
                <w:szCs w:val="18"/>
                <w:lang w:val="es-419" w:eastAsia="es-419"/>
              </w:rPr>
            </w:pPr>
            <w:r w:rsidRPr="006F0BB0">
              <w:rPr>
                <w:sz w:val="18"/>
                <w:szCs w:val="18"/>
                <w:lang w:val="es-419" w:eastAsia="es-419"/>
              </w:rPr>
              <w:t>756 133</w:t>
            </w:r>
          </w:p>
        </w:tc>
        <w:tc>
          <w:tcPr>
            <w:tcW w:w="1076" w:type="dxa"/>
            <w:tcBorders>
              <w:top w:val="nil"/>
              <w:left w:val="nil"/>
              <w:bottom w:val="single" w:sz="4" w:space="0" w:color="auto"/>
              <w:right w:val="single" w:sz="4" w:space="0" w:color="auto"/>
            </w:tcBorders>
            <w:shd w:val="clear" w:color="auto" w:fill="auto"/>
            <w:noWrap/>
            <w:hideMark/>
          </w:tcPr>
          <w:p w14:paraId="0E318747" w14:textId="77777777" w:rsidR="006F0BB0" w:rsidRPr="006F0BB0" w:rsidRDefault="006F0BB0" w:rsidP="007D1DBA">
            <w:pPr>
              <w:jc w:val="right"/>
              <w:rPr>
                <w:sz w:val="18"/>
                <w:szCs w:val="18"/>
                <w:lang w:val="es-419" w:eastAsia="es-419"/>
              </w:rPr>
            </w:pPr>
            <w:r w:rsidRPr="006F0BB0">
              <w:rPr>
                <w:sz w:val="18"/>
                <w:szCs w:val="18"/>
                <w:lang w:val="es-419" w:eastAsia="es-419"/>
              </w:rPr>
              <w:t>612 730</w:t>
            </w:r>
          </w:p>
        </w:tc>
        <w:tc>
          <w:tcPr>
            <w:tcW w:w="1034" w:type="dxa"/>
            <w:tcBorders>
              <w:top w:val="nil"/>
              <w:left w:val="nil"/>
              <w:bottom w:val="single" w:sz="4" w:space="0" w:color="auto"/>
              <w:right w:val="single" w:sz="4" w:space="0" w:color="auto"/>
            </w:tcBorders>
            <w:shd w:val="clear" w:color="auto" w:fill="auto"/>
            <w:noWrap/>
            <w:hideMark/>
          </w:tcPr>
          <w:p w14:paraId="1D1F69B0" w14:textId="77777777" w:rsidR="006F0BB0" w:rsidRPr="006F0BB0" w:rsidRDefault="006F0BB0" w:rsidP="007D1DBA">
            <w:pPr>
              <w:jc w:val="right"/>
              <w:rPr>
                <w:sz w:val="18"/>
                <w:szCs w:val="18"/>
                <w:lang w:val="es-419" w:eastAsia="es-419"/>
              </w:rPr>
            </w:pPr>
            <w:r w:rsidRPr="006F0BB0">
              <w:rPr>
                <w:sz w:val="18"/>
                <w:szCs w:val="18"/>
                <w:lang w:val="es-419" w:eastAsia="es-419"/>
              </w:rPr>
              <w:t>1 728 234</w:t>
            </w:r>
          </w:p>
        </w:tc>
        <w:tc>
          <w:tcPr>
            <w:tcW w:w="1181" w:type="dxa"/>
            <w:tcBorders>
              <w:top w:val="nil"/>
              <w:left w:val="nil"/>
              <w:bottom w:val="single" w:sz="4" w:space="0" w:color="auto"/>
              <w:right w:val="single" w:sz="4" w:space="0" w:color="auto"/>
            </w:tcBorders>
            <w:shd w:val="clear" w:color="auto" w:fill="auto"/>
            <w:noWrap/>
            <w:hideMark/>
          </w:tcPr>
          <w:p w14:paraId="592655EF" w14:textId="77777777" w:rsidR="006F0BB0" w:rsidRPr="006F0BB0" w:rsidRDefault="006F0BB0" w:rsidP="007D1DBA">
            <w:pPr>
              <w:jc w:val="right"/>
              <w:rPr>
                <w:sz w:val="18"/>
                <w:szCs w:val="18"/>
                <w:lang w:val="es-419" w:eastAsia="es-419"/>
              </w:rPr>
            </w:pPr>
            <w:r w:rsidRPr="006F0BB0">
              <w:rPr>
                <w:sz w:val="18"/>
                <w:szCs w:val="18"/>
                <w:lang w:val="es-419" w:eastAsia="es-419"/>
              </w:rPr>
              <w:t>43,8%</w:t>
            </w:r>
          </w:p>
        </w:tc>
      </w:tr>
      <w:tr w:rsidR="006F0BB0" w:rsidRPr="006F0BB0" w14:paraId="767F0F6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F21305" w14:textId="77777777" w:rsidR="006F0BB0" w:rsidRPr="006F0BB0" w:rsidRDefault="006F0BB0" w:rsidP="007D1DBA">
            <w:pPr>
              <w:jc w:val="left"/>
              <w:rPr>
                <w:sz w:val="18"/>
                <w:szCs w:val="18"/>
                <w:lang w:val="es-419" w:eastAsia="es-419"/>
              </w:rPr>
            </w:pPr>
            <w:r w:rsidRPr="006F0BB0">
              <w:rPr>
                <w:sz w:val="18"/>
                <w:szCs w:val="18"/>
                <w:lang w:val="es-419" w:eastAsia="es-419"/>
              </w:rPr>
              <w:t>Afganistán</w:t>
            </w:r>
          </w:p>
        </w:tc>
        <w:tc>
          <w:tcPr>
            <w:tcW w:w="950" w:type="dxa"/>
            <w:tcBorders>
              <w:top w:val="nil"/>
              <w:left w:val="nil"/>
              <w:bottom w:val="single" w:sz="4" w:space="0" w:color="auto"/>
              <w:right w:val="single" w:sz="4" w:space="0" w:color="auto"/>
            </w:tcBorders>
            <w:shd w:val="clear" w:color="auto" w:fill="auto"/>
            <w:noWrap/>
            <w:hideMark/>
          </w:tcPr>
          <w:p w14:paraId="7AD0958F" w14:textId="77777777" w:rsidR="006F0BB0" w:rsidRPr="006F0BB0" w:rsidRDefault="006F0BB0" w:rsidP="007D1DBA">
            <w:pPr>
              <w:jc w:val="right"/>
              <w:rPr>
                <w:sz w:val="18"/>
                <w:szCs w:val="18"/>
                <w:lang w:val="es-419" w:eastAsia="es-419"/>
              </w:rPr>
            </w:pPr>
            <w:r w:rsidRPr="006F0BB0">
              <w:rPr>
                <w:sz w:val="18"/>
                <w:szCs w:val="18"/>
                <w:lang w:val="es-419" w:eastAsia="es-419"/>
              </w:rPr>
              <w:t>275 000</w:t>
            </w:r>
          </w:p>
        </w:tc>
        <w:tc>
          <w:tcPr>
            <w:tcW w:w="950" w:type="dxa"/>
            <w:tcBorders>
              <w:top w:val="nil"/>
              <w:left w:val="nil"/>
              <w:bottom w:val="single" w:sz="4" w:space="0" w:color="auto"/>
              <w:right w:val="single" w:sz="4" w:space="0" w:color="auto"/>
            </w:tcBorders>
            <w:shd w:val="clear" w:color="auto" w:fill="auto"/>
            <w:noWrap/>
            <w:hideMark/>
          </w:tcPr>
          <w:p w14:paraId="2F067AC6" w14:textId="77777777" w:rsidR="006F0BB0" w:rsidRPr="006F0BB0" w:rsidRDefault="006F0BB0" w:rsidP="007D1DBA">
            <w:pPr>
              <w:jc w:val="right"/>
              <w:rPr>
                <w:sz w:val="18"/>
                <w:szCs w:val="18"/>
                <w:lang w:val="es-419" w:eastAsia="es-419"/>
              </w:rPr>
            </w:pPr>
            <w:r w:rsidRPr="006F0BB0">
              <w:rPr>
                <w:sz w:val="18"/>
                <w:szCs w:val="18"/>
                <w:lang w:val="es-419" w:eastAsia="es-419"/>
              </w:rPr>
              <w:t>280 500</w:t>
            </w:r>
          </w:p>
        </w:tc>
        <w:tc>
          <w:tcPr>
            <w:tcW w:w="950" w:type="dxa"/>
            <w:tcBorders>
              <w:top w:val="nil"/>
              <w:left w:val="nil"/>
              <w:bottom w:val="single" w:sz="4" w:space="0" w:color="auto"/>
              <w:right w:val="single" w:sz="4" w:space="0" w:color="auto"/>
            </w:tcBorders>
            <w:shd w:val="clear" w:color="auto" w:fill="auto"/>
            <w:noWrap/>
            <w:hideMark/>
          </w:tcPr>
          <w:p w14:paraId="26A0C018" w14:textId="77777777" w:rsidR="006F0BB0" w:rsidRPr="006F0BB0" w:rsidRDefault="006F0BB0" w:rsidP="007D1DBA">
            <w:pPr>
              <w:jc w:val="right"/>
              <w:rPr>
                <w:sz w:val="18"/>
                <w:szCs w:val="18"/>
                <w:lang w:val="es-419" w:eastAsia="es-419"/>
              </w:rPr>
            </w:pPr>
            <w:r w:rsidRPr="006F0BB0">
              <w:rPr>
                <w:sz w:val="18"/>
                <w:szCs w:val="18"/>
                <w:lang w:val="es-419" w:eastAsia="es-419"/>
              </w:rPr>
              <w:t>286 110</w:t>
            </w:r>
          </w:p>
        </w:tc>
        <w:tc>
          <w:tcPr>
            <w:tcW w:w="978" w:type="dxa"/>
            <w:tcBorders>
              <w:top w:val="nil"/>
              <w:left w:val="nil"/>
              <w:bottom w:val="single" w:sz="4" w:space="0" w:color="auto"/>
              <w:right w:val="single" w:sz="4" w:space="0" w:color="auto"/>
            </w:tcBorders>
            <w:shd w:val="clear" w:color="auto" w:fill="auto"/>
            <w:noWrap/>
            <w:hideMark/>
          </w:tcPr>
          <w:p w14:paraId="7FF61B1A" w14:textId="77777777" w:rsidR="006F0BB0" w:rsidRPr="006F0BB0" w:rsidRDefault="006F0BB0" w:rsidP="007D1DBA">
            <w:pPr>
              <w:jc w:val="right"/>
              <w:rPr>
                <w:sz w:val="18"/>
                <w:szCs w:val="18"/>
                <w:lang w:val="es-419" w:eastAsia="es-419"/>
              </w:rPr>
            </w:pPr>
            <w:r w:rsidRPr="006F0BB0">
              <w:rPr>
                <w:sz w:val="18"/>
                <w:szCs w:val="18"/>
                <w:lang w:val="es-419" w:eastAsia="es-419"/>
              </w:rPr>
              <w:t>291 832</w:t>
            </w:r>
          </w:p>
        </w:tc>
        <w:tc>
          <w:tcPr>
            <w:tcW w:w="950" w:type="dxa"/>
            <w:tcBorders>
              <w:top w:val="nil"/>
              <w:left w:val="nil"/>
              <w:bottom w:val="single" w:sz="4" w:space="0" w:color="auto"/>
              <w:right w:val="single" w:sz="4" w:space="0" w:color="auto"/>
            </w:tcBorders>
            <w:shd w:val="clear" w:color="auto" w:fill="auto"/>
            <w:noWrap/>
            <w:hideMark/>
          </w:tcPr>
          <w:p w14:paraId="1F7AB21A" w14:textId="77777777" w:rsidR="006F0BB0" w:rsidRPr="006F0BB0" w:rsidRDefault="006F0BB0" w:rsidP="007D1DBA">
            <w:pPr>
              <w:jc w:val="right"/>
              <w:rPr>
                <w:sz w:val="18"/>
                <w:szCs w:val="18"/>
                <w:lang w:val="es-419" w:eastAsia="es-419"/>
              </w:rPr>
            </w:pPr>
            <w:r w:rsidRPr="006F0BB0">
              <w:rPr>
                <w:sz w:val="18"/>
                <w:szCs w:val="18"/>
                <w:lang w:val="es-419" w:eastAsia="es-419"/>
              </w:rPr>
              <w:t>321 015</w:t>
            </w:r>
          </w:p>
        </w:tc>
        <w:tc>
          <w:tcPr>
            <w:tcW w:w="950" w:type="dxa"/>
            <w:tcBorders>
              <w:top w:val="nil"/>
              <w:left w:val="nil"/>
              <w:bottom w:val="single" w:sz="4" w:space="0" w:color="auto"/>
              <w:right w:val="single" w:sz="4" w:space="0" w:color="auto"/>
            </w:tcBorders>
            <w:shd w:val="clear" w:color="auto" w:fill="auto"/>
            <w:noWrap/>
            <w:hideMark/>
          </w:tcPr>
          <w:p w14:paraId="410F5A73" w14:textId="77777777" w:rsidR="006F0BB0" w:rsidRPr="006F0BB0" w:rsidRDefault="006F0BB0" w:rsidP="007D1DBA">
            <w:pPr>
              <w:jc w:val="right"/>
              <w:rPr>
                <w:sz w:val="18"/>
                <w:szCs w:val="18"/>
                <w:lang w:val="es-419" w:eastAsia="es-419"/>
              </w:rPr>
            </w:pPr>
            <w:r w:rsidRPr="006F0BB0">
              <w:rPr>
                <w:sz w:val="18"/>
                <w:szCs w:val="18"/>
                <w:lang w:val="es-419" w:eastAsia="es-419"/>
              </w:rPr>
              <w:t>353 117</w:t>
            </w:r>
          </w:p>
        </w:tc>
        <w:tc>
          <w:tcPr>
            <w:tcW w:w="1076" w:type="dxa"/>
            <w:tcBorders>
              <w:top w:val="nil"/>
              <w:left w:val="nil"/>
              <w:bottom w:val="single" w:sz="4" w:space="0" w:color="auto"/>
              <w:right w:val="single" w:sz="4" w:space="0" w:color="auto"/>
            </w:tcBorders>
            <w:shd w:val="clear" w:color="auto" w:fill="auto"/>
            <w:noWrap/>
            <w:hideMark/>
          </w:tcPr>
          <w:p w14:paraId="050DC0CD" w14:textId="77777777" w:rsidR="006F0BB0" w:rsidRPr="006F0BB0" w:rsidRDefault="006F0BB0" w:rsidP="007D1DBA">
            <w:pPr>
              <w:jc w:val="right"/>
              <w:rPr>
                <w:sz w:val="18"/>
                <w:szCs w:val="18"/>
                <w:lang w:val="es-419" w:eastAsia="es-419"/>
              </w:rPr>
            </w:pPr>
            <w:r w:rsidRPr="006F0BB0">
              <w:rPr>
                <w:sz w:val="18"/>
                <w:szCs w:val="18"/>
                <w:lang w:val="es-419" w:eastAsia="es-419"/>
              </w:rPr>
              <w:t>286 147</w:t>
            </w:r>
          </w:p>
        </w:tc>
        <w:tc>
          <w:tcPr>
            <w:tcW w:w="1034" w:type="dxa"/>
            <w:tcBorders>
              <w:top w:val="nil"/>
              <w:left w:val="nil"/>
              <w:bottom w:val="single" w:sz="4" w:space="0" w:color="auto"/>
              <w:right w:val="single" w:sz="4" w:space="0" w:color="auto"/>
            </w:tcBorders>
            <w:shd w:val="clear" w:color="auto" w:fill="auto"/>
            <w:noWrap/>
            <w:hideMark/>
          </w:tcPr>
          <w:p w14:paraId="7BAA35D6" w14:textId="77777777" w:rsidR="006F0BB0" w:rsidRPr="006F0BB0" w:rsidRDefault="006F0BB0" w:rsidP="007D1DBA">
            <w:pPr>
              <w:jc w:val="right"/>
              <w:rPr>
                <w:sz w:val="18"/>
                <w:szCs w:val="18"/>
                <w:lang w:val="es-419" w:eastAsia="es-419"/>
              </w:rPr>
            </w:pPr>
            <w:r w:rsidRPr="006F0BB0">
              <w:rPr>
                <w:sz w:val="18"/>
                <w:szCs w:val="18"/>
                <w:lang w:val="es-419" w:eastAsia="es-419"/>
              </w:rPr>
              <w:t>789 395</w:t>
            </w:r>
          </w:p>
        </w:tc>
        <w:tc>
          <w:tcPr>
            <w:tcW w:w="1181" w:type="dxa"/>
            <w:tcBorders>
              <w:top w:val="nil"/>
              <w:left w:val="nil"/>
              <w:bottom w:val="single" w:sz="4" w:space="0" w:color="auto"/>
              <w:right w:val="single" w:sz="4" w:space="0" w:color="auto"/>
            </w:tcBorders>
            <w:shd w:val="clear" w:color="auto" w:fill="auto"/>
            <w:noWrap/>
            <w:hideMark/>
          </w:tcPr>
          <w:p w14:paraId="4BE049E1" w14:textId="77777777" w:rsidR="006F0BB0" w:rsidRPr="006F0BB0" w:rsidRDefault="006F0BB0" w:rsidP="007D1DBA">
            <w:pPr>
              <w:jc w:val="right"/>
              <w:rPr>
                <w:sz w:val="18"/>
                <w:szCs w:val="18"/>
                <w:lang w:val="es-419" w:eastAsia="es-419"/>
              </w:rPr>
            </w:pPr>
            <w:r w:rsidRPr="006F0BB0">
              <w:rPr>
                <w:sz w:val="18"/>
                <w:szCs w:val="18"/>
                <w:lang w:val="es-419" w:eastAsia="es-419"/>
              </w:rPr>
              <w:t>44,7%</w:t>
            </w:r>
          </w:p>
        </w:tc>
      </w:tr>
      <w:tr w:rsidR="006F0BB0" w:rsidRPr="006F0BB0" w14:paraId="3CA5ED4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7E09DB" w14:textId="77777777" w:rsidR="006F0BB0" w:rsidRPr="006F0BB0" w:rsidRDefault="006F0BB0" w:rsidP="007D1DBA">
            <w:pPr>
              <w:jc w:val="left"/>
              <w:rPr>
                <w:sz w:val="18"/>
                <w:szCs w:val="18"/>
                <w:lang w:val="es-419" w:eastAsia="es-419"/>
              </w:rPr>
            </w:pPr>
            <w:r w:rsidRPr="006F0BB0">
              <w:rPr>
                <w:sz w:val="18"/>
                <w:szCs w:val="18"/>
                <w:lang w:val="es-419" w:eastAsia="es-419"/>
              </w:rPr>
              <w:t>Tonga</w:t>
            </w:r>
          </w:p>
        </w:tc>
        <w:tc>
          <w:tcPr>
            <w:tcW w:w="950" w:type="dxa"/>
            <w:tcBorders>
              <w:top w:val="nil"/>
              <w:left w:val="nil"/>
              <w:bottom w:val="single" w:sz="4" w:space="0" w:color="auto"/>
              <w:right w:val="single" w:sz="4" w:space="0" w:color="auto"/>
            </w:tcBorders>
            <w:shd w:val="clear" w:color="auto" w:fill="auto"/>
            <w:noWrap/>
            <w:hideMark/>
          </w:tcPr>
          <w:p w14:paraId="154CD5BA" w14:textId="77777777" w:rsidR="006F0BB0" w:rsidRPr="006F0BB0" w:rsidRDefault="006F0BB0" w:rsidP="007D1DBA">
            <w:pPr>
              <w:jc w:val="right"/>
              <w:rPr>
                <w:sz w:val="18"/>
                <w:szCs w:val="18"/>
                <w:lang w:val="es-419" w:eastAsia="es-419"/>
              </w:rPr>
            </w:pPr>
            <w:r w:rsidRPr="006F0BB0">
              <w:rPr>
                <w:sz w:val="18"/>
                <w:szCs w:val="18"/>
                <w:lang w:val="es-419" w:eastAsia="es-419"/>
              </w:rPr>
              <w:t>1 802</w:t>
            </w:r>
          </w:p>
        </w:tc>
        <w:tc>
          <w:tcPr>
            <w:tcW w:w="950" w:type="dxa"/>
            <w:tcBorders>
              <w:top w:val="nil"/>
              <w:left w:val="nil"/>
              <w:bottom w:val="single" w:sz="4" w:space="0" w:color="auto"/>
              <w:right w:val="single" w:sz="4" w:space="0" w:color="auto"/>
            </w:tcBorders>
            <w:shd w:val="clear" w:color="auto" w:fill="auto"/>
            <w:noWrap/>
            <w:hideMark/>
          </w:tcPr>
          <w:p w14:paraId="3FAFF8C4" w14:textId="77777777" w:rsidR="006F0BB0" w:rsidRPr="006F0BB0" w:rsidRDefault="006F0BB0" w:rsidP="007D1DBA">
            <w:pPr>
              <w:jc w:val="right"/>
              <w:rPr>
                <w:sz w:val="18"/>
                <w:szCs w:val="18"/>
                <w:lang w:val="es-419" w:eastAsia="es-419"/>
              </w:rPr>
            </w:pPr>
            <w:r w:rsidRPr="006F0BB0">
              <w:rPr>
                <w:sz w:val="18"/>
                <w:szCs w:val="18"/>
                <w:lang w:val="es-419" w:eastAsia="es-419"/>
              </w:rPr>
              <w:t>1 838</w:t>
            </w:r>
          </w:p>
        </w:tc>
        <w:tc>
          <w:tcPr>
            <w:tcW w:w="950" w:type="dxa"/>
            <w:tcBorders>
              <w:top w:val="nil"/>
              <w:left w:val="nil"/>
              <w:bottom w:val="single" w:sz="4" w:space="0" w:color="auto"/>
              <w:right w:val="single" w:sz="4" w:space="0" w:color="auto"/>
            </w:tcBorders>
            <w:shd w:val="clear" w:color="auto" w:fill="auto"/>
            <w:noWrap/>
            <w:hideMark/>
          </w:tcPr>
          <w:p w14:paraId="5CE759E2" w14:textId="77777777" w:rsidR="006F0BB0" w:rsidRPr="006F0BB0" w:rsidRDefault="006F0BB0" w:rsidP="007D1DBA">
            <w:pPr>
              <w:jc w:val="right"/>
              <w:rPr>
                <w:sz w:val="18"/>
                <w:szCs w:val="18"/>
                <w:lang w:val="es-419" w:eastAsia="es-419"/>
              </w:rPr>
            </w:pPr>
            <w:r w:rsidRPr="006F0BB0">
              <w:rPr>
                <w:sz w:val="18"/>
                <w:szCs w:val="18"/>
                <w:lang w:val="es-419" w:eastAsia="es-419"/>
              </w:rPr>
              <w:t>1 875</w:t>
            </w:r>
          </w:p>
        </w:tc>
        <w:tc>
          <w:tcPr>
            <w:tcW w:w="978" w:type="dxa"/>
            <w:tcBorders>
              <w:top w:val="nil"/>
              <w:left w:val="nil"/>
              <w:bottom w:val="single" w:sz="4" w:space="0" w:color="auto"/>
              <w:right w:val="single" w:sz="4" w:space="0" w:color="auto"/>
            </w:tcBorders>
            <w:shd w:val="clear" w:color="auto" w:fill="auto"/>
            <w:noWrap/>
            <w:hideMark/>
          </w:tcPr>
          <w:p w14:paraId="32701569" w14:textId="77777777" w:rsidR="006F0BB0" w:rsidRPr="006F0BB0" w:rsidRDefault="006F0BB0" w:rsidP="007D1DBA">
            <w:pPr>
              <w:jc w:val="right"/>
              <w:rPr>
                <w:sz w:val="18"/>
                <w:szCs w:val="18"/>
                <w:lang w:val="es-419" w:eastAsia="es-419"/>
              </w:rPr>
            </w:pPr>
            <w:r w:rsidRPr="006F0BB0">
              <w:rPr>
                <w:sz w:val="18"/>
                <w:szCs w:val="18"/>
                <w:lang w:val="es-419" w:eastAsia="es-419"/>
              </w:rPr>
              <w:t>1 912</w:t>
            </w:r>
          </w:p>
        </w:tc>
        <w:tc>
          <w:tcPr>
            <w:tcW w:w="950" w:type="dxa"/>
            <w:tcBorders>
              <w:top w:val="nil"/>
              <w:left w:val="nil"/>
              <w:bottom w:val="single" w:sz="4" w:space="0" w:color="auto"/>
              <w:right w:val="single" w:sz="4" w:space="0" w:color="auto"/>
            </w:tcBorders>
            <w:shd w:val="clear" w:color="auto" w:fill="auto"/>
            <w:noWrap/>
            <w:hideMark/>
          </w:tcPr>
          <w:p w14:paraId="10F21C9D" w14:textId="77777777" w:rsidR="006F0BB0" w:rsidRPr="006F0BB0" w:rsidRDefault="006F0BB0" w:rsidP="007D1DBA">
            <w:pPr>
              <w:jc w:val="right"/>
              <w:rPr>
                <w:sz w:val="18"/>
                <w:szCs w:val="18"/>
                <w:lang w:val="es-419" w:eastAsia="es-419"/>
              </w:rPr>
            </w:pPr>
            <w:r w:rsidRPr="006F0BB0">
              <w:rPr>
                <w:sz w:val="18"/>
                <w:szCs w:val="18"/>
                <w:lang w:val="es-419" w:eastAsia="es-419"/>
              </w:rPr>
              <w:t>2 104</w:t>
            </w:r>
          </w:p>
        </w:tc>
        <w:tc>
          <w:tcPr>
            <w:tcW w:w="950" w:type="dxa"/>
            <w:tcBorders>
              <w:top w:val="nil"/>
              <w:left w:val="nil"/>
              <w:bottom w:val="single" w:sz="4" w:space="0" w:color="auto"/>
              <w:right w:val="single" w:sz="4" w:space="0" w:color="auto"/>
            </w:tcBorders>
            <w:shd w:val="clear" w:color="auto" w:fill="auto"/>
            <w:noWrap/>
            <w:hideMark/>
          </w:tcPr>
          <w:p w14:paraId="334060BE" w14:textId="77777777" w:rsidR="006F0BB0" w:rsidRPr="006F0BB0" w:rsidRDefault="006F0BB0" w:rsidP="007D1DBA">
            <w:pPr>
              <w:jc w:val="right"/>
              <w:rPr>
                <w:sz w:val="18"/>
                <w:szCs w:val="18"/>
                <w:lang w:val="es-419" w:eastAsia="es-419"/>
              </w:rPr>
            </w:pPr>
            <w:r w:rsidRPr="006F0BB0">
              <w:rPr>
                <w:sz w:val="18"/>
                <w:szCs w:val="18"/>
                <w:lang w:val="es-419" w:eastAsia="es-419"/>
              </w:rPr>
              <w:t>2 314</w:t>
            </w:r>
          </w:p>
        </w:tc>
        <w:tc>
          <w:tcPr>
            <w:tcW w:w="1076" w:type="dxa"/>
            <w:tcBorders>
              <w:top w:val="nil"/>
              <w:left w:val="nil"/>
              <w:bottom w:val="single" w:sz="4" w:space="0" w:color="auto"/>
              <w:right w:val="single" w:sz="4" w:space="0" w:color="auto"/>
            </w:tcBorders>
            <w:shd w:val="clear" w:color="auto" w:fill="auto"/>
            <w:noWrap/>
            <w:hideMark/>
          </w:tcPr>
          <w:p w14:paraId="47CC2B38" w14:textId="77777777" w:rsidR="006F0BB0" w:rsidRPr="006F0BB0" w:rsidRDefault="006F0BB0" w:rsidP="007D1DBA">
            <w:pPr>
              <w:jc w:val="right"/>
              <w:rPr>
                <w:sz w:val="18"/>
                <w:szCs w:val="18"/>
                <w:lang w:val="es-419" w:eastAsia="es-419"/>
              </w:rPr>
            </w:pPr>
            <w:r w:rsidRPr="006F0BB0">
              <w:rPr>
                <w:sz w:val="18"/>
                <w:szCs w:val="18"/>
                <w:lang w:val="es-419" w:eastAsia="es-419"/>
              </w:rPr>
              <w:t>1 875</w:t>
            </w:r>
          </w:p>
        </w:tc>
        <w:tc>
          <w:tcPr>
            <w:tcW w:w="1034" w:type="dxa"/>
            <w:tcBorders>
              <w:top w:val="nil"/>
              <w:left w:val="nil"/>
              <w:bottom w:val="single" w:sz="4" w:space="0" w:color="auto"/>
              <w:right w:val="single" w:sz="4" w:space="0" w:color="auto"/>
            </w:tcBorders>
            <w:shd w:val="clear" w:color="auto" w:fill="auto"/>
            <w:noWrap/>
            <w:hideMark/>
          </w:tcPr>
          <w:p w14:paraId="7EA2E725" w14:textId="77777777" w:rsidR="006F0BB0" w:rsidRPr="006F0BB0" w:rsidRDefault="006F0BB0" w:rsidP="007D1DBA">
            <w:pPr>
              <w:jc w:val="right"/>
              <w:rPr>
                <w:sz w:val="18"/>
                <w:szCs w:val="18"/>
                <w:lang w:val="es-419" w:eastAsia="es-419"/>
              </w:rPr>
            </w:pPr>
            <w:r w:rsidRPr="006F0BB0">
              <w:rPr>
                <w:sz w:val="18"/>
                <w:szCs w:val="18"/>
                <w:lang w:val="es-419" w:eastAsia="es-419"/>
              </w:rPr>
              <w:t>4 875</w:t>
            </w:r>
          </w:p>
        </w:tc>
        <w:tc>
          <w:tcPr>
            <w:tcW w:w="1181" w:type="dxa"/>
            <w:tcBorders>
              <w:top w:val="nil"/>
              <w:left w:val="nil"/>
              <w:bottom w:val="single" w:sz="4" w:space="0" w:color="auto"/>
              <w:right w:val="single" w:sz="4" w:space="0" w:color="auto"/>
            </w:tcBorders>
            <w:shd w:val="clear" w:color="auto" w:fill="auto"/>
            <w:noWrap/>
            <w:hideMark/>
          </w:tcPr>
          <w:p w14:paraId="4A8A748C" w14:textId="77777777" w:rsidR="006F0BB0" w:rsidRPr="006F0BB0" w:rsidRDefault="006F0BB0" w:rsidP="007D1DBA">
            <w:pPr>
              <w:jc w:val="right"/>
              <w:rPr>
                <w:sz w:val="18"/>
                <w:szCs w:val="18"/>
                <w:lang w:val="es-419" w:eastAsia="es-419"/>
              </w:rPr>
            </w:pPr>
            <w:r w:rsidRPr="006F0BB0">
              <w:rPr>
                <w:sz w:val="18"/>
                <w:szCs w:val="18"/>
                <w:lang w:val="es-419" w:eastAsia="es-419"/>
              </w:rPr>
              <w:t>47,5%</w:t>
            </w:r>
          </w:p>
        </w:tc>
      </w:tr>
      <w:tr w:rsidR="006F0BB0" w:rsidRPr="006F0BB0" w14:paraId="3E8FFFE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8DD05B" w14:textId="77777777" w:rsidR="006F0BB0" w:rsidRPr="006F0BB0" w:rsidRDefault="006F0BB0" w:rsidP="007D1DBA">
            <w:pPr>
              <w:jc w:val="left"/>
              <w:rPr>
                <w:sz w:val="18"/>
                <w:szCs w:val="18"/>
                <w:lang w:val="es-419" w:eastAsia="es-419"/>
              </w:rPr>
            </w:pPr>
            <w:r w:rsidRPr="006F0BB0">
              <w:rPr>
                <w:sz w:val="18"/>
                <w:szCs w:val="18"/>
                <w:lang w:val="es-419" w:eastAsia="es-419"/>
              </w:rPr>
              <w:t>Antigua y Barbuda</w:t>
            </w:r>
          </w:p>
        </w:tc>
        <w:tc>
          <w:tcPr>
            <w:tcW w:w="950" w:type="dxa"/>
            <w:tcBorders>
              <w:top w:val="nil"/>
              <w:left w:val="nil"/>
              <w:bottom w:val="single" w:sz="4" w:space="0" w:color="auto"/>
              <w:right w:val="single" w:sz="4" w:space="0" w:color="auto"/>
            </w:tcBorders>
            <w:shd w:val="clear" w:color="auto" w:fill="auto"/>
            <w:noWrap/>
            <w:hideMark/>
          </w:tcPr>
          <w:p w14:paraId="0F7F190A" w14:textId="77777777" w:rsidR="006F0BB0" w:rsidRPr="006F0BB0" w:rsidRDefault="006F0BB0" w:rsidP="007D1DBA">
            <w:pPr>
              <w:jc w:val="right"/>
              <w:rPr>
                <w:sz w:val="18"/>
                <w:szCs w:val="18"/>
                <w:lang w:val="es-419" w:eastAsia="es-419"/>
              </w:rPr>
            </w:pPr>
            <w:r w:rsidRPr="006F0BB0">
              <w:rPr>
                <w:sz w:val="18"/>
                <w:szCs w:val="18"/>
                <w:lang w:val="es-419" w:eastAsia="es-419"/>
              </w:rPr>
              <w:t>4 079</w:t>
            </w:r>
          </w:p>
        </w:tc>
        <w:tc>
          <w:tcPr>
            <w:tcW w:w="950" w:type="dxa"/>
            <w:tcBorders>
              <w:top w:val="nil"/>
              <w:left w:val="nil"/>
              <w:bottom w:val="single" w:sz="4" w:space="0" w:color="auto"/>
              <w:right w:val="single" w:sz="4" w:space="0" w:color="auto"/>
            </w:tcBorders>
            <w:shd w:val="clear" w:color="auto" w:fill="auto"/>
            <w:noWrap/>
            <w:hideMark/>
          </w:tcPr>
          <w:p w14:paraId="19F05047" w14:textId="77777777" w:rsidR="006F0BB0" w:rsidRPr="006F0BB0" w:rsidRDefault="006F0BB0" w:rsidP="007D1DBA">
            <w:pPr>
              <w:jc w:val="right"/>
              <w:rPr>
                <w:sz w:val="18"/>
                <w:szCs w:val="18"/>
                <w:lang w:val="es-419" w:eastAsia="es-419"/>
              </w:rPr>
            </w:pPr>
            <w:r w:rsidRPr="006F0BB0">
              <w:rPr>
                <w:sz w:val="18"/>
                <w:szCs w:val="18"/>
                <w:lang w:val="es-419" w:eastAsia="es-419"/>
              </w:rPr>
              <w:t>4 161</w:t>
            </w:r>
          </w:p>
        </w:tc>
        <w:tc>
          <w:tcPr>
            <w:tcW w:w="950" w:type="dxa"/>
            <w:tcBorders>
              <w:top w:val="nil"/>
              <w:left w:val="nil"/>
              <w:bottom w:val="single" w:sz="4" w:space="0" w:color="auto"/>
              <w:right w:val="single" w:sz="4" w:space="0" w:color="auto"/>
            </w:tcBorders>
            <w:shd w:val="clear" w:color="auto" w:fill="auto"/>
            <w:noWrap/>
            <w:hideMark/>
          </w:tcPr>
          <w:p w14:paraId="33447DC0" w14:textId="77777777" w:rsidR="006F0BB0" w:rsidRPr="006F0BB0" w:rsidRDefault="006F0BB0" w:rsidP="007D1DBA">
            <w:pPr>
              <w:jc w:val="right"/>
              <w:rPr>
                <w:sz w:val="18"/>
                <w:szCs w:val="18"/>
                <w:lang w:val="es-419" w:eastAsia="es-419"/>
              </w:rPr>
            </w:pPr>
            <w:r w:rsidRPr="006F0BB0">
              <w:rPr>
                <w:sz w:val="18"/>
                <w:szCs w:val="18"/>
                <w:lang w:val="es-419" w:eastAsia="es-419"/>
              </w:rPr>
              <w:t>4 244</w:t>
            </w:r>
          </w:p>
        </w:tc>
        <w:tc>
          <w:tcPr>
            <w:tcW w:w="978" w:type="dxa"/>
            <w:tcBorders>
              <w:top w:val="nil"/>
              <w:left w:val="nil"/>
              <w:bottom w:val="single" w:sz="4" w:space="0" w:color="auto"/>
              <w:right w:val="single" w:sz="4" w:space="0" w:color="auto"/>
            </w:tcBorders>
            <w:shd w:val="clear" w:color="auto" w:fill="auto"/>
            <w:noWrap/>
            <w:hideMark/>
          </w:tcPr>
          <w:p w14:paraId="6598ECF0" w14:textId="77777777" w:rsidR="006F0BB0" w:rsidRPr="006F0BB0" w:rsidRDefault="006F0BB0" w:rsidP="007D1DBA">
            <w:pPr>
              <w:jc w:val="right"/>
              <w:rPr>
                <w:sz w:val="18"/>
                <w:szCs w:val="18"/>
                <w:lang w:val="es-419" w:eastAsia="es-419"/>
              </w:rPr>
            </w:pPr>
            <w:r w:rsidRPr="006F0BB0">
              <w:rPr>
                <w:sz w:val="18"/>
                <w:szCs w:val="18"/>
                <w:lang w:val="es-419" w:eastAsia="es-419"/>
              </w:rPr>
              <w:t>4 329</w:t>
            </w:r>
          </w:p>
        </w:tc>
        <w:tc>
          <w:tcPr>
            <w:tcW w:w="950" w:type="dxa"/>
            <w:tcBorders>
              <w:top w:val="nil"/>
              <w:left w:val="nil"/>
              <w:bottom w:val="single" w:sz="4" w:space="0" w:color="auto"/>
              <w:right w:val="single" w:sz="4" w:space="0" w:color="auto"/>
            </w:tcBorders>
            <w:shd w:val="clear" w:color="auto" w:fill="auto"/>
            <w:noWrap/>
            <w:hideMark/>
          </w:tcPr>
          <w:p w14:paraId="36C6AA40" w14:textId="77777777" w:rsidR="006F0BB0" w:rsidRPr="006F0BB0" w:rsidRDefault="006F0BB0" w:rsidP="007D1DBA">
            <w:pPr>
              <w:jc w:val="right"/>
              <w:rPr>
                <w:sz w:val="18"/>
                <w:szCs w:val="18"/>
                <w:lang w:val="es-419" w:eastAsia="es-419"/>
              </w:rPr>
            </w:pPr>
            <w:r w:rsidRPr="006F0BB0">
              <w:rPr>
                <w:sz w:val="18"/>
                <w:szCs w:val="18"/>
                <w:lang w:val="es-419" w:eastAsia="es-419"/>
              </w:rPr>
              <w:t>4 762</w:t>
            </w:r>
          </w:p>
        </w:tc>
        <w:tc>
          <w:tcPr>
            <w:tcW w:w="950" w:type="dxa"/>
            <w:tcBorders>
              <w:top w:val="nil"/>
              <w:left w:val="nil"/>
              <w:bottom w:val="single" w:sz="4" w:space="0" w:color="auto"/>
              <w:right w:val="single" w:sz="4" w:space="0" w:color="auto"/>
            </w:tcBorders>
            <w:shd w:val="clear" w:color="auto" w:fill="auto"/>
            <w:noWrap/>
            <w:hideMark/>
          </w:tcPr>
          <w:p w14:paraId="7E7E24C6" w14:textId="77777777" w:rsidR="006F0BB0" w:rsidRPr="006F0BB0" w:rsidRDefault="006F0BB0" w:rsidP="007D1DBA">
            <w:pPr>
              <w:jc w:val="right"/>
              <w:rPr>
                <w:sz w:val="18"/>
                <w:szCs w:val="18"/>
                <w:lang w:val="es-419" w:eastAsia="es-419"/>
              </w:rPr>
            </w:pPr>
            <w:r w:rsidRPr="006F0BB0">
              <w:rPr>
                <w:sz w:val="18"/>
                <w:szCs w:val="18"/>
                <w:lang w:val="es-419" w:eastAsia="es-419"/>
              </w:rPr>
              <w:t>5 238</w:t>
            </w:r>
          </w:p>
        </w:tc>
        <w:tc>
          <w:tcPr>
            <w:tcW w:w="1076" w:type="dxa"/>
            <w:tcBorders>
              <w:top w:val="nil"/>
              <w:left w:val="nil"/>
              <w:bottom w:val="single" w:sz="4" w:space="0" w:color="auto"/>
              <w:right w:val="single" w:sz="4" w:space="0" w:color="auto"/>
            </w:tcBorders>
            <w:shd w:val="clear" w:color="auto" w:fill="auto"/>
            <w:noWrap/>
            <w:hideMark/>
          </w:tcPr>
          <w:p w14:paraId="4855C3BA" w14:textId="77777777" w:rsidR="006F0BB0" w:rsidRPr="006F0BB0" w:rsidRDefault="006F0BB0" w:rsidP="007D1DBA">
            <w:pPr>
              <w:jc w:val="right"/>
              <w:rPr>
                <w:sz w:val="18"/>
                <w:szCs w:val="18"/>
                <w:lang w:val="es-419" w:eastAsia="es-419"/>
              </w:rPr>
            </w:pPr>
            <w:r w:rsidRPr="006F0BB0">
              <w:rPr>
                <w:sz w:val="18"/>
                <w:szCs w:val="18"/>
                <w:lang w:val="es-419" w:eastAsia="es-419"/>
              </w:rPr>
              <w:t>4 244</w:t>
            </w:r>
          </w:p>
        </w:tc>
        <w:tc>
          <w:tcPr>
            <w:tcW w:w="1034" w:type="dxa"/>
            <w:tcBorders>
              <w:top w:val="nil"/>
              <w:left w:val="nil"/>
              <w:bottom w:val="single" w:sz="4" w:space="0" w:color="auto"/>
              <w:right w:val="single" w:sz="4" w:space="0" w:color="auto"/>
            </w:tcBorders>
            <w:shd w:val="clear" w:color="auto" w:fill="auto"/>
            <w:noWrap/>
            <w:hideMark/>
          </w:tcPr>
          <w:p w14:paraId="1D42A3E5" w14:textId="77777777" w:rsidR="006F0BB0" w:rsidRPr="006F0BB0" w:rsidRDefault="006F0BB0" w:rsidP="007D1DBA">
            <w:pPr>
              <w:jc w:val="right"/>
              <w:rPr>
                <w:sz w:val="18"/>
                <w:szCs w:val="18"/>
                <w:lang w:val="es-419" w:eastAsia="es-419"/>
              </w:rPr>
            </w:pPr>
            <w:r w:rsidRPr="006F0BB0">
              <w:rPr>
                <w:sz w:val="18"/>
                <w:szCs w:val="18"/>
                <w:lang w:val="es-419" w:eastAsia="es-419"/>
              </w:rPr>
              <w:t>10 721</w:t>
            </w:r>
          </w:p>
        </w:tc>
        <w:tc>
          <w:tcPr>
            <w:tcW w:w="1181" w:type="dxa"/>
            <w:tcBorders>
              <w:top w:val="nil"/>
              <w:left w:val="nil"/>
              <w:bottom w:val="single" w:sz="4" w:space="0" w:color="auto"/>
              <w:right w:val="single" w:sz="4" w:space="0" w:color="auto"/>
            </w:tcBorders>
            <w:shd w:val="clear" w:color="auto" w:fill="auto"/>
            <w:noWrap/>
            <w:hideMark/>
          </w:tcPr>
          <w:p w14:paraId="20963C32" w14:textId="77777777" w:rsidR="006F0BB0" w:rsidRPr="006F0BB0" w:rsidRDefault="006F0BB0" w:rsidP="007D1DBA">
            <w:pPr>
              <w:jc w:val="right"/>
              <w:rPr>
                <w:sz w:val="18"/>
                <w:szCs w:val="18"/>
                <w:lang w:val="es-419" w:eastAsia="es-419"/>
              </w:rPr>
            </w:pPr>
            <w:r w:rsidRPr="006F0BB0">
              <w:rPr>
                <w:sz w:val="18"/>
                <w:szCs w:val="18"/>
                <w:lang w:val="es-419" w:eastAsia="es-419"/>
              </w:rPr>
              <w:t>48,9%</w:t>
            </w:r>
          </w:p>
        </w:tc>
      </w:tr>
      <w:tr w:rsidR="006F0BB0" w:rsidRPr="006F0BB0" w14:paraId="50426F9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588A5F" w14:textId="77777777" w:rsidR="006F0BB0" w:rsidRPr="006F0BB0" w:rsidRDefault="006F0BB0" w:rsidP="007D1DBA">
            <w:pPr>
              <w:jc w:val="left"/>
              <w:rPr>
                <w:sz w:val="18"/>
                <w:szCs w:val="18"/>
                <w:lang w:val="es-419" w:eastAsia="es-419"/>
              </w:rPr>
            </w:pPr>
            <w:r w:rsidRPr="006F0BB0">
              <w:rPr>
                <w:sz w:val="18"/>
                <w:szCs w:val="18"/>
                <w:lang w:val="es-419" w:eastAsia="es-419"/>
              </w:rPr>
              <w:t>Malawi</w:t>
            </w:r>
          </w:p>
        </w:tc>
        <w:tc>
          <w:tcPr>
            <w:tcW w:w="950" w:type="dxa"/>
            <w:tcBorders>
              <w:top w:val="nil"/>
              <w:left w:val="nil"/>
              <w:bottom w:val="single" w:sz="4" w:space="0" w:color="auto"/>
              <w:right w:val="single" w:sz="4" w:space="0" w:color="auto"/>
            </w:tcBorders>
            <w:shd w:val="clear" w:color="auto" w:fill="auto"/>
            <w:noWrap/>
            <w:hideMark/>
          </w:tcPr>
          <w:p w14:paraId="20C12F5D" w14:textId="77777777" w:rsidR="006F0BB0" w:rsidRPr="006F0BB0" w:rsidRDefault="006F0BB0" w:rsidP="007D1DBA">
            <w:pPr>
              <w:jc w:val="right"/>
              <w:rPr>
                <w:sz w:val="18"/>
                <w:szCs w:val="18"/>
                <w:lang w:val="es-419" w:eastAsia="es-419"/>
              </w:rPr>
            </w:pPr>
            <w:r w:rsidRPr="006F0BB0">
              <w:rPr>
                <w:sz w:val="18"/>
                <w:szCs w:val="18"/>
                <w:lang w:val="es-419" w:eastAsia="es-419"/>
              </w:rPr>
              <w:t>188 503</w:t>
            </w:r>
          </w:p>
        </w:tc>
        <w:tc>
          <w:tcPr>
            <w:tcW w:w="950" w:type="dxa"/>
            <w:tcBorders>
              <w:top w:val="nil"/>
              <w:left w:val="nil"/>
              <w:bottom w:val="single" w:sz="4" w:space="0" w:color="auto"/>
              <w:right w:val="single" w:sz="4" w:space="0" w:color="auto"/>
            </w:tcBorders>
            <w:shd w:val="clear" w:color="auto" w:fill="auto"/>
            <w:noWrap/>
            <w:hideMark/>
          </w:tcPr>
          <w:p w14:paraId="2E42B5E3" w14:textId="77777777" w:rsidR="006F0BB0" w:rsidRPr="006F0BB0" w:rsidRDefault="006F0BB0" w:rsidP="007D1DBA">
            <w:pPr>
              <w:jc w:val="right"/>
              <w:rPr>
                <w:sz w:val="18"/>
                <w:szCs w:val="18"/>
                <w:lang w:val="es-419" w:eastAsia="es-419"/>
              </w:rPr>
            </w:pPr>
            <w:r w:rsidRPr="006F0BB0">
              <w:rPr>
                <w:sz w:val="18"/>
                <w:szCs w:val="18"/>
                <w:lang w:val="es-419" w:eastAsia="es-419"/>
              </w:rPr>
              <w:t>192 273</w:t>
            </w:r>
          </w:p>
        </w:tc>
        <w:tc>
          <w:tcPr>
            <w:tcW w:w="950" w:type="dxa"/>
            <w:tcBorders>
              <w:top w:val="nil"/>
              <w:left w:val="nil"/>
              <w:bottom w:val="single" w:sz="4" w:space="0" w:color="auto"/>
              <w:right w:val="single" w:sz="4" w:space="0" w:color="auto"/>
            </w:tcBorders>
            <w:shd w:val="clear" w:color="auto" w:fill="auto"/>
            <w:noWrap/>
            <w:hideMark/>
          </w:tcPr>
          <w:p w14:paraId="50489AA8" w14:textId="77777777" w:rsidR="006F0BB0" w:rsidRPr="006F0BB0" w:rsidRDefault="006F0BB0" w:rsidP="007D1DBA">
            <w:pPr>
              <w:jc w:val="right"/>
              <w:rPr>
                <w:sz w:val="18"/>
                <w:szCs w:val="18"/>
                <w:lang w:val="es-419" w:eastAsia="es-419"/>
              </w:rPr>
            </w:pPr>
            <w:r w:rsidRPr="006F0BB0">
              <w:rPr>
                <w:sz w:val="18"/>
                <w:szCs w:val="18"/>
                <w:lang w:val="es-419" w:eastAsia="es-419"/>
              </w:rPr>
              <w:t>196 119</w:t>
            </w:r>
          </w:p>
        </w:tc>
        <w:tc>
          <w:tcPr>
            <w:tcW w:w="978" w:type="dxa"/>
            <w:tcBorders>
              <w:top w:val="nil"/>
              <w:left w:val="nil"/>
              <w:bottom w:val="single" w:sz="4" w:space="0" w:color="auto"/>
              <w:right w:val="single" w:sz="4" w:space="0" w:color="auto"/>
            </w:tcBorders>
            <w:shd w:val="clear" w:color="auto" w:fill="auto"/>
            <w:noWrap/>
            <w:hideMark/>
          </w:tcPr>
          <w:p w14:paraId="0C620D08" w14:textId="77777777" w:rsidR="006F0BB0" w:rsidRPr="006F0BB0" w:rsidRDefault="006F0BB0" w:rsidP="007D1DBA">
            <w:pPr>
              <w:jc w:val="right"/>
              <w:rPr>
                <w:sz w:val="18"/>
                <w:szCs w:val="18"/>
                <w:lang w:val="es-419" w:eastAsia="es-419"/>
              </w:rPr>
            </w:pPr>
            <w:r w:rsidRPr="006F0BB0">
              <w:rPr>
                <w:sz w:val="18"/>
                <w:szCs w:val="18"/>
                <w:lang w:val="es-419" w:eastAsia="es-419"/>
              </w:rPr>
              <w:t>200 041</w:t>
            </w:r>
          </w:p>
        </w:tc>
        <w:tc>
          <w:tcPr>
            <w:tcW w:w="950" w:type="dxa"/>
            <w:tcBorders>
              <w:top w:val="nil"/>
              <w:left w:val="nil"/>
              <w:bottom w:val="single" w:sz="4" w:space="0" w:color="auto"/>
              <w:right w:val="single" w:sz="4" w:space="0" w:color="auto"/>
            </w:tcBorders>
            <w:shd w:val="clear" w:color="auto" w:fill="auto"/>
            <w:noWrap/>
            <w:hideMark/>
          </w:tcPr>
          <w:p w14:paraId="289A91E6" w14:textId="77777777" w:rsidR="006F0BB0" w:rsidRPr="006F0BB0" w:rsidRDefault="006F0BB0" w:rsidP="007D1DBA">
            <w:pPr>
              <w:jc w:val="right"/>
              <w:rPr>
                <w:sz w:val="18"/>
                <w:szCs w:val="18"/>
                <w:lang w:val="es-419" w:eastAsia="es-419"/>
              </w:rPr>
            </w:pPr>
            <w:r w:rsidRPr="006F0BB0">
              <w:rPr>
                <w:sz w:val="18"/>
                <w:szCs w:val="18"/>
                <w:lang w:val="es-419" w:eastAsia="es-419"/>
              </w:rPr>
              <w:t>220 045</w:t>
            </w:r>
          </w:p>
        </w:tc>
        <w:tc>
          <w:tcPr>
            <w:tcW w:w="950" w:type="dxa"/>
            <w:tcBorders>
              <w:top w:val="nil"/>
              <w:left w:val="nil"/>
              <w:bottom w:val="single" w:sz="4" w:space="0" w:color="auto"/>
              <w:right w:val="single" w:sz="4" w:space="0" w:color="auto"/>
            </w:tcBorders>
            <w:shd w:val="clear" w:color="auto" w:fill="auto"/>
            <w:noWrap/>
            <w:hideMark/>
          </w:tcPr>
          <w:p w14:paraId="4CDBDB8D" w14:textId="77777777" w:rsidR="006F0BB0" w:rsidRPr="006F0BB0" w:rsidRDefault="006F0BB0" w:rsidP="007D1DBA">
            <w:pPr>
              <w:jc w:val="right"/>
              <w:rPr>
                <w:sz w:val="18"/>
                <w:szCs w:val="18"/>
                <w:lang w:val="es-419" w:eastAsia="es-419"/>
              </w:rPr>
            </w:pPr>
            <w:r w:rsidRPr="006F0BB0">
              <w:rPr>
                <w:sz w:val="18"/>
                <w:szCs w:val="18"/>
                <w:lang w:val="es-419" w:eastAsia="es-419"/>
              </w:rPr>
              <w:t>242 049</w:t>
            </w:r>
          </w:p>
        </w:tc>
        <w:tc>
          <w:tcPr>
            <w:tcW w:w="1076" w:type="dxa"/>
            <w:tcBorders>
              <w:top w:val="nil"/>
              <w:left w:val="nil"/>
              <w:bottom w:val="single" w:sz="4" w:space="0" w:color="auto"/>
              <w:right w:val="single" w:sz="4" w:space="0" w:color="auto"/>
            </w:tcBorders>
            <w:shd w:val="clear" w:color="auto" w:fill="auto"/>
            <w:noWrap/>
            <w:hideMark/>
          </w:tcPr>
          <w:p w14:paraId="29829680" w14:textId="77777777" w:rsidR="006F0BB0" w:rsidRPr="006F0BB0" w:rsidRDefault="006F0BB0" w:rsidP="007D1DBA">
            <w:pPr>
              <w:jc w:val="right"/>
              <w:rPr>
                <w:sz w:val="18"/>
                <w:szCs w:val="18"/>
                <w:lang w:val="es-419" w:eastAsia="es-419"/>
              </w:rPr>
            </w:pPr>
            <w:r w:rsidRPr="006F0BB0">
              <w:rPr>
                <w:sz w:val="18"/>
                <w:szCs w:val="18"/>
                <w:lang w:val="es-419" w:eastAsia="es-419"/>
              </w:rPr>
              <w:t>196 144</w:t>
            </w:r>
          </w:p>
        </w:tc>
        <w:tc>
          <w:tcPr>
            <w:tcW w:w="1034" w:type="dxa"/>
            <w:tcBorders>
              <w:top w:val="nil"/>
              <w:left w:val="nil"/>
              <w:bottom w:val="single" w:sz="4" w:space="0" w:color="auto"/>
              <w:right w:val="single" w:sz="4" w:space="0" w:color="auto"/>
            </w:tcBorders>
            <w:shd w:val="clear" w:color="auto" w:fill="auto"/>
            <w:noWrap/>
            <w:hideMark/>
          </w:tcPr>
          <w:p w14:paraId="11D48405" w14:textId="77777777" w:rsidR="006F0BB0" w:rsidRPr="006F0BB0" w:rsidRDefault="006F0BB0" w:rsidP="007D1DBA">
            <w:pPr>
              <w:jc w:val="right"/>
              <w:rPr>
                <w:sz w:val="18"/>
                <w:szCs w:val="18"/>
                <w:lang w:val="es-419" w:eastAsia="es-419"/>
              </w:rPr>
            </w:pPr>
            <w:r w:rsidRPr="006F0BB0">
              <w:rPr>
                <w:sz w:val="18"/>
                <w:szCs w:val="18"/>
                <w:lang w:val="es-419" w:eastAsia="es-419"/>
              </w:rPr>
              <w:t>427 091</w:t>
            </w:r>
          </w:p>
        </w:tc>
        <w:tc>
          <w:tcPr>
            <w:tcW w:w="1181" w:type="dxa"/>
            <w:tcBorders>
              <w:top w:val="nil"/>
              <w:left w:val="nil"/>
              <w:bottom w:val="single" w:sz="4" w:space="0" w:color="auto"/>
              <w:right w:val="single" w:sz="4" w:space="0" w:color="auto"/>
            </w:tcBorders>
            <w:shd w:val="clear" w:color="auto" w:fill="auto"/>
            <w:noWrap/>
            <w:hideMark/>
          </w:tcPr>
          <w:p w14:paraId="20D96D4A" w14:textId="77777777" w:rsidR="006F0BB0" w:rsidRPr="006F0BB0" w:rsidRDefault="006F0BB0" w:rsidP="007D1DBA">
            <w:pPr>
              <w:jc w:val="right"/>
              <w:rPr>
                <w:sz w:val="18"/>
                <w:szCs w:val="18"/>
                <w:lang w:val="es-419" w:eastAsia="es-419"/>
              </w:rPr>
            </w:pPr>
            <w:r w:rsidRPr="006F0BB0">
              <w:rPr>
                <w:sz w:val="18"/>
                <w:szCs w:val="18"/>
                <w:lang w:val="es-419" w:eastAsia="es-419"/>
              </w:rPr>
              <w:t>56,7%</w:t>
            </w:r>
          </w:p>
        </w:tc>
      </w:tr>
      <w:tr w:rsidR="006F0BB0" w:rsidRPr="006F0BB0" w14:paraId="592B39C8"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BF1D04" w14:textId="77777777" w:rsidR="006F0BB0" w:rsidRPr="006F0BB0" w:rsidRDefault="006F0BB0" w:rsidP="007D1DBA">
            <w:pPr>
              <w:jc w:val="left"/>
              <w:rPr>
                <w:sz w:val="18"/>
                <w:szCs w:val="18"/>
                <w:lang w:val="es-419" w:eastAsia="es-419"/>
              </w:rPr>
            </w:pPr>
            <w:r w:rsidRPr="006F0BB0">
              <w:rPr>
                <w:sz w:val="18"/>
                <w:szCs w:val="18"/>
                <w:lang w:val="es-419" w:eastAsia="es-419"/>
              </w:rPr>
              <w:t>Eswatini</w:t>
            </w:r>
          </w:p>
        </w:tc>
        <w:tc>
          <w:tcPr>
            <w:tcW w:w="950" w:type="dxa"/>
            <w:tcBorders>
              <w:top w:val="nil"/>
              <w:left w:val="nil"/>
              <w:bottom w:val="single" w:sz="4" w:space="0" w:color="auto"/>
              <w:right w:val="single" w:sz="4" w:space="0" w:color="auto"/>
            </w:tcBorders>
            <w:shd w:val="clear" w:color="auto" w:fill="auto"/>
            <w:noWrap/>
            <w:hideMark/>
          </w:tcPr>
          <w:p w14:paraId="01C8E84A" w14:textId="77777777" w:rsidR="006F0BB0" w:rsidRPr="006F0BB0" w:rsidRDefault="006F0BB0" w:rsidP="007D1DBA">
            <w:pPr>
              <w:jc w:val="right"/>
              <w:rPr>
                <w:sz w:val="18"/>
                <w:szCs w:val="18"/>
                <w:lang w:val="es-419" w:eastAsia="es-419"/>
              </w:rPr>
            </w:pPr>
            <w:r w:rsidRPr="006F0BB0">
              <w:rPr>
                <w:sz w:val="18"/>
                <w:szCs w:val="18"/>
                <w:lang w:val="es-419" w:eastAsia="es-419"/>
              </w:rPr>
              <w:t>33 980</w:t>
            </w:r>
          </w:p>
        </w:tc>
        <w:tc>
          <w:tcPr>
            <w:tcW w:w="950" w:type="dxa"/>
            <w:tcBorders>
              <w:top w:val="nil"/>
              <w:left w:val="nil"/>
              <w:bottom w:val="single" w:sz="4" w:space="0" w:color="auto"/>
              <w:right w:val="single" w:sz="4" w:space="0" w:color="auto"/>
            </w:tcBorders>
            <w:shd w:val="clear" w:color="auto" w:fill="auto"/>
            <w:noWrap/>
            <w:hideMark/>
          </w:tcPr>
          <w:p w14:paraId="13841D73" w14:textId="77777777" w:rsidR="006F0BB0" w:rsidRPr="006F0BB0" w:rsidRDefault="006F0BB0" w:rsidP="007D1DBA">
            <w:pPr>
              <w:jc w:val="right"/>
              <w:rPr>
                <w:sz w:val="18"/>
                <w:szCs w:val="18"/>
                <w:lang w:val="es-419" w:eastAsia="es-419"/>
              </w:rPr>
            </w:pPr>
            <w:r w:rsidRPr="006F0BB0">
              <w:rPr>
                <w:sz w:val="18"/>
                <w:szCs w:val="18"/>
                <w:lang w:val="es-419" w:eastAsia="es-419"/>
              </w:rPr>
              <w:t>34 660</w:t>
            </w:r>
          </w:p>
        </w:tc>
        <w:tc>
          <w:tcPr>
            <w:tcW w:w="950" w:type="dxa"/>
            <w:tcBorders>
              <w:top w:val="nil"/>
              <w:left w:val="nil"/>
              <w:bottom w:val="single" w:sz="4" w:space="0" w:color="auto"/>
              <w:right w:val="single" w:sz="4" w:space="0" w:color="auto"/>
            </w:tcBorders>
            <w:shd w:val="clear" w:color="auto" w:fill="auto"/>
            <w:noWrap/>
            <w:hideMark/>
          </w:tcPr>
          <w:p w14:paraId="4E6A91F5" w14:textId="77777777" w:rsidR="006F0BB0" w:rsidRPr="006F0BB0" w:rsidRDefault="006F0BB0" w:rsidP="007D1DBA">
            <w:pPr>
              <w:jc w:val="right"/>
              <w:rPr>
                <w:sz w:val="18"/>
                <w:szCs w:val="18"/>
                <w:lang w:val="es-419" w:eastAsia="es-419"/>
              </w:rPr>
            </w:pPr>
            <w:r w:rsidRPr="006F0BB0">
              <w:rPr>
                <w:sz w:val="18"/>
                <w:szCs w:val="18"/>
                <w:lang w:val="es-419" w:eastAsia="es-419"/>
              </w:rPr>
              <w:t>35 353</w:t>
            </w:r>
          </w:p>
        </w:tc>
        <w:tc>
          <w:tcPr>
            <w:tcW w:w="978" w:type="dxa"/>
            <w:tcBorders>
              <w:top w:val="nil"/>
              <w:left w:val="nil"/>
              <w:bottom w:val="single" w:sz="4" w:space="0" w:color="auto"/>
              <w:right w:val="single" w:sz="4" w:space="0" w:color="auto"/>
            </w:tcBorders>
            <w:shd w:val="clear" w:color="auto" w:fill="auto"/>
            <w:noWrap/>
            <w:hideMark/>
          </w:tcPr>
          <w:p w14:paraId="696E31ED" w14:textId="77777777" w:rsidR="006F0BB0" w:rsidRPr="006F0BB0" w:rsidRDefault="006F0BB0" w:rsidP="007D1DBA">
            <w:pPr>
              <w:jc w:val="right"/>
              <w:rPr>
                <w:sz w:val="18"/>
                <w:szCs w:val="18"/>
                <w:lang w:val="es-419" w:eastAsia="es-419"/>
              </w:rPr>
            </w:pPr>
            <w:r w:rsidRPr="006F0BB0">
              <w:rPr>
                <w:sz w:val="18"/>
                <w:szCs w:val="18"/>
                <w:lang w:val="es-419" w:eastAsia="es-419"/>
              </w:rPr>
              <w:t>36 060</w:t>
            </w:r>
          </w:p>
        </w:tc>
        <w:tc>
          <w:tcPr>
            <w:tcW w:w="950" w:type="dxa"/>
            <w:tcBorders>
              <w:top w:val="nil"/>
              <w:left w:val="nil"/>
              <w:bottom w:val="single" w:sz="4" w:space="0" w:color="auto"/>
              <w:right w:val="single" w:sz="4" w:space="0" w:color="auto"/>
            </w:tcBorders>
            <w:shd w:val="clear" w:color="auto" w:fill="auto"/>
            <w:noWrap/>
            <w:hideMark/>
          </w:tcPr>
          <w:p w14:paraId="437E4DB4" w14:textId="77777777" w:rsidR="006F0BB0" w:rsidRPr="006F0BB0" w:rsidRDefault="006F0BB0" w:rsidP="007D1DBA">
            <w:pPr>
              <w:jc w:val="right"/>
              <w:rPr>
                <w:sz w:val="18"/>
                <w:szCs w:val="18"/>
                <w:lang w:val="es-419" w:eastAsia="es-419"/>
              </w:rPr>
            </w:pPr>
            <w:r w:rsidRPr="006F0BB0">
              <w:rPr>
                <w:sz w:val="18"/>
                <w:szCs w:val="18"/>
                <w:lang w:val="es-419" w:eastAsia="es-419"/>
              </w:rPr>
              <w:t>39 666</w:t>
            </w:r>
          </w:p>
        </w:tc>
        <w:tc>
          <w:tcPr>
            <w:tcW w:w="950" w:type="dxa"/>
            <w:tcBorders>
              <w:top w:val="nil"/>
              <w:left w:val="nil"/>
              <w:bottom w:val="single" w:sz="4" w:space="0" w:color="auto"/>
              <w:right w:val="single" w:sz="4" w:space="0" w:color="auto"/>
            </w:tcBorders>
            <w:shd w:val="clear" w:color="auto" w:fill="auto"/>
            <w:noWrap/>
            <w:hideMark/>
          </w:tcPr>
          <w:p w14:paraId="5F77CEDA" w14:textId="77777777" w:rsidR="006F0BB0" w:rsidRPr="006F0BB0" w:rsidRDefault="006F0BB0" w:rsidP="007D1DBA">
            <w:pPr>
              <w:jc w:val="right"/>
              <w:rPr>
                <w:sz w:val="18"/>
                <w:szCs w:val="18"/>
                <w:lang w:val="es-419" w:eastAsia="es-419"/>
              </w:rPr>
            </w:pPr>
            <w:r w:rsidRPr="006F0BB0">
              <w:rPr>
                <w:sz w:val="18"/>
                <w:szCs w:val="18"/>
                <w:lang w:val="es-419" w:eastAsia="es-419"/>
              </w:rPr>
              <w:t>43 632</w:t>
            </w:r>
          </w:p>
        </w:tc>
        <w:tc>
          <w:tcPr>
            <w:tcW w:w="1076" w:type="dxa"/>
            <w:tcBorders>
              <w:top w:val="nil"/>
              <w:left w:val="nil"/>
              <w:bottom w:val="single" w:sz="4" w:space="0" w:color="auto"/>
              <w:right w:val="single" w:sz="4" w:space="0" w:color="auto"/>
            </w:tcBorders>
            <w:shd w:val="clear" w:color="auto" w:fill="auto"/>
            <w:noWrap/>
            <w:hideMark/>
          </w:tcPr>
          <w:p w14:paraId="12476095" w14:textId="77777777" w:rsidR="006F0BB0" w:rsidRPr="006F0BB0" w:rsidRDefault="006F0BB0" w:rsidP="007D1DBA">
            <w:pPr>
              <w:jc w:val="right"/>
              <w:rPr>
                <w:sz w:val="18"/>
                <w:szCs w:val="18"/>
                <w:lang w:val="es-419" w:eastAsia="es-419"/>
              </w:rPr>
            </w:pPr>
            <w:r w:rsidRPr="006F0BB0">
              <w:rPr>
                <w:sz w:val="18"/>
                <w:szCs w:val="18"/>
                <w:lang w:val="es-419" w:eastAsia="es-419"/>
              </w:rPr>
              <w:t>35 357</w:t>
            </w:r>
          </w:p>
        </w:tc>
        <w:tc>
          <w:tcPr>
            <w:tcW w:w="1034" w:type="dxa"/>
            <w:tcBorders>
              <w:top w:val="nil"/>
              <w:left w:val="nil"/>
              <w:bottom w:val="single" w:sz="4" w:space="0" w:color="auto"/>
              <w:right w:val="single" w:sz="4" w:space="0" w:color="auto"/>
            </w:tcBorders>
            <w:shd w:val="clear" w:color="auto" w:fill="auto"/>
            <w:noWrap/>
            <w:hideMark/>
          </w:tcPr>
          <w:p w14:paraId="5750F05F" w14:textId="77777777" w:rsidR="006F0BB0" w:rsidRPr="006F0BB0" w:rsidRDefault="006F0BB0" w:rsidP="007D1DBA">
            <w:pPr>
              <w:jc w:val="right"/>
              <w:rPr>
                <w:sz w:val="18"/>
                <w:szCs w:val="18"/>
                <w:lang w:val="es-419" w:eastAsia="es-419"/>
              </w:rPr>
            </w:pPr>
            <w:r w:rsidRPr="006F0BB0">
              <w:rPr>
                <w:sz w:val="18"/>
                <w:szCs w:val="18"/>
                <w:lang w:val="es-419" w:eastAsia="es-419"/>
              </w:rPr>
              <w:t>72 252</w:t>
            </w:r>
          </w:p>
        </w:tc>
        <w:tc>
          <w:tcPr>
            <w:tcW w:w="1181" w:type="dxa"/>
            <w:tcBorders>
              <w:top w:val="nil"/>
              <w:left w:val="nil"/>
              <w:bottom w:val="single" w:sz="4" w:space="0" w:color="auto"/>
              <w:right w:val="single" w:sz="4" w:space="0" w:color="auto"/>
            </w:tcBorders>
            <w:shd w:val="clear" w:color="auto" w:fill="auto"/>
            <w:noWrap/>
            <w:hideMark/>
          </w:tcPr>
          <w:p w14:paraId="572247D9" w14:textId="77777777" w:rsidR="006F0BB0" w:rsidRPr="006F0BB0" w:rsidRDefault="006F0BB0" w:rsidP="007D1DBA">
            <w:pPr>
              <w:jc w:val="right"/>
              <w:rPr>
                <w:sz w:val="18"/>
                <w:szCs w:val="18"/>
                <w:lang w:val="es-419" w:eastAsia="es-419"/>
              </w:rPr>
            </w:pPr>
            <w:r w:rsidRPr="006F0BB0">
              <w:rPr>
                <w:sz w:val="18"/>
                <w:szCs w:val="18"/>
                <w:lang w:val="es-419" w:eastAsia="es-419"/>
              </w:rPr>
              <w:t>60,4%</w:t>
            </w:r>
          </w:p>
        </w:tc>
      </w:tr>
      <w:tr w:rsidR="006F0BB0" w:rsidRPr="006F0BB0" w14:paraId="5A0B68B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548159" w14:textId="77777777" w:rsidR="006F0BB0" w:rsidRPr="006F0BB0" w:rsidRDefault="006F0BB0" w:rsidP="007D1DBA">
            <w:pPr>
              <w:jc w:val="left"/>
              <w:rPr>
                <w:sz w:val="18"/>
                <w:szCs w:val="18"/>
                <w:lang w:val="es-419" w:eastAsia="es-419"/>
              </w:rPr>
            </w:pPr>
            <w:r w:rsidRPr="006F0BB0">
              <w:rPr>
                <w:sz w:val="18"/>
                <w:szCs w:val="18"/>
                <w:lang w:val="es-419" w:eastAsia="es-419"/>
              </w:rPr>
              <w:t>Armenia</w:t>
            </w:r>
          </w:p>
        </w:tc>
        <w:tc>
          <w:tcPr>
            <w:tcW w:w="950" w:type="dxa"/>
            <w:tcBorders>
              <w:top w:val="nil"/>
              <w:left w:val="nil"/>
              <w:bottom w:val="single" w:sz="4" w:space="0" w:color="auto"/>
              <w:right w:val="single" w:sz="4" w:space="0" w:color="auto"/>
            </w:tcBorders>
            <w:shd w:val="clear" w:color="auto" w:fill="auto"/>
            <w:noWrap/>
            <w:hideMark/>
          </w:tcPr>
          <w:p w14:paraId="46F32F6A" w14:textId="77777777" w:rsidR="006F0BB0" w:rsidRPr="006F0BB0" w:rsidRDefault="006F0BB0" w:rsidP="007D1DBA">
            <w:pPr>
              <w:jc w:val="right"/>
              <w:rPr>
                <w:sz w:val="18"/>
                <w:szCs w:val="18"/>
                <w:lang w:val="es-419" w:eastAsia="es-419"/>
              </w:rPr>
            </w:pPr>
            <w:r w:rsidRPr="006F0BB0">
              <w:rPr>
                <w:sz w:val="18"/>
                <w:szCs w:val="18"/>
                <w:lang w:val="es-419" w:eastAsia="es-419"/>
              </w:rPr>
              <w:t>137 680</w:t>
            </w:r>
          </w:p>
        </w:tc>
        <w:tc>
          <w:tcPr>
            <w:tcW w:w="950" w:type="dxa"/>
            <w:tcBorders>
              <w:top w:val="nil"/>
              <w:left w:val="nil"/>
              <w:bottom w:val="single" w:sz="4" w:space="0" w:color="auto"/>
              <w:right w:val="single" w:sz="4" w:space="0" w:color="auto"/>
            </w:tcBorders>
            <w:shd w:val="clear" w:color="auto" w:fill="auto"/>
            <w:noWrap/>
            <w:hideMark/>
          </w:tcPr>
          <w:p w14:paraId="7A6EC78D" w14:textId="77777777" w:rsidR="006F0BB0" w:rsidRPr="006F0BB0" w:rsidRDefault="006F0BB0" w:rsidP="007D1DBA">
            <w:pPr>
              <w:jc w:val="right"/>
              <w:rPr>
                <w:sz w:val="18"/>
                <w:szCs w:val="18"/>
                <w:lang w:val="es-419" w:eastAsia="es-419"/>
              </w:rPr>
            </w:pPr>
            <w:r w:rsidRPr="006F0BB0">
              <w:rPr>
                <w:sz w:val="18"/>
                <w:szCs w:val="18"/>
                <w:lang w:val="es-419" w:eastAsia="es-419"/>
              </w:rPr>
              <w:t>140 434</w:t>
            </w:r>
          </w:p>
        </w:tc>
        <w:tc>
          <w:tcPr>
            <w:tcW w:w="950" w:type="dxa"/>
            <w:tcBorders>
              <w:top w:val="nil"/>
              <w:left w:val="nil"/>
              <w:bottom w:val="single" w:sz="4" w:space="0" w:color="auto"/>
              <w:right w:val="single" w:sz="4" w:space="0" w:color="auto"/>
            </w:tcBorders>
            <w:shd w:val="clear" w:color="auto" w:fill="auto"/>
            <w:noWrap/>
            <w:hideMark/>
          </w:tcPr>
          <w:p w14:paraId="06EA6875" w14:textId="77777777" w:rsidR="006F0BB0" w:rsidRPr="006F0BB0" w:rsidRDefault="006F0BB0" w:rsidP="007D1DBA">
            <w:pPr>
              <w:jc w:val="right"/>
              <w:rPr>
                <w:sz w:val="18"/>
                <w:szCs w:val="18"/>
                <w:lang w:val="es-419" w:eastAsia="es-419"/>
              </w:rPr>
            </w:pPr>
            <w:r w:rsidRPr="006F0BB0">
              <w:rPr>
                <w:sz w:val="18"/>
                <w:szCs w:val="18"/>
                <w:lang w:val="es-419" w:eastAsia="es-419"/>
              </w:rPr>
              <w:t>143 242</w:t>
            </w:r>
          </w:p>
        </w:tc>
        <w:tc>
          <w:tcPr>
            <w:tcW w:w="978" w:type="dxa"/>
            <w:tcBorders>
              <w:top w:val="nil"/>
              <w:left w:val="nil"/>
              <w:bottom w:val="single" w:sz="4" w:space="0" w:color="auto"/>
              <w:right w:val="single" w:sz="4" w:space="0" w:color="auto"/>
            </w:tcBorders>
            <w:shd w:val="clear" w:color="auto" w:fill="auto"/>
            <w:noWrap/>
            <w:hideMark/>
          </w:tcPr>
          <w:p w14:paraId="69B60A45" w14:textId="77777777" w:rsidR="006F0BB0" w:rsidRPr="006F0BB0" w:rsidRDefault="006F0BB0" w:rsidP="007D1DBA">
            <w:pPr>
              <w:jc w:val="right"/>
              <w:rPr>
                <w:sz w:val="18"/>
                <w:szCs w:val="18"/>
                <w:lang w:val="es-419" w:eastAsia="es-419"/>
              </w:rPr>
            </w:pPr>
            <w:r w:rsidRPr="006F0BB0">
              <w:rPr>
                <w:sz w:val="18"/>
                <w:szCs w:val="18"/>
                <w:lang w:val="es-419" w:eastAsia="es-419"/>
              </w:rPr>
              <w:t>146 107</w:t>
            </w:r>
          </w:p>
        </w:tc>
        <w:tc>
          <w:tcPr>
            <w:tcW w:w="950" w:type="dxa"/>
            <w:tcBorders>
              <w:top w:val="nil"/>
              <w:left w:val="nil"/>
              <w:bottom w:val="single" w:sz="4" w:space="0" w:color="auto"/>
              <w:right w:val="single" w:sz="4" w:space="0" w:color="auto"/>
            </w:tcBorders>
            <w:shd w:val="clear" w:color="auto" w:fill="auto"/>
            <w:noWrap/>
            <w:hideMark/>
          </w:tcPr>
          <w:p w14:paraId="07B4FAFF" w14:textId="77777777" w:rsidR="006F0BB0" w:rsidRPr="006F0BB0" w:rsidRDefault="006F0BB0" w:rsidP="007D1DBA">
            <w:pPr>
              <w:jc w:val="right"/>
              <w:rPr>
                <w:sz w:val="18"/>
                <w:szCs w:val="18"/>
                <w:lang w:val="es-419" w:eastAsia="es-419"/>
              </w:rPr>
            </w:pPr>
            <w:r w:rsidRPr="006F0BB0">
              <w:rPr>
                <w:sz w:val="18"/>
                <w:szCs w:val="18"/>
                <w:lang w:val="es-419" w:eastAsia="es-419"/>
              </w:rPr>
              <w:t>160 718</w:t>
            </w:r>
          </w:p>
        </w:tc>
        <w:tc>
          <w:tcPr>
            <w:tcW w:w="950" w:type="dxa"/>
            <w:tcBorders>
              <w:top w:val="nil"/>
              <w:left w:val="nil"/>
              <w:bottom w:val="single" w:sz="4" w:space="0" w:color="auto"/>
              <w:right w:val="single" w:sz="4" w:space="0" w:color="auto"/>
            </w:tcBorders>
            <w:shd w:val="clear" w:color="auto" w:fill="auto"/>
            <w:noWrap/>
            <w:hideMark/>
          </w:tcPr>
          <w:p w14:paraId="450DBAC4" w14:textId="77777777" w:rsidR="006F0BB0" w:rsidRPr="006F0BB0" w:rsidRDefault="006F0BB0" w:rsidP="007D1DBA">
            <w:pPr>
              <w:jc w:val="right"/>
              <w:rPr>
                <w:sz w:val="18"/>
                <w:szCs w:val="18"/>
                <w:lang w:val="es-419" w:eastAsia="es-419"/>
              </w:rPr>
            </w:pPr>
            <w:r w:rsidRPr="006F0BB0">
              <w:rPr>
                <w:sz w:val="18"/>
                <w:szCs w:val="18"/>
                <w:lang w:val="es-419" w:eastAsia="es-419"/>
              </w:rPr>
              <w:t>176 790</w:t>
            </w:r>
          </w:p>
        </w:tc>
        <w:tc>
          <w:tcPr>
            <w:tcW w:w="1076" w:type="dxa"/>
            <w:tcBorders>
              <w:top w:val="nil"/>
              <w:left w:val="nil"/>
              <w:bottom w:val="single" w:sz="4" w:space="0" w:color="auto"/>
              <w:right w:val="single" w:sz="4" w:space="0" w:color="auto"/>
            </w:tcBorders>
            <w:shd w:val="clear" w:color="auto" w:fill="auto"/>
            <w:noWrap/>
            <w:hideMark/>
          </w:tcPr>
          <w:p w14:paraId="3AC2B889" w14:textId="77777777" w:rsidR="006F0BB0" w:rsidRPr="006F0BB0" w:rsidRDefault="006F0BB0" w:rsidP="007D1DBA">
            <w:pPr>
              <w:jc w:val="right"/>
              <w:rPr>
                <w:sz w:val="18"/>
                <w:szCs w:val="18"/>
                <w:lang w:val="es-419" w:eastAsia="es-419"/>
              </w:rPr>
            </w:pPr>
            <w:r w:rsidRPr="006F0BB0">
              <w:rPr>
                <w:sz w:val="18"/>
                <w:szCs w:val="18"/>
                <w:lang w:val="es-419" w:eastAsia="es-419"/>
              </w:rPr>
              <w:t>143 261</w:t>
            </w:r>
          </w:p>
        </w:tc>
        <w:tc>
          <w:tcPr>
            <w:tcW w:w="1034" w:type="dxa"/>
            <w:tcBorders>
              <w:top w:val="nil"/>
              <w:left w:val="nil"/>
              <w:bottom w:val="single" w:sz="4" w:space="0" w:color="auto"/>
              <w:right w:val="single" w:sz="4" w:space="0" w:color="auto"/>
            </w:tcBorders>
            <w:shd w:val="clear" w:color="auto" w:fill="auto"/>
            <w:noWrap/>
            <w:hideMark/>
          </w:tcPr>
          <w:p w14:paraId="5B2E369C" w14:textId="77777777" w:rsidR="006F0BB0" w:rsidRPr="006F0BB0" w:rsidRDefault="006F0BB0" w:rsidP="007D1DBA">
            <w:pPr>
              <w:jc w:val="right"/>
              <w:rPr>
                <w:sz w:val="18"/>
                <w:szCs w:val="18"/>
                <w:lang w:val="es-419" w:eastAsia="es-419"/>
              </w:rPr>
            </w:pPr>
            <w:r w:rsidRPr="006F0BB0">
              <w:rPr>
                <w:sz w:val="18"/>
                <w:szCs w:val="18"/>
                <w:lang w:val="es-419" w:eastAsia="es-419"/>
              </w:rPr>
              <w:t>292 312</w:t>
            </w:r>
          </w:p>
        </w:tc>
        <w:tc>
          <w:tcPr>
            <w:tcW w:w="1181" w:type="dxa"/>
            <w:tcBorders>
              <w:top w:val="nil"/>
              <w:left w:val="nil"/>
              <w:bottom w:val="single" w:sz="4" w:space="0" w:color="auto"/>
              <w:right w:val="single" w:sz="4" w:space="0" w:color="auto"/>
            </w:tcBorders>
            <w:shd w:val="clear" w:color="auto" w:fill="auto"/>
            <w:noWrap/>
            <w:hideMark/>
          </w:tcPr>
          <w:p w14:paraId="16F1EC85" w14:textId="77777777" w:rsidR="006F0BB0" w:rsidRPr="006F0BB0" w:rsidRDefault="006F0BB0" w:rsidP="007D1DBA">
            <w:pPr>
              <w:jc w:val="right"/>
              <w:rPr>
                <w:sz w:val="18"/>
                <w:szCs w:val="18"/>
                <w:lang w:val="es-419" w:eastAsia="es-419"/>
              </w:rPr>
            </w:pPr>
            <w:r w:rsidRPr="006F0BB0">
              <w:rPr>
                <w:sz w:val="18"/>
                <w:szCs w:val="18"/>
                <w:lang w:val="es-419" w:eastAsia="es-419"/>
              </w:rPr>
              <w:t>60,5%</w:t>
            </w:r>
          </w:p>
        </w:tc>
      </w:tr>
      <w:tr w:rsidR="006F0BB0" w:rsidRPr="006F0BB0" w14:paraId="38880268"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BDB38A" w14:textId="77777777" w:rsidR="006F0BB0" w:rsidRPr="006F0BB0" w:rsidRDefault="006F0BB0" w:rsidP="007D1DBA">
            <w:pPr>
              <w:jc w:val="left"/>
              <w:rPr>
                <w:sz w:val="18"/>
                <w:szCs w:val="18"/>
                <w:lang w:val="es-419" w:eastAsia="es-419"/>
              </w:rPr>
            </w:pPr>
            <w:r w:rsidRPr="006F0BB0">
              <w:rPr>
                <w:sz w:val="18"/>
                <w:szCs w:val="18"/>
                <w:lang w:val="es-419" w:eastAsia="es-419"/>
              </w:rPr>
              <w:t>Uruguay</w:t>
            </w:r>
          </w:p>
        </w:tc>
        <w:tc>
          <w:tcPr>
            <w:tcW w:w="950" w:type="dxa"/>
            <w:tcBorders>
              <w:top w:val="nil"/>
              <w:left w:val="nil"/>
              <w:bottom w:val="single" w:sz="4" w:space="0" w:color="auto"/>
              <w:right w:val="single" w:sz="4" w:space="0" w:color="auto"/>
            </w:tcBorders>
            <w:shd w:val="clear" w:color="auto" w:fill="auto"/>
            <w:noWrap/>
            <w:hideMark/>
          </w:tcPr>
          <w:p w14:paraId="429D744C" w14:textId="77777777" w:rsidR="006F0BB0" w:rsidRPr="006F0BB0" w:rsidRDefault="006F0BB0" w:rsidP="007D1DBA">
            <w:pPr>
              <w:jc w:val="right"/>
              <w:rPr>
                <w:sz w:val="18"/>
                <w:szCs w:val="18"/>
                <w:lang w:val="es-419" w:eastAsia="es-419"/>
              </w:rPr>
            </w:pPr>
            <w:r w:rsidRPr="006F0BB0">
              <w:rPr>
                <w:sz w:val="18"/>
                <w:szCs w:val="18"/>
                <w:lang w:val="es-419" w:eastAsia="es-419"/>
              </w:rPr>
              <w:t>448 663</w:t>
            </w:r>
          </w:p>
        </w:tc>
        <w:tc>
          <w:tcPr>
            <w:tcW w:w="950" w:type="dxa"/>
            <w:tcBorders>
              <w:top w:val="nil"/>
              <w:left w:val="nil"/>
              <w:bottom w:val="single" w:sz="4" w:space="0" w:color="auto"/>
              <w:right w:val="single" w:sz="4" w:space="0" w:color="auto"/>
            </w:tcBorders>
            <w:shd w:val="clear" w:color="auto" w:fill="auto"/>
            <w:noWrap/>
            <w:hideMark/>
          </w:tcPr>
          <w:p w14:paraId="2D83662C" w14:textId="77777777" w:rsidR="006F0BB0" w:rsidRPr="006F0BB0" w:rsidRDefault="006F0BB0" w:rsidP="007D1DBA">
            <w:pPr>
              <w:jc w:val="right"/>
              <w:rPr>
                <w:sz w:val="18"/>
                <w:szCs w:val="18"/>
                <w:lang w:val="es-419" w:eastAsia="es-419"/>
              </w:rPr>
            </w:pPr>
            <w:r w:rsidRPr="006F0BB0">
              <w:rPr>
                <w:sz w:val="18"/>
                <w:szCs w:val="18"/>
                <w:lang w:val="es-419" w:eastAsia="es-419"/>
              </w:rPr>
              <w:t>457 636</w:t>
            </w:r>
          </w:p>
        </w:tc>
        <w:tc>
          <w:tcPr>
            <w:tcW w:w="950" w:type="dxa"/>
            <w:tcBorders>
              <w:top w:val="nil"/>
              <w:left w:val="nil"/>
              <w:bottom w:val="single" w:sz="4" w:space="0" w:color="auto"/>
              <w:right w:val="single" w:sz="4" w:space="0" w:color="auto"/>
            </w:tcBorders>
            <w:shd w:val="clear" w:color="auto" w:fill="auto"/>
            <w:noWrap/>
            <w:hideMark/>
          </w:tcPr>
          <w:p w14:paraId="24F3794E" w14:textId="77777777" w:rsidR="006F0BB0" w:rsidRPr="006F0BB0" w:rsidRDefault="006F0BB0" w:rsidP="007D1DBA">
            <w:pPr>
              <w:jc w:val="right"/>
              <w:rPr>
                <w:sz w:val="18"/>
                <w:szCs w:val="18"/>
                <w:lang w:val="es-419" w:eastAsia="es-419"/>
              </w:rPr>
            </w:pPr>
            <w:r w:rsidRPr="006F0BB0">
              <w:rPr>
                <w:sz w:val="18"/>
                <w:szCs w:val="18"/>
                <w:lang w:val="es-419" w:eastAsia="es-419"/>
              </w:rPr>
              <w:t>466 789</w:t>
            </w:r>
          </w:p>
        </w:tc>
        <w:tc>
          <w:tcPr>
            <w:tcW w:w="978" w:type="dxa"/>
            <w:tcBorders>
              <w:top w:val="nil"/>
              <w:left w:val="nil"/>
              <w:bottom w:val="single" w:sz="4" w:space="0" w:color="auto"/>
              <w:right w:val="single" w:sz="4" w:space="0" w:color="auto"/>
            </w:tcBorders>
            <w:shd w:val="clear" w:color="auto" w:fill="auto"/>
            <w:noWrap/>
            <w:hideMark/>
          </w:tcPr>
          <w:p w14:paraId="2B817E94" w14:textId="77777777" w:rsidR="006F0BB0" w:rsidRPr="006F0BB0" w:rsidRDefault="006F0BB0" w:rsidP="007D1DBA">
            <w:pPr>
              <w:jc w:val="right"/>
              <w:rPr>
                <w:sz w:val="18"/>
                <w:szCs w:val="18"/>
                <w:lang w:val="es-419" w:eastAsia="es-419"/>
              </w:rPr>
            </w:pPr>
            <w:r w:rsidRPr="006F0BB0">
              <w:rPr>
                <w:sz w:val="18"/>
                <w:szCs w:val="18"/>
                <w:lang w:val="es-419" w:eastAsia="es-419"/>
              </w:rPr>
              <w:t>476 125</w:t>
            </w:r>
          </w:p>
        </w:tc>
        <w:tc>
          <w:tcPr>
            <w:tcW w:w="950" w:type="dxa"/>
            <w:tcBorders>
              <w:top w:val="nil"/>
              <w:left w:val="nil"/>
              <w:bottom w:val="single" w:sz="4" w:space="0" w:color="auto"/>
              <w:right w:val="single" w:sz="4" w:space="0" w:color="auto"/>
            </w:tcBorders>
            <w:shd w:val="clear" w:color="auto" w:fill="auto"/>
            <w:noWrap/>
            <w:hideMark/>
          </w:tcPr>
          <w:p w14:paraId="21E1B40E" w14:textId="77777777" w:rsidR="006F0BB0" w:rsidRPr="006F0BB0" w:rsidRDefault="006F0BB0" w:rsidP="007D1DBA">
            <w:pPr>
              <w:jc w:val="right"/>
              <w:rPr>
                <w:sz w:val="18"/>
                <w:szCs w:val="18"/>
                <w:lang w:val="es-419" w:eastAsia="es-419"/>
              </w:rPr>
            </w:pPr>
            <w:r w:rsidRPr="006F0BB0">
              <w:rPr>
                <w:sz w:val="18"/>
                <w:szCs w:val="18"/>
                <w:lang w:val="es-419" w:eastAsia="es-419"/>
              </w:rPr>
              <w:t>523 737</w:t>
            </w:r>
          </w:p>
        </w:tc>
        <w:tc>
          <w:tcPr>
            <w:tcW w:w="950" w:type="dxa"/>
            <w:tcBorders>
              <w:top w:val="nil"/>
              <w:left w:val="nil"/>
              <w:bottom w:val="single" w:sz="4" w:space="0" w:color="auto"/>
              <w:right w:val="single" w:sz="4" w:space="0" w:color="auto"/>
            </w:tcBorders>
            <w:shd w:val="clear" w:color="auto" w:fill="auto"/>
            <w:noWrap/>
            <w:hideMark/>
          </w:tcPr>
          <w:p w14:paraId="6AC55114" w14:textId="77777777" w:rsidR="006F0BB0" w:rsidRPr="006F0BB0" w:rsidRDefault="006F0BB0" w:rsidP="007D1DBA">
            <w:pPr>
              <w:jc w:val="right"/>
              <w:rPr>
                <w:sz w:val="18"/>
                <w:szCs w:val="18"/>
                <w:lang w:val="es-419" w:eastAsia="es-419"/>
              </w:rPr>
            </w:pPr>
            <w:r w:rsidRPr="006F0BB0">
              <w:rPr>
                <w:sz w:val="18"/>
                <w:szCs w:val="18"/>
                <w:lang w:val="es-419" w:eastAsia="es-419"/>
              </w:rPr>
              <w:t>576 111</w:t>
            </w:r>
          </w:p>
        </w:tc>
        <w:tc>
          <w:tcPr>
            <w:tcW w:w="1076" w:type="dxa"/>
            <w:tcBorders>
              <w:top w:val="nil"/>
              <w:left w:val="nil"/>
              <w:bottom w:val="single" w:sz="4" w:space="0" w:color="auto"/>
              <w:right w:val="single" w:sz="4" w:space="0" w:color="auto"/>
            </w:tcBorders>
            <w:shd w:val="clear" w:color="auto" w:fill="auto"/>
            <w:noWrap/>
            <w:hideMark/>
          </w:tcPr>
          <w:p w14:paraId="2EC45DDC" w14:textId="77777777" w:rsidR="006F0BB0" w:rsidRPr="006F0BB0" w:rsidRDefault="006F0BB0" w:rsidP="007D1DBA">
            <w:pPr>
              <w:jc w:val="right"/>
              <w:rPr>
                <w:sz w:val="18"/>
                <w:szCs w:val="18"/>
                <w:lang w:val="es-419" w:eastAsia="es-419"/>
              </w:rPr>
            </w:pPr>
            <w:r w:rsidRPr="006F0BB0">
              <w:rPr>
                <w:sz w:val="18"/>
                <w:szCs w:val="18"/>
                <w:lang w:val="es-419" w:eastAsia="es-419"/>
              </w:rPr>
              <w:t>466 850</w:t>
            </w:r>
          </w:p>
        </w:tc>
        <w:tc>
          <w:tcPr>
            <w:tcW w:w="1034" w:type="dxa"/>
            <w:tcBorders>
              <w:top w:val="nil"/>
              <w:left w:val="nil"/>
              <w:bottom w:val="single" w:sz="4" w:space="0" w:color="auto"/>
              <w:right w:val="single" w:sz="4" w:space="0" w:color="auto"/>
            </w:tcBorders>
            <w:shd w:val="clear" w:color="auto" w:fill="auto"/>
            <w:noWrap/>
            <w:hideMark/>
          </w:tcPr>
          <w:p w14:paraId="3E51827C" w14:textId="77777777" w:rsidR="006F0BB0" w:rsidRPr="006F0BB0" w:rsidRDefault="006F0BB0" w:rsidP="007D1DBA">
            <w:pPr>
              <w:jc w:val="right"/>
              <w:rPr>
                <w:sz w:val="18"/>
                <w:szCs w:val="18"/>
                <w:lang w:val="es-419" w:eastAsia="es-419"/>
              </w:rPr>
            </w:pPr>
            <w:r w:rsidRPr="006F0BB0">
              <w:rPr>
                <w:sz w:val="18"/>
                <w:szCs w:val="18"/>
                <w:lang w:val="es-419" w:eastAsia="es-419"/>
              </w:rPr>
              <w:t>938 800</w:t>
            </w:r>
          </w:p>
        </w:tc>
        <w:tc>
          <w:tcPr>
            <w:tcW w:w="1181" w:type="dxa"/>
            <w:tcBorders>
              <w:top w:val="nil"/>
              <w:left w:val="nil"/>
              <w:bottom w:val="single" w:sz="4" w:space="0" w:color="auto"/>
              <w:right w:val="single" w:sz="4" w:space="0" w:color="auto"/>
            </w:tcBorders>
            <w:shd w:val="clear" w:color="auto" w:fill="auto"/>
            <w:noWrap/>
            <w:hideMark/>
          </w:tcPr>
          <w:p w14:paraId="5807A66A" w14:textId="77777777" w:rsidR="006F0BB0" w:rsidRPr="006F0BB0" w:rsidRDefault="006F0BB0" w:rsidP="007D1DBA">
            <w:pPr>
              <w:jc w:val="right"/>
              <w:rPr>
                <w:sz w:val="18"/>
                <w:szCs w:val="18"/>
                <w:lang w:val="es-419" w:eastAsia="es-419"/>
              </w:rPr>
            </w:pPr>
            <w:r w:rsidRPr="006F0BB0">
              <w:rPr>
                <w:sz w:val="18"/>
                <w:szCs w:val="18"/>
                <w:lang w:val="es-419" w:eastAsia="es-419"/>
              </w:rPr>
              <w:t>61,4%</w:t>
            </w:r>
          </w:p>
        </w:tc>
      </w:tr>
      <w:tr w:rsidR="006F0BB0" w:rsidRPr="006F0BB0" w14:paraId="0D868B6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D117B6" w14:textId="77777777" w:rsidR="006F0BB0" w:rsidRPr="006F0BB0" w:rsidRDefault="006F0BB0" w:rsidP="007D1DBA">
            <w:pPr>
              <w:jc w:val="left"/>
              <w:rPr>
                <w:sz w:val="18"/>
                <w:szCs w:val="18"/>
                <w:lang w:val="es-419" w:eastAsia="es-419"/>
              </w:rPr>
            </w:pPr>
            <w:r w:rsidRPr="006F0BB0">
              <w:rPr>
                <w:sz w:val="18"/>
                <w:szCs w:val="18"/>
                <w:lang w:val="es-419" w:eastAsia="es-419"/>
              </w:rPr>
              <w:t>Burkina Faso</w:t>
            </w:r>
          </w:p>
        </w:tc>
        <w:tc>
          <w:tcPr>
            <w:tcW w:w="950" w:type="dxa"/>
            <w:tcBorders>
              <w:top w:val="nil"/>
              <w:left w:val="nil"/>
              <w:bottom w:val="single" w:sz="4" w:space="0" w:color="auto"/>
              <w:right w:val="single" w:sz="4" w:space="0" w:color="auto"/>
            </w:tcBorders>
            <w:shd w:val="clear" w:color="auto" w:fill="auto"/>
            <w:noWrap/>
            <w:hideMark/>
          </w:tcPr>
          <w:p w14:paraId="74878957" w14:textId="77777777" w:rsidR="006F0BB0" w:rsidRPr="006F0BB0" w:rsidRDefault="006F0BB0" w:rsidP="007D1DBA">
            <w:pPr>
              <w:jc w:val="right"/>
              <w:rPr>
                <w:sz w:val="18"/>
                <w:szCs w:val="18"/>
                <w:lang w:val="es-419" w:eastAsia="es-419"/>
              </w:rPr>
            </w:pPr>
            <w:r w:rsidRPr="006F0BB0">
              <w:rPr>
                <w:sz w:val="18"/>
                <w:szCs w:val="18"/>
                <w:lang w:val="es-419" w:eastAsia="es-419"/>
              </w:rPr>
              <w:t>622 456</w:t>
            </w:r>
          </w:p>
        </w:tc>
        <w:tc>
          <w:tcPr>
            <w:tcW w:w="950" w:type="dxa"/>
            <w:tcBorders>
              <w:top w:val="nil"/>
              <w:left w:val="nil"/>
              <w:bottom w:val="single" w:sz="4" w:space="0" w:color="auto"/>
              <w:right w:val="single" w:sz="4" w:space="0" w:color="auto"/>
            </w:tcBorders>
            <w:shd w:val="clear" w:color="auto" w:fill="auto"/>
            <w:noWrap/>
            <w:hideMark/>
          </w:tcPr>
          <w:p w14:paraId="0EACC1D9" w14:textId="77777777" w:rsidR="006F0BB0" w:rsidRPr="006F0BB0" w:rsidRDefault="006F0BB0" w:rsidP="007D1DBA">
            <w:pPr>
              <w:jc w:val="right"/>
              <w:rPr>
                <w:sz w:val="18"/>
                <w:szCs w:val="18"/>
                <w:lang w:val="es-419" w:eastAsia="es-419"/>
              </w:rPr>
            </w:pPr>
            <w:r w:rsidRPr="006F0BB0">
              <w:rPr>
                <w:sz w:val="18"/>
                <w:szCs w:val="18"/>
                <w:lang w:val="es-419" w:eastAsia="es-419"/>
              </w:rPr>
              <w:t>634 905</w:t>
            </w:r>
          </w:p>
        </w:tc>
        <w:tc>
          <w:tcPr>
            <w:tcW w:w="950" w:type="dxa"/>
            <w:tcBorders>
              <w:top w:val="nil"/>
              <w:left w:val="nil"/>
              <w:bottom w:val="single" w:sz="4" w:space="0" w:color="auto"/>
              <w:right w:val="single" w:sz="4" w:space="0" w:color="auto"/>
            </w:tcBorders>
            <w:shd w:val="clear" w:color="auto" w:fill="auto"/>
            <w:noWrap/>
            <w:hideMark/>
          </w:tcPr>
          <w:p w14:paraId="14956366" w14:textId="77777777" w:rsidR="006F0BB0" w:rsidRPr="006F0BB0" w:rsidRDefault="006F0BB0" w:rsidP="007D1DBA">
            <w:pPr>
              <w:jc w:val="right"/>
              <w:rPr>
                <w:sz w:val="18"/>
                <w:szCs w:val="18"/>
                <w:lang w:val="es-419" w:eastAsia="es-419"/>
              </w:rPr>
            </w:pPr>
            <w:r w:rsidRPr="006F0BB0">
              <w:rPr>
                <w:sz w:val="18"/>
                <w:szCs w:val="18"/>
                <w:lang w:val="es-419" w:eastAsia="es-419"/>
              </w:rPr>
              <w:t>647 603</w:t>
            </w:r>
          </w:p>
        </w:tc>
        <w:tc>
          <w:tcPr>
            <w:tcW w:w="978" w:type="dxa"/>
            <w:tcBorders>
              <w:top w:val="nil"/>
              <w:left w:val="nil"/>
              <w:bottom w:val="single" w:sz="4" w:space="0" w:color="auto"/>
              <w:right w:val="single" w:sz="4" w:space="0" w:color="auto"/>
            </w:tcBorders>
            <w:shd w:val="clear" w:color="auto" w:fill="auto"/>
            <w:noWrap/>
            <w:hideMark/>
          </w:tcPr>
          <w:p w14:paraId="4212F10F" w14:textId="77777777" w:rsidR="006F0BB0" w:rsidRPr="006F0BB0" w:rsidRDefault="006F0BB0" w:rsidP="007D1DBA">
            <w:pPr>
              <w:jc w:val="right"/>
              <w:rPr>
                <w:sz w:val="18"/>
                <w:szCs w:val="18"/>
                <w:lang w:val="es-419" w:eastAsia="es-419"/>
              </w:rPr>
            </w:pPr>
            <w:r w:rsidRPr="006F0BB0">
              <w:rPr>
                <w:sz w:val="18"/>
                <w:szCs w:val="18"/>
                <w:lang w:val="es-419" w:eastAsia="es-419"/>
              </w:rPr>
              <w:t>660 555</w:t>
            </w:r>
          </w:p>
        </w:tc>
        <w:tc>
          <w:tcPr>
            <w:tcW w:w="950" w:type="dxa"/>
            <w:tcBorders>
              <w:top w:val="nil"/>
              <w:left w:val="nil"/>
              <w:bottom w:val="single" w:sz="4" w:space="0" w:color="auto"/>
              <w:right w:val="single" w:sz="4" w:space="0" w:color="auto"/>
            </w:tcBorders>
            <w:shd w:val="clear" w:color="auto" w:fill="auto"/>
            <w:noWrap/>
            <w:hideMark/>
          </w:tcPr>
          <w:p w14:paraId="6BB69E58" w14:textId="77777777" w:rsidR="006F0BB0" w:rsidRPr="006F0BB0" w:rsidRDefault="006F0BB0" w:rsidP="007D1DBA">
            <w:pPr>
              <w:jc w:val="right"/>
              <w:rPr>
                <w:sz w:val="18"/>
                <w:szCs w:val="18"/>
                <w:lang w:val="es-419" w:eastAsia="es-419"/>
              </w:rPr>
            </w:pPr>
            <w:r w:rsidRPr="006F0BB0">
              <w:rPr>
                <w:sz w:val="18"/>
                <w:szCs w:val="18"/>
                <w:lang w:val="es-419" w:eastAsia="es-419"/>
              </w:rPr>
              <w:t>726 611</w:t>
            </w:r>
          </w:p>
        </w:tc>
        <w:tc>
          <w:tcPr>
            <w:tcW w:w="950" w:type="dxa"/>
            <w:tcBorders>
              <w:top w:val="nil"/>
              <w:left w:val="nil"/>
              <w:bottom w:val="single" w:sz="4" w:space="0" w:color="auto"/>
              <w:right w:val="single" w:sz="4" w:space="0" w:color="auto"/>
            </w:tcBorders>
            <w:shd w:val="clear" w:color="auto" w:fill="auto"/>
            <w:noWrap/>
            <w:hideMark/>
          </w:tcPr>
          <w:p w14:paraId="57E58443" w14:textId="77777777" w:rsidR="006F0BB0" w:rsidRPr="006F0BB0" w:rsidRDefault="006F0BB0" w:rsidP="007D1DBA">
            <w:pPr>
              <w:jc w:val="right"/>
              <w:rPr>
                <w:sz w:val="18"/>
                <w:szCs w:val="18"/>
                <w:lang w:val="es-419" w:eastAsia="es-419"/>
              </w:rPr>
            </w:pPr>
            <w:r w:rsidRPr="006F0BB0">
              <w:rPr>
                <w:sz w:val="18"/>
                <w:szCs w:val="18"/>
                <w:lang w:val="es-419" w:eastAsia="es-419"/>
              </w:rPr>
              <w:t>799 272</w:t>
            </w:r>
          </w:p>
        </w:tc>
        <w:tc>
          <w:tcPr>
            <w:tcW w:w="1076" w:type="dxa"/>
            <w:tcBorders>
              <w:top w:val="nil"/>
              <w:left w:val="nil"/>
              <w:bottom w:val="single" w:sz="4" w:space="0" w:color="auto"/>
              <w:right w:val="single" w:sz="4" w:space="0" w:color="auto"/>
            </w:tcBorders>
            <w:shd w:val="clear" w:color="auto" w:fill="auto"/>
            <w:noWrap/>
            <w:hideMark/>
          </w:tcPr>
          <w:p w14:paraId="1B0FE691" w14:textId="77777777" w:rsidR="006F0BB0" w:rsidRPr="006F0BB0" w:rsidRDefault="006F0BB0" w:rsidP="007D1DBA">
            <w:pPr>
              <w:jc w:val="right"/>
              <w:rPr>
                <w:sz w:val="18"/>
                <w:szCs w:val="18"/>
                <w:lang w:val="es-419" w:eastAsia="es-419"/>
              </w:rPr>
            </w:pPr>
            <w:r w:rsidRPr="006F0BB0">
              <w:rPr>
                <w:sz w:val="18"/>
                <w:szCs w:val="18"/>
                <w:lang w:val="es-419" w:eastAsia="es-419"/>
              </w:rPr>
              <w:t>647 688</w:t>
            </w:r>
          </w:p>
        </w:tc>
        <w:tc>
          <w:tcPr>
            <w:tcW w:w="1034" w:type="dxa"/>
            <w:tcBorders>
              <w:top w:val="nil"/>
              <w:left w:val="nil"/>
              <w:bottom w:val="single" w:sz="4" w:space="0" w:color="auto"/>
              <w:right w:val="single" w:sz="4" w:space="0" w:color="auto"/>
            </w:tcBorders>
            <w:shd w:val="clear" w:color="auto" w:fill="auto"/>
            <w:noWrap/>
            <w:hideMark/>
          </w:tcPr>
          <w:p w14:paraId="4C0D158D" w14:textId="77777777" w:rsidR="006F0BB0" w:rsidRPr="006F0BB0" w:rsidRDefault="006F0BB0" w:rsidP="007D1DBA">
            <w:pPr>
              <w:jc w:val="right"/>
              <w:rPr>
                <w:sz w:val="18"/>
                <w:szCs w:val="18"/>
                <w:lang w:val="es-419" w:eastAsia="es-419"/>
              </w:rPr>
            </w:pPr>
            <w:r w:rsidRPr="006F0BB0">
              <w:rPr>
                <w:sz w:val="18"/>
                <w:szCs w:val="18"/>
                <w:lang w:val="es-419" w:eastAsia="es-419"/>
              </w:rPr>
              <w:t>1 265 497</w:t>
            </w:r>
          </w:p>
        </w:tc>
        <w:tc>
          <w:tcPr>
            <w:tcW w:w="1181" w:type="dxa"/>
            <w:tcBorders>
              <w:top w:val="nil"/>
              <w:left w:val="nil"/>
              <w:bottom w:val="single" w:sz="4" w:space="0" w:color="auto"/>
              <w:right w:val="single" w:sz="4" w:space="0" w:color="auto"/>
            </w:tcBorders>
            <w:shd w:val="clear" w:color="auto" w:fill="auto"/>
            <w:noWrap/>
            <w:hideMark/>
          </w:tcPr>
          <w:p w14:paraId="2D00AA00" w14:textId="77777777" w:rsidR="006F0BB0" w:rsidRPr="006F0BB0" w:rsidRDefault="006F0BB0" w:rsidP="007D1DBA">
            <w:pPr>
              <w:jc w:val="right"/>
              <w:rPr>
                <w:sz w:val="18"/>
                <w:szCs w:val="18"/>
                <w:lang w:val="es-419" w:eastAsia="es-419"/>
              </w:rPr>
            </w:pPr>
            <w:r w:rsidRPr="006F0BB0">
              <w:rPr>
                <w:sz w:val="18"/>
                <w:szCs w:val="18"/>
                <w:lang w:val="es-419" w:eastAsia="es-419"/>
              </w:rPr>
              <w:t>63,2%</w:t>
            </w:r>
          </w:p>
        </w:tc>
      </w:tr>
      <w:tr w:rsidR="006F0BB0" w:rsidRPr="006F0BB0" w14:paraId="1296A67D"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9FD519" w14:textId="77777777" w:rsidR="006F0BB0" w:rsidRPr="006F0BB0" w:rsidRDefault="006F0BB0" w:rsidP="007D1DBA">
            <w:pPr>
              <w:jc w:val="left"/>
              <w:rPr>
                <w:sz w:val="18"/>
                <w:szCs w:val="18"/>
                <w:lang w:val="es-419" w:eastAsia="es-419"/>
              </w:rPr>
            </w:pPr>
            <w:r w:rsidRPr="006F0BB0">
              <w:rPr>
                <w:sz w:val="18"/>
                <w:szCs w:val="18"/>
                <w:lang w:val="es-419" w:eastAsia="es-419"/>
              </w:rPr>
              <w:t>Haití</w:t>
            </w:r>
          </w:p>
        </w:tc>
        <w:tc>
          <w:tcPr>
            <w:tcW w:w="950" w:type="dxa"/>
            <w:tcBorders>
              <w:top w:val="nil"/>
              <w:left w:val="nil"/>
              <w:bottom w:val="single" w:sz="4" w:space="0" w:color="auto"/>
              <w:right w:val="single" w:sz="4" w:space="0" w:color="auto"/>
            </w:tcBorders>
            <w:shd w:val="clear" w:color="auto" w:fill="auto"/>
            <w:noWrap/>
            <w:hideMark/>
          </w:tcPr>
          <w:p w14:paraId="77BF0DA0" w14:textId="77777777" w:rsidR="006F0BB0" w:rsidRPr="006F0BB0" w:rsidRDefault="006F0BB0" w:rsidP="007D1DBA">
            <w:pPr>
              <w:jc w:val="right"/>
              <w:rPr>
                <w:sz w:val="18"/>
                <w:szCs w:val="18"/>
                <w:lang w:val="es-419" w:eastAsia="es-419"/>
              </w:rPr>
            </w:pPr>
            <w:r w:rsidRPr="006F0BB0">
              <w:rPr>
                <w:sz w:val="18"/>
                <w:szCs w:val="18"/>
                <w:lang w:val="es-419" w:eastAsia="es-419"/>
              </w:rPr>
              <w:t>93 303</w:t>
            </w:r>
          </w:p>
        </w:tc>
        <w:tc>
          <w:tcPr>
            <w:tcW w:w="950" w:type="dxa"/>
            <w:tcBorders>
              <w:top w:val="nil"/>
              <w:left w:val="nil"/>
              <w:bottom w:val="single" w:sz="4" w:space="0" w:color="auto"/>
              <w:right w:val="single" w:sz="4" w:space="0" w:color="auto"/>
            </w:tcBorders>
            <w:shd w:val="clear" w:color="auto" w:fill="auto"/>
            <w:noWrap/>
            <w:hideMark/>
          </w:tcPr>
          <w:p w14:paraId="777AA28A" w14:textId="77777777" w:rsidR="006F0BB0" w:rsidRPr="006F0BB0" w:rsidRDefault="006F0BB0" w:rsidP="007D1DBA">
            <w:pPr>
              <w:jc w:val="right"/>
              <w:rPr>
                <w:sz w:val="18"/>
                <w:szCs w:val="18"/>
                <w:lang w:val="es-419" w:eastAsia="es-419"/>
              </w:rPr>
            </w:pPr>
            <w:r w:rsidRPr="006F0BB0">
              <w:rPr>
                <w:sz w:val="18"/>
                <w:szCs w:val="18"/>
                <w:lang w:val="es-419" w:eastAsia="es-419"/>
              </w:rPr>
              <w:t>95 169</w:t>
            </w:r>
          </w:p>
        </w:tc>
        <w:tc>
          <w:tcPr>
            <w:tcW w:w="950" w:type="dxa"/>
            <w:tcBorders>
              <w:top w:val="nil"/>
              <w:left w:val="nil"/>
              <w:bottom w:val="single" w:sz="4" w:space="0" w:color="auto"/>
              <w:right w:val="single" w:sz="4" w:space="0" w:color="auto"/>
            </w:tcBorders>
            <w:shd w:val="clear" w:color="auto" w:fill="auto"/>
            <w:noWrap/>
            <w:hideMark/>
          </w:tcPr>
          <w:p w14:paraId="36BA8C3B" w14:textId="77777777" w:rsidR="006F0BB0" w:rsidRPr="006F0BB0" w:rsidRDefault="006F0BB0" w:rsidP="007D1DBA">
            <w:pPr>
              <w:jc w:val="right"/>
              <w:rPr>
                <w:sz w:val="18"/>
                <w:szCs w:val="18"/>
                <w:lang w:val="es-419" w:eastAsia="es-419"/>
              </w:rPr>
            </w:pPr>
            <w:r w:rsidRPr="006F0BB0">
              <w:rPr>
                <w:sz w:val="18"/>
                <w:szCs w:val="18"/>
                <w:lang w:val="es-419" w:eastAsia="es-419"/>
              </w:rPr>
              <w:t>97 072</w:t>
            </w:r>
          </w:p>
        </w:tc>
        <w:tc>
          <w:tcPr>
            <w:tcW w:w="978" w:type="dxa"/>
            <w:tcBorders>
              <w:top w:val="nil"/>
              <w:left w:val="nil"/>
              <w:bottom w:val="single" w:sz="4" w:space="0" w:color="auto"/>
              <w:right w:val="single" w:sz="4" w:space="0" w:color="auto"/>
            </w:tcBorders>
            <w:shd w:val="clear" w:color="auto" w:fill="auto"/>
            <w:noWrap/>
            <w:hideMark/>
          </w:tcPr>
          <w:p w14:paraId="2DA29644" w14:textId="77777777" w:rsidR="006F0BB0" w:rsidRPr="006F0BB0" w:rsidRDefault="006F0BB0" w:rsidP="007D1DBA">
            <w:pPr>
              <w:jc w:val="right"/>
              <w:rPr>
                <w:sz w:val="18"/>
                <w:szCs w:val="18"/>
                <w:lang w:val="es-419" w:eastAsia="es-419"/>
              </w:rPr>
            </w:pPr>
            <w:r w:rsidRPr="006F0BB0">
              <w:rPr>
                <w:sz w:val="18"/>
                <w:szCs w:val="18"/>
                <w:lang w:val="es-419" w:eastAsia="es-419"/>
              </w:rPr>
              <w:t>99 014</w:t>
            </w:r>
          </w:p>
        </w:tc>
        <w:tc>
          <w:tcPr>
            <w:tcW w:w="950" w:type="dxa"/>
            <w:tcBorders>
              <w:top w:val="nil"/>
              <w:left w:val="nil"/>
              <w:bottom w:val="single" w:sz="4" w:space="0" w:color="auto"/>
              <w:right w:val="single" w:sz="4" w:space="0" w:color="auto"/>
            </w:tcBorders>
            <w:shd w:val="clear" w:color="auto" w:fill="auto"/>
            <w:noWrap/>
            <w:hideMark/>
          </w:tcPr>
          <w:p w14:paraId="516B7895" w14:textId="77777777" w:rsidR="006F0BB0" w:rsidRPr="006F0BB0" w:rsidRDefault="006F0BB0" w:rsidP="007D1DBA">
            <w:pPr>
              <w:jc w:val="right"/>
              <w:rPr>
                <w:sz w:val="18"/>
                <w:szCs w:val="18"/>
                <w:lang w:val="es-419" w:eastAsia="es-419"/>
              </w:rPr>
            </w:pPr>
            <w:r w:rsidRPr="006F0BB0">
              <w:rPr>
                <w:sz w:val="18"/>
                <w:szCs w:val="18"/>
                <w:lang w:val="es-419" w:eastAsia="es-419"/>
              </w:rPr>
              <w:t>108 915</w:t>
            </w:r>
          </w:p>
        </w:tc>
        <w:tc>
          <w:tcPr>
            <w:tcW w:w="950" w:type="dxa"/>
            <w:tcBorders>
              <w:top w:val="nil"/>
              <w:left w:val="nil"/>
              <w:bottom w:val="single" w:sz="4" w:space="0" w:color="auto"/>
              <w:right w:val="single" w:sz="4" w:space="0" w:color="auto"/>
            </w:tcBorders>
            <w:shd w:val="clear" w:color="auto" w:fill="auto"/>
            <w:noWrap/>
            <w:hideMark/>
          </w:tcPr>
          <w:p w14:paraId="22FDC9B7" w14:textId="77777777" w:rsidR="006F0BB0" w:rsidRPr="006F0BB0" w:rsidRDefault="006F0BB0" w:rsidP="007D1DBA">
            <w:pPr>
              <w:jc w:val="right"/>
              <w:rPr>
                <w:sz w:val="18"/>
                <w:szCs w:val="18"/>
                <w:lang w:val="es-419" w:eastAsia="es-419"/>
              </w:rPr>
            </w:pPr>
            <w:r w:rsidRPr="006F0BB0">
              <w:rPr>
                <w:sz w:val="18"/>
                <w:szCs w:val="18"/>
                <w:lang w:val="es-419" w:eastAsia="es-419"/>
              </w:rPr>
              <w:t>119 807</w:t>
            </w:r>
          </w:p>
        </w:tc>
        <w:tc>
          <w:tcPr>
            <w:tcW w:w="1076" w:type="dxa"/>
            <w:tcBorders>
              <w:top w:val="nil"/>
              <w:left w:val="nil"/>
              <w:bottom w:val="single" w:sz="4" w:space="0" w:color="auto"/>
              <w:right w:val="single" w:sz="4" w:space="0" w:color="auto"/>
            </w:tcBorders>
            <w:shd w:val="clear" w:color="auto" w:fill="auto"/>
            <w:noWrap/>
            <w:hideMark/>
          </w:tcPr>
          <w:p w14:paraId="7D30464C" w14:textId="77777777" w:rsidR="006F0BB0" w:rsidRPr="006F0BB0" w:rsidRDefault="006F0BB0" w:rsidP="007D1DBA">
            <w:pPr>
              <w:jc w:val="right"/>
              <w:rPr>
                <w:sz w:val="18"/>
                <w:szCs w:val="18"/>
                <w:lang w:val="es-419" w:eastAsia="es-419"/>
              </w:rPr>
            </w:pPr>
            <w:r w:rsidRPr="006F0BB0">
              <w:rPr>
                <w:sz w:val="18"/>
                <w:szCs w:val="18"/>
                <w:lang w:val="es-419" w:eastAsia="es-419"/>
              </w:rPr>
              <w:t>97 085</w:t>
            </w:r>
          </w:p>
        </w:tc>
        <w:tc>
          <w:tcPr>
            <w:tcW w:w="1034" w:type="dxa"/>
            <w:tcBorders>
              <w:top w:val="nil"/>
              <w:left w:val="nil"/>
              <w:bottom w:val="single" w:sz="4" w:space="0" w:color="auto"/>
              <w:right w:val="single" w:sz="4" w:space="0" w:color="auto"/>
            </w:tcBorders>
            <w:shd w:val="clear" w:color="auto" w:fill="auto"/>
            <w:noWrap/>
            <w:hideMark/>
          </w:tcPr>
          <w:p w14:paraId="4005C320" w14:textId="77777777" w:rsidR="006F0BB0" w:rsidRPr="006F0BB0" w:rsidRDefault="006F0BB0" w:rsidP="007D1DBA">
            <w:pPr>
              <w:jc w:val="right"/>
              <w:rPr>
                <w:sz w:val="18"/>
                <w:szCs w:val="18"/>
                <w:lang w:val="es-419" w:eastAsia="es-419"/>
              </w:rPr>
            </w:pPr>
            <w:r w:rsidRPr="006F0BB0">
              <w:rPr>
                <w:sz w:val="18"/>
                <w:szCs w:val="18"/>
                <w:lang w:val="es-419" w:eastAsia="es-419"/>
              </w:rPr>
              <w:t>174 734</w:t>
            </w:r>
          </w:p>
        </w:tc>
        <w:tc>
          <w:tcPr>
            <w:tcW w:w="1181" w:type="dxa"/>
            <w:tcBorders>
              <w:top w:val="nil"/>
              <w:left w:val="nil"/>
              <w:bottom w:val="single" w:sz="4" w:space="0" w:color="auto"/>
              <w:right w:val="single" w:sz="4" w:space="0" w:color="auto"/>
            </w:tcBorders>
            <w:shd w:val="clear" w:color="auto" w:fill="auto"/>
            <w:noWrap/>
            <w:hideMark/>
          </w:tcPr>
          <w:p w14:paraId="381B83A8" w14:textId="77777777" w:rsidR="006F0BB0" w:rsidRPr="006F0BB0" w:rsidRDefault="006F0BB0" w:rsidP="007D1DBA">
            <w:pPr>
              <w:jc w:val="right"/>
              <w:rPr>
                <w:sz w:val="18"/>
                <w:szCs w:val="18"/>
                <w:lang w:val="es-419" w:eastAsia="es-419"/>
              </w:rPr>
            </w:pPr>
            <w:r w:rsidRPr="006F0BB0">
              <w:rPr>
                <w:sz w:val="18"/>
                <w:szCs w:val="18"/>
                <w:lang w:val="es-419" w:eastAsia="es-419"/>
              </w:rPr>
              <w:t>68,6%</w:t>
            </w:r>
          </w:p>
        </w:tc>
      </w:tr>
      <w:tr w:rsidR="006F0BB0" w:rsidRPr="006F0BB0" w14:paraId="083F4C49"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87DD6D0" w14:textId="77777777" w:rsidR="006F0BB0" w:rsidRPr="006F0BB0" w:rsidRDefault="006F0BB0" w:rsidP="007D1DBA">
            <w:pPr>
              <w:jc w:val="left"/>
              <w:rPr>
                <w:sz w:val="18"/>
                <w:szCs w:val="18"/>
                <w:lang w:val="es-419" w:eastAsia="es-419"/>
              </w:rPr>
            </w:pPr>
            <w:r w:rsidRPr="006F0BB0">
              <w:rPr>
                <w:sz w:val="18"/>
                <w:szCs w:val="18"/>
                <w:lang w:val="es-419" w:eastAsia="es-419"/>
              </w:rPr>
              <w:t>Sri Lanka</w:t>
            </w:r>
          </w:p>
        </w:tc>
        <w:tc>
          <w:tcPr>
            <w:tcW w:w="950" w:type="dxa"/>
            <w:tcBorders>
              <w:top w:val="nil"/>
              <w:left w:val="nil"/>
              <w:bottom w:val="single" w:sz="4" w:space="0" w:color="auto"/>
              <w:right w:val="single" w:sz="4" w:space="0" w:color="auto"/>
            </w:tcBorders>
            <w:shd w:val="clear" w:color="auto" w:fill="auto"/>
            <w:noWrap/>
            <w:hideMark/>
          </w:tcPr>
          <w:p w14:paraId="4EA6B564" w14:textId="77777777" w:rsidR="006F0BB0" w:rsidRPr="006F0BB0" w:rsidRDefault="006F0BB0" w:rsidP="007D1DBA">
            <w:pPr>
              <w:jc w:val="right"/>
              <w:rPr>
                <w:sz w:val="18"/>
                <w:szCs w:val="18"/>
                <w:lang w:val="es-419" w:eastAsia="es-419"/>
              </w:rPr>
            </w:pPr>
            <w:r w:rsidRPr="006F0BB0">
              <w:rPr>
                <w:sz w:val="18"/>
                <w:szCs w:val="18"/>
                <w:lang w:val="es-419" w:eastAsia="es-419"/>
              </w:rPr>
              <w:t>331 622</w:t>
            </w:r>
          </w:p>
        </w:tc>
        <w:tc>
          <w:tcPr>
            <w:tcW w:w="950" w:type="dxa"/>
            <w:tcBorders>
              <w:top w:val="nil"/>
              <w:left w:val="nil"/>
              <w:bottom w:val="single" w:sz="4" w:space="0" w:color="auto"/>
              <w:right w:val="single" w:sz="4" w:space="0" w:color="auto"/>
            </w:tcBorders>
            <w:shd w:val="clear" w:color="auto" w:fill="auto"/>
            <w:noWrap/>
            <w:hideMark/>
          </w:tcPr>
          <w:p w14:paraId="6C899045" w14:textId="77777777" w:rsidR="006F0BB0" w:rsidRPr="006F0BB0" w:rsidRDefault="006F0BB0" w:rsidP="007D1DBA">
            <w:pPr>
              <w:jc w:val="right"/>
              <w:rPr>
                <w:sz w:val="18"/>
                <w:szCs w:val="18"/>
                <w:lang w:val="es-419" w:eastAsia="es-419"/>
              </w:rPr>
            </w:pPr>
            <w:r w:rsidRPr="006F0BB0">
              <w:rPr>
                <w:sz w:val="18"/>
                <w:szCs w:val="18"/>
                <w:lang w:val="es-419" w:eastAsia="es-419"/>
              </w:rPr>
              <w:t>338 254</w:t>
            </w:r>
          </w:p>
        </w:tc>
        <w:tc>
          <w:tcPr>
            <w:tcW w:w="950" w:type="dxa"/>
            <w:tcBorders>
              <w:top w:val="nil"/>
              <w:left w:val="nil"/>
              <w:bottom w:val="single" w:sz="4" w:space="0" w:color="auto"/>
              <w:right w:val="single" w:sz="4" w:space="0" w:color="auto"/>
            </w:tcBorders>
            <w:shd w:val="clear" w:color="auto" w:fill="auto"/>
            <w:noWrap/>
            <w:hideMark/>
          </w:tcPr>
          <w:p w14:paraId="7470AA30" w14:textId="77777777" w:rsidR="006F0BB0" w:rsidRPr="006F0BB0" w:rsidRDefault="006F0BB0" w:rsidP="007D1DBA">
            <w:pPr>
              <w:jc w:val="right"/>
              <w:rPr>
                <w:sz w:val="18"/>
                <w:szCs w:val="18"/>
                <w:lang w:val="es-419" w:eastAsia="es-419"/>
              </w:rPr>
            </w:pPr>
            <w:r w:rsidRPr="006F0BB0">
              <w:rPr>
                <w:sz w:val="18"/>
                <w:szCs w:val="18"/>
                <w:lang w:val="es-419" w:eastAsia="es-419"/>
              </w:rPr>
              <w:t>345 020</w:t>
            </w:r>
          </w:p>
        </w:tc>
        <w:tc>
          <w:tcPr>
            <w:tcW w:w="978" w:type="dxa"/>
            <w:tcBorders>
              <w:top w:val="nil"/>
              <w:left w:val="nil"/>
              <w:bottom w:val="single" w:sz="4" w:space="0" w:color="auto"/>
              <w:right w:val="single" w:sz="4" w:space="0" w:color="auto"/>
            </w:tcBorders>
            <w:shd w:val="clear" w:color="auto" w:fill="auto"/>
            <w:noWrap/>
            <w:hideMark/>
          </w:tcPr>
          <w:p w14:paraId="213DEED9" w14:textId="77777777" w:rsidR="006F0BB0" w:rsidRPr="006F0BB0" w:rsidRDefault="006F0BB0" w:rsidP="007D1DBA">
            <w:pPr>
              <w:jc w:val="right"/>
              <w:rPr>
                <w:sz w:val="18"/>
                <w:szCs w:val="18"/>
                <w:lang w:val="es-419" w:eastAsia="es-419"/>
              </w:rPr>
            </w:pPr>
            <w:r w:rsidRPr="006F0BB0">
              <w:rPr>
                <w:sz w:val="18"/>
                <w:szCs w:val="18"/>
                <w:lang w:val="es-419" w:eastAsia="es-419"/>
              </w:rPr>
              <w:t>351 920</w:t>
            </w:r>
          </w:p>
        </w:tc>
        <w:tc>
          <w:tcPr>
            <w:tcW w:w="950" w:type="dxa"/>
            <w:tcBorders>
              <w:top w:val="nil"/>
              <w:left w:val="nil"/>
              <w:bottom w:val="single" w:sz="4" w:space="0" w:color="auto"/>
              <w:right w:val="single" w:sz="4" w:space="0" w:color="auto"/>
            </w:tcBorders>
            <w:shd w:val="clear" w:color="auto" w:fill="auto"/>
            <w:noWrap/>
            <w:hideMark/>
          </w:tcPr>
          <w:p w14:paraId="6000B49A" w14:textId="77777777" w:rsidR="006F0BB0" w:rsidRPr="006F0BB0" w:rsidRDefault="006F0BB0" w:rsidP="007D1DBA">
            <w:pPr>
              <w:jc w:val="right"/>
              <w:rPr>
                <w:sz w:val="18"/>
                <w:szCs w:val="18"/>
                <w:lang w:val="es-419" w:eastAsia="es-419"/>
              </w:rPr>
            </w:pPr>
            <w:r w:rsidRPr="006F0BB0">
              <w:rPr>
                <w:sz w:val="18"/>
                <w:szCs w:val="18"/>
                <w:lang w:val="es-419" w:eastAsia="es-419"/>
              </w:rPr>
              <w:t>387 112</w:t>
            </w:r>
          </w:p>
        </w:tc>
        <w:tc>
          <w:tcPr>
            <w:tcW w:w="950" w:type="dxa"/>
            <w:tcBorders>
              <w:top w:val="nil"/>
              <w:left w:val="nil"/>
              <w:bottom w:val="single" w:sz="4" w:space="0" w:color="auto"/>
              <w:right w:val="single" w:sz="4" w:space="0" w:color="auto"/>
            </w:tcBorders>
            <w:shd w:val="clear" w:color="auto" w:fill="auto"/>
            <w:noWrap/>
            <w:hideMark/>
          </w:tcPr>
          <w:p w14:paraId="161D5383" w14:textId="77777777" w:rsidR="006F0BB0" w:rsidRPr="006F0BB0" w:rsidRDefault="006F0BB0" w:rsidP="007D1DBA">
            <w:pPr>
              <w:jc w:val="right"/>
              <w:rPr>
                <w:sz w:val="18"/>
                <w:szCs w:val="18"/>
                <w:lang w:val="es-419" w:eastAsia="es-419"/>
              </w:rPr>
            </w:pPr>
            <w:r w:rsidRPr="006F0BB0">
              <w:rPr>
                <w:sz w:val="18"/>
                <w:szCs w:val="18"/>
                <w:lang w:val="es-419" w:eastAsia="es-419"/>
              </w:rPr>
              <w:t>425 823</w:t>
            </w:r>
          </w:p>
        </w:tc>
        <w:tc>
          <w:tcPr>
            <w:tcW w:w="1076" w:type="dxa"/>
            <w:tcBorders>
              <w:top w:val="nil"/>
              <w:left w:val="nil"/>
              <w:bottom w:val="single" w:sz="4" w:space="0" w:color="auto"/>
              <w:right w:val="single" w:sz="4" w:space="0" w:color="auto"/>
            </w:tcBorders>
            <w:shd w:val="clear" w:color="auto" w:fill="auto"/>
            <w:noWrap/>
            <w:hideMark/>
          </w:tcPr>
          <w:p w14:paraId="7E197AB7" w14:textId="77777777" w:rsidR="006F0BB0" w:rsidRPr="006F0BB0" w:rsidRDefault="006F0BB0" w:rsidP="007D1DBA">
            <w:pPr>
              <w:jc w:val="right"/>
              <w:rPr>
                <w:sz w:val="18"/>
                <w:szCs w:val="18"/>
                <w:lang w:val="es-419" w:eastAsia="es-419"/>
              </w:rPr>
            </w:pPr>
            <w:r w:rsidRPr="006F0BB0">
              <w:rPr>
                <w:sz w:val="18"/>
                <w:szCs w:val="18"/>
                <w:lang w:val="es-419" w:eastAsia="es-419"/>
              </w:rPr>
              <w:t>345 065</w:t>
            </w:r>
          </w:p>
        </w:tc>
        <w:tc>
          <w:tcPr>
            <w:tcW w:w="1034" w:type="dxa"/>
            <w:tcBorders>
              <w:top w:val="nil"/>
              <w:left w:val="nil"/>
              <w:bottom w:val="single" w:sz="4" w:space="0" w:color="auto"/>
              <w:right w:val="single" w:sz="4" w:space="0" w:color="auto"/>
            </w:tcBorders>
            <w:shd w:val="clear" w:color="auto" w:fill="auto"/>
            <w:noWrap/>
            <w:hideMark/>
          </w:tcPr>
          <w:p w14:paraId="3285AC2D" w14:textId="77777777" w:rsidR="006F0BB0" w:rsidRPr="006F0BB0" w:rsidRDefault="006F0BB0" w:rsidP="007D1DBA">
            <w:pPr>
              <w:jc w:val="right"/>
              <w:rPr>
                <w:sz w:val="18"/>
                <w:szCs w:val="18"/>
                <w:lang w:val="es-419" w:eastAsia="es-419"/>
              </w:rPr>
            </w:pPr>
            <w:r w:rsidRPr="006F0BB0">
              <w:rPr>
                <w:sz w:val="18"/>
                <w:szCs w:val="18"/>
                <w:lang w:val="es-419" w:eastAsia="es-419"/>
              </w:rPr>
              <w:t>609 929</w:t>
            </w:r>
          </w:p>
        </w:tc>
        <w:tc>
          <w:tcPr>
            <w:tcW w:w="1181" w:type="dxa"/>
            <w:tcBorders>
              <w:top w:val="nil"/>
              <w:left w:val="nil"/>
              <w:bottom w:val="single" w:sz="4" w:space="0" w:color="auto"/>
              <w:right w:val="single" w:sz="4" w:space="0" w:color="auto"/>
            </w:tcBorders>
            <w:shd w:val="clear" w:color="auto" w:fill="auto"/>
            <w:noWrap/>
            <w:hideMark/>
          </w:tcPr>
          <w:p w14:paraId="4D2B1130" w14:textId="77777777" w:rsidR="006F0BB0" w:rsidRPr="006F0BB0" w:rsidRDefault="006F0BB0" w:rsidP="007D1DBA">
            <w:pPr>
              <w:jc w:val="right"/>
              <w:rPr>
                <w:sz w:val="18"/>
                <w:szCs w:val="18"/>
                <w:lang w:val="es-419" w:eastAsia="es-419"/>
              </w:rPr>
            </w:pPr>
            <w:r w:rsidRPr="006F0BB0">
              <w:rPr>
                <w:sz w:val="18"/>
                <w:szCs w:val="18"/>
                <w:lang w:val="es-419" w:eastAsia="es-419"/>
              </w:rPr>
              <w:t>69,8%</w:t>
            </w:r>
          </w:p>
        </w:tc>
      </w:tr>
      <w:tr w:rsidR="006F0BB0" w:rsidRPr="006F0BB0" w14:paraId="34BB5A5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5E4AEE" w14:textId="77777777" w:rsidR="006F0BB0" w:rsidRPr="006F0BB0" w:rsidRDefault="006F0BB0" w:rsidP="007D1DBA">
            <w:pPr>
              <w:jc w:val="left"/>
              <w:rPr>
                <w:sz w:val="18"/>
                <w:szCs w:val="18"/>
                <w:lang w:val="es-419" w:eastAsia="es-419"/>
              </w:rPr>
            </w:pPr>
            <w:r w:rsidRPr="006F0BB0">
              <w:rPr>
                <w:sz w:val="18"/>
                <w:szCs w:val="18"/>
                <w:lang w:val="es-419" w:eastAsia="es-419"/>
              </w:rPr>
              <w:t>Timor Leste</w:t>
            </w:r>
          </w:p>
        </w:tc>
        <w:tc>
          <w:tcPr>
            <w:tcW w:w="950" w:type="dxa"/>
            <w:tcBorders>
              <w:top w:val="nil"/>
              <w:left w:val="nil"/>
              <w:bottom w:val="single" w:sz="4" w:space="0" w:color="auto"/>
              <w:right w:val="single" w:sz="4" w:space="0" w:color="auto"/>
            </w:tcBorders>
            <w:shd w:val="clear" w:color="auto" w:fill="auto"/>
            <w:noWrap/>
            <w:hideMark/>
          </w:tcPr>
          <w:p w14:paraId="5F6D986D" w14:textId="77777777" w:rsidR="006F0BB0" w:rsidRPr="006F0BB0" w:rsidRDefault="006F0BB0" w:rsidP="007D1DBA">
            <w:pPr>
              <w:jc w:val="right"/>
              <w:rPr>
                <w:sz w:val="18"/>
                <w:szCs w:val="18"/>
                <w:lang w:val="es-419" w:eastAsia="es-419"/>
              </w:rPr>
            </w:pPr>
            <w:r w:rsidRPr="006F0BB0">
              <w:rPr>
                <w:sz w:val="18"/>
                <w:szCs w:val="18"/>
                <w:lang w:val="es-419" w:eastAsia="es-419"/>
              </w:rPr>
              <w:t>13 645</w:t>
            </w:r>
          </w:p>
        </w:tc>
        <w:tc>
          <w:tcPr>
            <w:tcW w:w="950" w:type="dxa"/>
            <w:tcBorders>
              <w:top w:val="nil"/>
              <w:left w:val="nil"/>
              <w:bottom w:val="single" w:sz="4" w:space="0" w:color="auto"/>
              <w:right w:val="single" w:sz="4" w:space="0" w:color="auto"/>
            </w:tcBorders>
            <w:shd w:val="clear" w:color="auto" w:fill="auto"/>
            <w:noWrap/>
            <w:hideMark/>
          </w:tcPr>
          <w:p w14:paraId="0A7D7321" w14:textId="77777777" w:rsidR="006F0BB0" w:rsidRPr="006F0BB0" w:rsidRDefault="006F0BB0" w:rsidP="007D1DBA">
            <w:pPr>
              <w:jc w:val="right"/>
              <w:rPr>
                <w:sz w:val="18"/>
                <w:szCs w:val="18"/>
                <w:lang w:val="es-419" w:eastAsia="es-419"/>
              </w:rPr>
            </w:pPr>
            <w:r w:rsidRPr="006F0BB0">
              <w:rPr>
                <w:sz w:val="18"/>
                <w:szCs w:val="18"/>
                <w:lang w:val="es-419" w:eastAsia="es-419"/>
              </w:rPr>
              <w:t>13 918</w:t>
            </w:r>
          </w:p>
        </w:tc>
        <w:tc>
          <w:tcPr>
            <w:tcW w:w="950" w:type="dxa"/>
            <w:tcBorders>
              <w:top w:val="nil"/>
              <w:left w:val="nil"/>
              <w:bottom w:val="single" w:sz="4" w:space="0" w:color="auto"/>
              <w:right w:val="single" w:sz="4" w:space="0" w:color="auto"/>
            </w:tcBorders>
            <w:shd w:val="clear" w:color="auto" w:fill="auto"/>
            <w:noWrap/>
            <w:hideMark/>
          </w:tcPr>
          <w:p w14:paraId="09B67130" w14:textId="77777777" w:rsidR="006F0BB0" w:rsidRPr="006F0BB0" w:rsidRDefault="006F0BB0" w:rsidP="007D1DBA">
            <w:pPr>
              <w:jc w:val="right"/>
              <w:rPr>
                <w:sz w:val="18"/>
                <w:szCs w:val="18"/>
                <w:lang w:val="es-419" w:eastAsia="es-419"/>
              </w:rPr>
            </w:pPr>
            <w:r w:rsidRPr="006F0BB0">
              <w:rPr>
                <w:sz w:val="18"/>
                <w:szCs w:val="18"/>
                <w:lang w:val="es-419" w:eastAsia="es-419"/>
              </w:rPr>
              <w:t>14 196</w:t>
            </w:r>
          </w:p>
        </w:tc>
        <w:tc>
          <w:tcPr>
            <w:tcW w:w="978" w:type="dxa"/>
            <w:tcBorders>
              <w:top w:val="nil"/>
              <w:left w:val="nil"/>
              <w:bottom w:val="single" w:sz="4" w:space="0" w:color="auto"/>
              <w:right w:val="single" w:sz="4" w:space="0" w:color="auto"/>
            </w:tcBorders>
            <w:shd w:val="clear" w:color="auto" w:fill="auto"/>
            <w:noWrap/>
            <w:hideMark/>
          </w:tcPr>
          <w:p w14:paraId="3720FAC1" w14:textId="77777777" w:rsidR="006F0BB0" w:rsidRPr="006F0BB0" w:rsidRDefault="006F0BB0" w:rsidP="007D1DBA">
            <w:pPr>
              <w:jc w:val="right"/>
              <w:rPr>
                <w:sz w:val="18"/>
                <w:szCs w:val="18"/>
                <w:lang w:val="es-419" w:eastAsia="es-419"/>
              </w:rPr>
            </w:pPr>
            <w:r w:rsidRPr="006F0BB0">
              <w:rPr>
                <w:sz w:val="18"/>
                <w:szCs w:val="18"/>
                <w:lang w:val="es-419" w:eastAsia="es-419"/>
              </w:rPr>
              <w:t>14 480</w:t>
            </w:r>
          </w:p>
        </w:tc>
        <w:tc>
          <w:tcPr>
            <w:tcW w:w="950" w:type="dxa"/>
            <w:tcBorders>
              <w:top w:val="nil"/>
              <w:left w:val="nil"/>
              <w:bottom w:val="single" w:sz="4" w:space="0" w:color="auto"/>
              <w:right w:val="single" w:sz="4" w:space="0" w:color="auto"/>
            </w:tcBorders>
            <w:shd w:val="clear" w:color="auto" w:fill="auto"/>
            <w:noWrap/>
            <w:hideMark/>
          </w:tcPr>
          <w:p w14:paraId="0740A06C" w14:textId="77777777" w:rsidR="006F0BB0" w:rsidRPr="006F0BB0" w:rsidRDefault="006F0BB0" w:rsidP="007D1DBA">
            <w:pPr>
              <w:jc w:val="right"/>
              <w:rPr>
                <w:sz w:val="18"/>
                <w:szCs w:val="18"/>
                <w:lang w:val="es-419" w:eastAsia="es-419"/>
              </w:rPr>
            </w:pPr>
            <w:r w:rsidRPr="006F0BB0">
              <w:rPr>
                <w:sz w:val="18"/>
                <w:szCs w:val="18"/>
                <w:lang w:val="es-419" w:eastAsia="es-419"/>
              </w:rPr>
              <w:t>15 928</w:t>
            </w:r>
          </w:p>
        </w:tc>
        <w:tc>
          <w:tcPr>
            <w:tcW w:w="950" w:type="dxa"/>
            <w:tcBorders>
              <w:top w:val="nil"/>
              <w:left w:val="nil"/>
              <w:bottom w:val="single" w:sz="4" w:space="0" w:color="auto"/>
              <w:right w:val="single" w:sz="4" w:space="0" w:color="auto"/>
            </w:tcBorders>
            <w:shd w:val="clear" w:color="auto" w:fill="auto"/>
            <w:noWrap/>
            <w:hideMark/>
          </w:tcPr>
          <w:p w14:paraId="55570EB3" w14:textId="77777777" w:rsidR="006F0BB0" w:rsidRPr="006F0BB0" w:rsidRDefault="006F0BB0" w:rsidP="007D1DBA">
            <w:pPr>
              <w:jc w:val="right"/>
              <w:rPr>
                <w:sz w:val="18"/>
                <w:szCs w:val="18"/>
                <w:lang w:val="es-419" w:eastAsia="es-419"/>
              </w:rPr>
            </w:pPr>
            <w:r w:rsidRPr="006F0BB0">
              <w:rPr>
                <w:sz w:val="18"/>
                <w:szCs w:val="18"/>
                <w:lang w:val="es-419" w:eastAsia="es-419"/>
              </w:rPr>
              <w:t>17 521</w:t>
            </w:r>
          </w:p>
        </w:tc>
        <w:tc>
          <w:tcPr>
            <w:tcW w:w="1076" w:type="dxa"/>
            <w:tcBorders>
              <w:top w:val="nil"/>
              <w:left w:val="nil"/>
              <w:bottom w:val="single" w:sz="4" w:space="0" w:color="auto"/>
              <w:right w:val="single" w:sz="4" w:space="0" w:color="auto"/>
            </w:tcBorders>
            <w:shd w:val="clear" w:color="auto" w:fill="auto"/>
            <w:noWrap/>
            <w:hideMark/>
          </w:tcPr>
          <w:p w14:paraId="07DBBD1A" w14:textId="77777777" w:rsidR="006F0BB0" w:rsidRPr="006F0BB0" w:rsidRDefault="006F0BB0" w:rsidP="007D1DBA">
            <w:pPr>
              <w:jc w:val="right"/>
              <w:rPr>
                <w:sz w:val="18"/>
                <w:szCs w:val="18"/>
                <w:lang w:val="es-419" w:eastAsia="es-419"/>
              </w:rPr>
            </w:pPr>
            <w:r w:rsidRPr="006F0BB0">
              <w:rPr>
                <w:sz w:val="18"/>
                <w:szCs w:val="18"/>
                <w:lang w:val="es-419" w:eastAsia="es-419"/>
              </w:rPr>
              <w:t>14 198</w:t>
            </w:r>
          </w:p>
        </w:tc>
        <w:tc>
          <w:tcPr>
            <w:tcW w:w="1034" w:type="dxa"/>
            <w:tcBorders>
              <w:top w:val="nil"/>
              <w:left w:val="nil"/>
              <w:bottom w:val="single" w:sz="4" w:space="0" w:color="auto"/>
              <w:right w:val="single" w:sz="4" w:space="0" w:color="auto"/>
            </w:tcBorders>
            <w:shd w:val="clear" w:color="auto" w:fill="auto"/>
            <w:noWrap/>
            <w:hideMark/>
          </w:tcPr>
          <w:p w14:paraId="13F23A48" w14:textId="77777777" w:rsidR="006F0BB0" w:rsidRPr="006F0BB0" w:rsidRDefault="006F0BB0" w:rsidP="007D1DBA">
            <w:pPr>
              <w:jc w:val="right"/>
              <w:rPr>
                <w:sz w:val="18"/>
                <w:szCs w:val="18"/>
                <w:lang w:val="es-419" w:eastAsia="es-419"/>
              </w:rPr>
            </w:pPr>
            <w:r w:rsidRPr="006F0BB0">
              <w:rPr>
                <w:sz w:val="18"/>
                <w:szCs w:val="18"/>
                <w:lang w:val="es-419" w:eastAsia="es-419"/>
              </w:rPr>
              <w:t>24 878</w:t>
            </w:r>
          </w:p>
        </w:tc>
        <w:tc>
          <w:tcPr>
            <w:tcW w:w="1181" w:type="dxa"/>
            <w:tcBorders>
              <w:top w:val="nil"/>
              <w:left w:val="nil"/>
              <w:bottom w:val="single" w:sz="4" w:space="0" w:color="auto"/>
              <w:right w:val="single" w:sz="4" w:space="0" w:color="auto"/>
            </w:tcBorders>
            <w:shd w:val="clear" w:color="auto" w:fill="auto"/>
            <w:noWrap/>
            <w:hideMark/>
          </w:tcPr>
          <w:p w14:paraId="4EB29999" w14:textId="77777777" w:rsidR="006F0BB0" w:rsidRPr="006F0BB0" w:rsidRDefault="006F0BB0" w:rsidP="007D1DBA">
            <w:pPr>
              <w:jc w:val="right"/>
              <w:rPr>
                <w:sz w:val="18"/>
                <w:szCs w:val="18"/>
                <w:lang w:val="es-419" w:eastAsia="es-419"/>
              </w:rPr>
            </w:pPr>
            <w:r w:rsidRPr="006F0BB0">
              <w:rPr>
                <w:sz w:val="18"/>
                <w:szCs w:val="18"/>
                <w:lang w:val="es-419" w:eastAsia="es-419"/>
              </w:rPr>
              <w:t>70,4%</w:t>
            </w:r>
          </w:p>
        </w:tc>
      </w:tr>
      <w:tr w:rsidR="006F0BB0" w:rsidRPr="006F0BB0" w14:paraId="73808E1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284F088" w14:textId="77777777" w:rsidR="006F0BB0" w:rsidRPr="006F0BB0" w:rsidRDefault="006F0BB0" w:rsidP="007D1DBA">
            <w:pPr>
              <w:jc w:val="left"/>
              <w:rPr>
                <w:sz w:val="18"/>
                <w:szCs w:val="18"/>
                <w:lang w:val="es-419" w:eastAsia="es-419"/>
              </w:rPr>
            </w:pPr>
            <w:r w:rsidRPr="006F0BB0">
              <w:rPr>
                <w:sz w:val="18"/>
                <w:szCs w:val="18"/>
                <w:lang w:val="es-419" w:eastAsia="es-419"/>
              </w:rPr>
              <w:t>Túnez</w:t>
            </w:r>
          </w:p>
        </w:tc>
        <w:tc>
          <w:tcPr>
            <w:tcW w:w="950" w:type="dxa"/>
            <w:tcBorders>
              <w:top w:val="nil"/>
              <w:left w:val="nil"/>
              <w:bottom w:val="single" w:sz="4" w:space="0" w:color="auto"/>
              <w:right w:val="single" w:sz="4" w:space="0" w:color="auto"/>
            </w:tcBorders>
            <w:shd w:val="clear" w:color="auto" w:fill="auto"/>
            <w:noWrap/>
            <w:hideMark/>
          </w:tcPr>
          <w:p w14:paraId="110C44BC" w14:textId="77777777" w:rsidR="006F0BB0" w:rsidRPr="006F0BB0" w:rsidRDefault="006F0BB0" w:rsidP="007D1DBA">
            <w:pPr>
              <w:jc w:val="right"/>
              <w:rPr>
                <w:sz w:val="18"/>
                <w:szCs w:val="18"/>
                <w:lang w:val="es-419" w:eastAsia="es-419"/>
              </w:rPr>
            </w:pPr>
            <w:r w:rsidRPr="006F0BB0">
              <w:rPr>
                <w:sz w:val="18"/>
                <w:szCs w:val="18"/>
                <w:lang w:val="es-419" w:eastAsia="es-419"/>
              </w:rPr>
              <w:t>1 253 622</w:t>
            </w:r>
          </w:p>
        </w:tc>
        <w:tc>
          <w:tcPr>
            <w:tcW w:w="950" w:type="dxa"/>
            <w:tcBorders>
              <w:top w:val="nil"/>
              <w:left w:val="nil"/>
              <w:bottom w:val="single" w:sz="4" w:space="0" w:color="auto"/>
              <w:right w:val="single" w:sz="4" w:space="0" w:color="auto"/>
            </w:tcBorders>
            <w:shd w:val="clear" w:color="auto" w:fill="auto"/>
            <w:noWrap/>
            <w:hideMark/>
          </w:tcPr>
          <w:p w14:paraId="1EB5A409" w14:textId="77777777" w:rsidR="006F0BB0" w:rsidRPr="006F0BB0" w:rsidRDefault="006F0BB0" w:rsidP="007D1DBA">
            <w:pPr>
              <w:jc w:val="right"/>
              <w:rPr>
                <w:sz w:val="18"/>
                <w:szCs w:val="18"/>
                <w:lang w:val="es-419" w:eastAsia="es-419"/>
              </w:rPr>
            </w:pPr>
            <w:r w:rsidRPr="006F0BB0">
              <w:rPr>
                <w:sz w:val="18"/>
                <w:szCs w:val="18"/>
                <w:lang w:val="es-419" w:eastAsia="es-419"/>
              </w:rPr>
              <w:t>1 278 694</w:t>
            </w:r>
          </w:p>
        </w:tc>
        <w:tc>
          <w:tcPr>
            <w:tcW w:w="950" w:type="dxa"/>
            <w:tcBorders>
              <w:top w:val="nil"/>
              <w:left w:val="nil"/>
              <w:bottom w:val="single" w:sz="4" w:space="0" w:color="auto"/>
              <w:right w:val="single" w:sz="4" w:space="0" w:color="auto"/>
            </w:tcBorders>
            <w:shd w:val="clear" w:color="auto" w:fill="auto"/>
            <w:noWrap/>
            <w:hideMark/>
          </w:tcPr>
          <w:p w14:paraId="3962A88A" w14:textId="77777777" w:rsidR="006F0BB0" w:rsidRPr="006F0BB0" w:rsidRDefault="006F0BB0" w:rsidP="007D1DBA">
            <w:pPr>
              <w:jc w:val="right"/>
              <w:rPr>
                <w:sz w:val="18"/>
                <w:szCs w:val="18"/>
                <w:lang w:val="es-419" w:eastAsia="es-419"/>
              </w:rPr>
            </w:pPr>
            <w:r w:rsidRPr="006F0BB0">
              <w:rPr>
                <w:sz w:val="18"/>
                <w:szCs w:val="18"/>
                <w:lang w:val="es-419" w:eastAsia="es-419"/>
              </w:rPr>
              <w:t>1 304 268</w:t>
            </w:r>
          </w:p>
        </w:tc>
        <w:tc>
          <w:tcPr>
            <w:tcW w:w="978" w:type="dxa"/>
            <w:tcBorders>
              <w:top w:val="nil"/>
              <w:left w:val="nil"/>
              <w:bottom w:val="single" w:sz="4" w:space="0" w:color="auto"/>
              <w:right w:val="single" w:sz="4" w:space="0" w:color="auto"/>
            </w:tcBorders>
            <w:shd w:val="clear" w:color="auto" w:fill="auto"/>
            <w:noWrap/>
            <w:hideMark/>
          </w:tcPr>
          <w:p w14:paraId="18E8839D" w14:textId="77777777" w:rsidR="006F0BB0" w:rsidRPr="006F0BB0" w:rsidRDefault="006F0BB0" w:rsidP="007D1DBA">
            <w:pPr>
              <w:jc w:val="right"/>
              <w:rPr>
                <w:sz w:val="18"/>
                <w:szCs w:val="18"/>
                <w:lang w:val="es-419" w:eastAsia="es-419"/>
              </w:rPr>
            </w:pPr>
            <w:r w:rsidRPr="006F0BB0">
              <w:rPr>
                <w:sz w:val="18"/>
                <w:szCs w:val="18"/>
                <w:lang w:val="es-419" w:eastAsia="es-419"/>
              </w:rPr>
              <w:t>1 330 354</w:t>
            </w:r>
          </w:p>
        </w:tc>
        <w:tc>
          <w:tcPr>
            <w:tcW w:w="950" w:type="dxa"/>
            <w:tcBorders>
              <w:top w:val="nil"/>
              <w:left w:val="nil"/>
              <w:bottom w:val="single" w:sz="4" w:space="0" w:color="auto"/>
              <w:right w:val="single" w:sz="4" w:space="0" w:color="auto"/>
            </w:tcBorders>
            <w:shd w:val="clear" w:color="auto" w:fill="auto"/>
            <w:noWrap/>
            <w:hideMark/>
          </w:tcPr>
          <w:p w14:paraId="2B0DCA78" w14:textId="77777777" w:rsidR="006F0BB0" w:rsidRPr="006F0BB0" w:rsidRDefault="006F0BB0" w:rsidP="007D1DBA">
            <w:pPr>
              <w:jc w:val="right"/>
              <w:rPr>
                <w:sz w:val="18"/>
                <w:szCs w:val="18"/>
                <w:lang w:val="es-419" w:eastAsia="es-419"/>
              </w:rPr>
            </w:pPr>
            <w:r w:rsidRPr="006F0BB0">
              <w:rPr>
                <w:sz w:val="18"/>
                <w:szCs w:val="18"/>
                <w:lang w:val="es-419" w:eastAsia="es-419"/>
              </w:rPr>
              <w:t>1 463 389</w:t>
            </w:r>
          </w:p>
        </w:tc>
        <w:tc>
          <w:tcPr>
            <w:tcW w:w="950" w:type="dxa"/>
            <w:tcBorders>
              <w:top w:val="nil"/>
              <w:left w:val="nil"/>
              <w:bottom w:val="single" w:sz="4" w:space="0" w:color="auto"/>
              <w:right w:val="single" w:sz="4" w:space="0" w:color="auto"/>
            </w:tcBorders>
            <w:shd w:val="clear" w:color="auto" w:fill="auto"/>
            <w:noWrap/>
            <w:hideMark/>
          </w:tcPr>
          <w:p w14:paraId="4B1D2C6B" w14:textId="77777777" w:rsidR="006F0BB0" w:rsidRPr="006F0BB0" w:rsidRDefault="006F0BB0" w:rsidP="007D1DBA">
            <w:pPr>
              <w:jc w:val="right"/>
              <w:rPr>
                <w:sz w:val="18"/>
                <w:szCs w:val="18"/>
                <w:lang w:val="es-419" w:eastAsia="es-419"/>
              </w:rPr>
            </w:pPr>
            <w:r w:rsidRPr="006F0BB0">
              <w:rPr>
                <w:sz w:val="18"/>
                <w:szCs w:val="18"/>
                <w:lang w:val="es-419" w:eastAsia="es-419"/>
              </w:rPr>
              <w:t>1 609 728</w:t>
            </w:r>
          </w:p>
        </w:tc>
        <w:tc>
          <w:tcPr>
            <w:tcW w:w="1076" w:type="dxa"/>
            <w:tcBorders>
              <w:top w:val="nil"/>
              <w:left w:val="nil"/>
              <w:bottom w:val="single" w:sz="4" w:space="0" w:color="auto"/>
              <w:right w:val="single" w:sz="4" w:space="0" w:color="auto"/>
            </w:tcBorders>
            <w:shd w:val="clear" w:color="auto" w:fill="auto"/>
            <w:noWrap/>
            <w:hideMark/>
          </w:tcPr>
          <w:p w14:paraId="393DE202" w14:textId="77777777" w:rsidR="006F0BB0" w:rsidRPr="006F0BB0" w:rsidRDefault="006F0BB0" w:rsidP="007D1DBA">
            <w:pPr>
              <w:jc w:val="right"/>
              <w:rPr>
                <w:sz w:val="18"/>
                <w:szCs w:val="18"/>
                <w:lang w:val="es-419" w:eastAsia="es-419"/>
              </w:rPr>
            </w:pPr>
            <w:r w:rsidRPr="006F0BB0">
              <w:rPr>
                <w:sz w:val="18"/>
                <w:szCs w:val="18"/>
                <w:lang w:val="es-419" w:eastAsia="es-419"/>
              </w:rPr>
              <w:t>1 304 439</w:t>
            </w:r>
          </w:p>
        </w:tc>
        <w:tc>
          <w:tcPr>
            <w:tcW w:w="1034" w:type="dxa"/>
            <w:tcBorders>
              <w:top w:val="nil"/>
              <w:left w:val="nil"/>
              <w:bottom w:val="single" w:sz="4" w:space="0" w:color="auto"/>
              <w:right w:val="single" w:sz="4" w:space="0" w:color="auto"/>
            </w:tcBorders>
            <w:shd w:val="clear" w:color="auto" w:fill="auto"/>
            <w:noWrap/>
            <w:hideMark/>
          </w:tcPr>
          <w:p w14:paraId="1614381A" w14:textId="77777777" w:rsidR="006F0BB0" w:rsidRPr="006F0BB0" w:rsidRDefault="006F0BB0" w:rsidP="007D1DBA">
            <w:pPr>
              <w:jc w:val="right"/>
              <w:rPr>
                <w:sz w:val="18"/>
                <w:szCs w:val="18"/>
                <w:lang w:val="es-419" w:eastAsia="es-419"/>
              </w:rPr>
            </w:pPr>
            <w:r w:rsidRPr="006F0BB0">
              <w:rPr>
                <w:sz w:val="18"/>
                <w:szCs w:val="18"/>
                <w:lang w:val="es-419" w:eastAsia="es-419"/>
              </w:rPr>
              <w:t>2 146 684</w:t>
            </w:r>
          </w:p>
        </w:tc>
        <w:tc>
          <w:tcPr>
            <w:tcW w:w="1181" w:type="dxa"/>
            <w:tcBorders>
              <w:top w:val="nil"/>
              <w:left w:val="nil"/>
              <w:bottom w:val="single" w:sz="4" w:space="0" w:color="auto"/>
              <w:right w:val="single" w:sz="4" w:space="0" w:color="auto"/>
            </w:tcBorders>
            <w:shd w:val="clear" w:color="auto" w:fill="auto"/>
            <w:noWrap/>
            <w:hideMark/>
          </w:tcPr>
          <w:p w14:paraId="20B8FAF7" w14:textId="77777777" w:rsidR="006F0BB0" w:rsidRPr="006F0BB0" w:rsidRDefault="006F0BB0" w:rsidP="007D1DBA">
            <w:pPr>
              <w:jc w:val="right"/>
              <w:rPr>
                <w:sz w:val="18"/>
                <w:szCs w:val="18"/>
                <w:lang w:val="es-419" w:eastAsia="es-419"/>
              </w:rPr>
            </w:pPr>
            <w:r w:rsidRPr="006F0BB0">
              <w:rPr>
                <w:sz w:val="18"/>
                <w:szCs w:val="18"/>
                <w:lang w:val="es-419" w:eastAsia="es-419"/>
              </w:rPr>
              <w:t>75,0%</w:t>
            </w:r>
          </w:p>
        </w:tc>
      </w:tr>
      <w:tr w:rsidR="006F0BB0" w:rsidRPr="006F0BB0" w14:paraId="331CFC3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D75F86" w14:textId="77777777" w:rsidR="006F0BB0" w:rsidRPr="006F0BB0" w:rsidRDefault="006F0BB0" w:rsidP="007D1DBA">
            <w:pPr>
              <w:jc w:val="left"/>
              <w:rPr>
                <w:sz w:val="18"/>
                <w:szCs w:val="18"/>
                <w:lang w:val="es-419" w:eastAsia="es-419"/>
              </w:rPr>
            </w:pPr>
            <w:r w:rsidRPr="006F0BB0">
              <w:rPr>
                <w:sz w:val="18"/>
                <w:szCs w:val="18"/>
                <w:lang w:val="es-419" w:eastAsia="es-419"/>
              </w:rPr>
              <w:t>Islas Marshall</w:t>
            </w:r>
          </w:p>
        </w:tc>
        <w:tc>
          <w:tcPr>
            <w:tcW w:w="950" w:type="dxa"/>
            <w:tcBorders>
              <w:top w:val="nil"/>
              <w:left w:val="nil"/>
              <w:bottom w:val="single" w:sz="4" w:space="0" w:color="auto"/>
              <w:right w:val="single" w:sz="4" w:space="0" w:color="auto"/>
            </w:tcBorders>
            <w:shd w:val="clear" w:color="auto" w:fill="auto"/>
            <w:noWrap/>
            <w:hideMark/>
          </w:tcPr>
          <w:p w14:paraId="52784B74" w14:textId="77777777" w:rsidR="006F0BB0" w:rsidRPr="006F0BB0" w:rsidRDefault="006F0BB0" w:rsidP="007D1DBA">
            <w:pPr>
              <w:jc w:val="right"/>
              <w:rPr>
                <w:sz w:val="18"/>
                <w:szCs w:val="18"/>
                <w:lang w:val="es-419" w:eastAsia="es-419"/>
              </w:rPr>
            </w:pPr>
            <w:r w:rsidRPr="006F0BB0">
              <w:rPr>
                <w:sz w:val="18"/>
                <w:szCs w:val="18"/>
                <w:lang w:val="es-419" w:eastAsia="es-419"/>
              </w:rPr>
              <w:t>7 096</w:t>
            </w:r>
          </w:p>
        </w:tc>
        <w:tc>
          <w:tcPr>
            <w:tcW w:w="950" w:type="dxa"/>
            <w:tcBorders>
              <w:top w:val="nil"/>
              <w:left w:val="nil"/>
              <w:bottom w:val="single" w:sz="4" w:space="0" w:color="auto"/>
              <w:right w:val="single" w:sz="4" w:space="0" w:color="auto"/>
            </w:tcBorders>
            <w:shd w:val="clear" w:color="auto" w:fill="auto"/>
            <w:noWrap/>
            <w:hideMark/>
          </w:tcPr>
          <w:p w14:paraId="6BF38EAF" w14:textId="77777777" w:rsidR="006F0BB0" w:rsidRPr="006F0BB0" w:rsidRDefault="006F0BB0" w:rsidP="007D1DBA">
            <w:pPr>
              <w:jc w:val="right"/>
              <w:rPr>
                <w:sz w:val="18"/>
                <w:szCs w:val="18"/>
                <w:lang w:val="es-419" w:eastAsia="es-419"/>
              </w:rPr>
            </w:pPr>
            <w:r w:rsidRPr="006F0BB0">
              <w:rPr>
                <w:sz w:val="18"/>
                <w:szCs w:val="18"/>
                <w:lang w:val="es-419" w:eastAsia="es-419"/>
              </w:rPr>
              <w:t>7 238</w:t>
            </w:r>
          </w:p>
        </w:tc>
        <w:tc>
          <w:tcPr>
            <w:tcW w:w="950" w:type="dxa"/>
            <w:tcBorders>
              <w:top w:val="nil"/>
              <w:left w:val="nil"/>
              <w:bottom w:val="single" w:sz="4" w:space="0" w:color="auto"/>
              <w:right w:val="single" w:sz="4" w:space="0" w:color="auto"/>
            </w:tcBorders>
            <w:shd w:val="clear" w:color="auto" w:fill="auto"/>
            <w:noWrap/>
            <w:hideMark/>
          </w:tcPr>
          <w:p w14:paraId="79B5BED7" w14:textId="77777777" w:rsidR="006F0BB0" w:rsidRPr="006F0BB0" w:rsidRDefault="006F0BB0" w:rsidP="007D1DBA">
            <w:pPr>
              <w:jc w:val="right"/>
              <w:rPr>
                <w:sz w:val="18"/>
                <w:szCs w:val="18"/>
                <w:lang w:val="es-419" w:eastAsia="es-419"/>
              </w:rPr>
            </w:pPr>
            <w:r w:rsidRPr="006F0BB0">
              <w:rPr>
                <w:sz w:val="18"/>
                <w:szCs w:val="18"/>
                <w:lang w:val="es-419" w:eastAsia="es-419"/>
              </w:rPr>
              <w:t>7 383</w:t>
            </w:r>
          </w:p>
        </w:tc>
        <w:tc>
          <w:tcPr>
            <w:tcW w:w="978" w:type="dxa"/>
            <w:tcBorders>
              <w:top w:val="nil"/>
              <w:left w:val="nil"/>
              <w:bottom w:val="single" w:sz="4" w:space="0" w:color="auto"/>
              <w:right w:val="single" w:sz="4" w:space="0" w:color="auto"/>
            </w:tcBorders>
            <w:shd w:val="clear" w:color="auto" w:fill="auto"/>
            <w:noWrap/>
            <w:hideMark/>
          </w:tcPr>
          <w:p w14:paraId="4C673444" w14:textId="77777777" w:rsidR="006F0BB0" w:rsidRPr="006F0BB0" w:rsidRDefault="006F0BB0" w:rsidP="007D1DBA">
            <w:pPr>
              <w:jc w:val="right"/>
              <w:rPr>
                <w:sz w:val="18"/>
                <w:szCs w:val="18"/>
                <w:lang w:val="es-419" w:eastAsia="es-419"/>
              </w:rPr>
            </w:pPr>
            <w:r w:rsidRPr="006F0BB0">
              <w:rPr>
                <w:sz w:val="18"/>
                <w:szCs w:val="18"/>
                <w:lang w:val="es-419" w:eastAsia="es-419"/>
              </w:rPr>
              <w:t>7 530</w:t>
            </w:r>
          </w:p>
        </w:tc>
        <w:tc>
          <w:tcPr>
            <w:tcW w:w="950" w:type="dxa"/>
            <w:tcBorders>
              <w:top w:val="nil"/>
              <w:left w:val="nil"/>
              <w:bottom w:val="single" w:sz="4" w:space="0" w:color="auto"/>
              <w:right w:val="single" w:sz="4" w:space="0" w:color="auto"/>
            </w:tcBorders>
            <w:shd w:val="clear" w:color="auto" w:fill="auto"/>
            <w:noWrap/>
            <w:hideMark/>
          </w:tcPr>
          <w:p w14:paraId="2E4CFFC7" w14:textId="77777777" w:rsidR="006F0BB0" w:rsidRPr="006F0BB0" w:rsidRDefault="006F0BB0" w:rsidP="007D1DBA">
            <w:pPr>
              <w:jc w:val="right"/>
              <w:rPr>
                <w:sz w:val="18"/>
                <w:szCs w:val="18"/>
                <w:lang w:val="es-419" w:eastAsia="es-419"/>
              </w:rPr>
            </w:pPr>
            <w:r w:rsidRPr="006F0BB0">
              <w:rPr>
                <w:sz w:val="18"/>
                <w:szCs w:val="18"/>
                <w:lang w:val="es-419" w:eastAsia="es-419"/>
              </w:rPr>
              <w:t>8 283</w:t>
            </w:r>
          </w:p>
        </w:tc>
        <w:tc>
          <w:tcPr>
            <w:tcW w:w="950" w:type="dxa"/>
            <w:tcBorders>
              <w:top w:val="nil"/>
              <w:left w:val="nil"/>
              <w:bottom w:val="single" w:sz="4" w:space="0" w:color="auto"/>
              <w:right w:val="single" w:sz="4" w:space="0" w:color="auto"/>
            </w:tcBorders>
            <w:shd w:val="clear" w:color="auto" w:fill="auto"/>
            <w:noWrap/>
            <w:hideMark/>
          </w:tcPr>
          <w:p w14:paraId="5AFD3E6C" w14:textId="77777777" w:rsidR="006F0BB0" w:rsidRPr="006F0BB0" w:rsidRDefault="006F0BB0" w:rsidP="007D1DBA">
            <w:pPr>
              <w:jc w:val="right"/>
              <w:rPr>
                <w:sz w:val="18"/>
                <w:szCs w:val="18"/>
                <w:lang w:val="es-419" w:eastAsia="es-419"/>
              </w:rPr>
            </w:pPr>
            <w:r w:rsidRPr="006F0BB0">
              <w:rPr>
                <w:sz w:val="18"/>
                <w:szCs w:val="18"/>
                <w:lang w:val="es-419" w:eastAsia="es-419"/>
              </w:rPr>
              <w:t>9 112</w:t>
            </w:r>
          </w:p>
        </w:tc>
        <w:tc>
          <w:tcPr>
            <w:tcW w:w="1076" w:type="dxa"/>
            <w:tcBorders>
              <w:top w:val="nil"/>
              <w:left w:val="nil"/>
              <w:bottom w:val="single" w:sz="4" w:space="0" w:color="auto"/>
              <w:right w:val="single" w:sz="4" w:space="0" w:color="auto"/>
            </w:tcBorders>
            <w:shd w:val="clear" w:color="auto" w:fill="auto"/>
            <w:noWrap/>
            <w:hideMark/>
          </w:tcPr>
          <w:p w14:paraId="405099DD" w14:textId="77777777" w:rsidR="006F0BB0" w:rsidRPr="006F0BB0" w:rsidRDefault="006F0BB0" w:rsidP="007D1DBA">
            <w:pPr>
              <w:jc w:val="right"/>
              <w:rPr>
                <w:sz w:val="18"/>
                <w:szCs w:val="18"/>
                <w:lang w:val="es-419" w:eastAsia="es-419"/>
              </w:rPr>
            </w:pPr>
            <w:r w:rsidRPr="006F0BB0">
              <w:rPr>
                <w:sz w:val="18"/>
                <w:szCs w:val="18"/>
                <w:lang w:val="es-419" w:eastAsia="es-419"/>
              </w:rPr>
              <w:t>7 384</w:t>
            </w:r>
          </w:p>
        </w:tc>
        <w:tc>
          <w:tcPr>
            <w:tcW w:w="1034" w:type="dxa"/>
            <w:tcBorders>
              <w:top w:val="nil"/>
              <w:left w:val="nil"/>
              <w:bottom w:val="single" w:sz="4" w:space="0" w:color="auto"/>
              <w:right w:val="single" w:sz="4" w:space="0" w:color="auto"/>
            </w:tcBorders>
            <w:shd w:val="clear" w:color="auto" w:fill="auto"/>
            <w:noWrap/>
            <w:hideMark/>
          </w:tcPr>
          <w:p w14:paraId="6F2B8AF3" w14:textId="77777777" w:rsidR="006F0BB0" w:rsidRPr="006F0BB0" w:rsidRDefault="006F0BB0" w:rsidP="007D1DBA">
            <w:pPr>
              <w:jc w:val="right"/>
              <w:rPr>
                <w:sz w:val="18"/>
                <w:szCs w:val="18"/>
                <w:lang w:val="es-419" w:eastAsia="es-419"/>
              </w:rPr>
            </w:pPr>
            <w:r w:rsidRPr="006F0BB0">
              <w:rPr>
                <w:sz w:val="18"/>
                <w:szCs w:val="18"/>
                <w:lang w:val="es-419" w:eastAsia="es-419"/>
              </w:rPr>
              <w:t>12 078</w:t>
            </w:r>
          </w:p>
        </w:tc>
        <w:tc>
          <w:tcPr>
            <w:tcW w:w="1181" w:type="dxa"/>
            <w:tcBorders>
              <w:top w:val="nil"/>
              <w:left w:val="nil"/>
              <w:bottom w:val="single" w:sz="4" w:space="0" w:color="auto"/>
              <w:right w:val="single" w:sz="4" w:space="0" w:color="auto"/>
            </w:tcBorders>
            <w:shd w:val="clear" w:color="auto" w:fill="auto"/>
            <w:noWrap/>
            <w:hideMark/>
          </w:tcPr>
          <w:p w14:paraId="747E7A0B" w14:textId="77777777" w:rsidR="006F0BB0" w:rsidRPr="006F0BB0" w:rsidRDefault="006F0BB0" w:rsidP="007D1DBA">
            <w:pPr>
              <w:jc w:val="right"/>
              <w:rPr>
                <w:sz w:val="18"/>
                <w:szCs w:val="18"/>
                <w:lang w:val="es-419" w:eastAsia="es-419"/>
              </w:rPr>
            </w:pPr>
            <w:r w:rsidRPr="006F0BB0">
              <w:rPr>
                <w:sz w:val="18"/>
                <w:szCs w:val="18"/>
                <w:lang w:val="es-419" w:eastAsia="es-419"/>
              </w:rPr>
              <w:t>75,4%</w:t>
            </w:r>
          </w:p>
        </w:tc>
      </w:tr>
      <w:tr w:rsidR="006F0BB0" w:rsidRPr="006F0BB0" w14:paraId="5CF94BDC"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A05C74A"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Viet</w:t>
            </w:r>
            <w:proofErr w:type="spellEnd"/>
            <w:r w:rsidRPr="006F0BB0">
              <w:rPr>
                <w:sz w:val="18"/>
                <w:szCs w:val="18"/>
                <w:lang w:val="es-419" w:eastAsia="es-419"/>
              </w:rPr>
              <w:t xml:space="preserve"> </w:t>
            </w:r>
            <w:proofErr w:type="spellStart"/>
            <w:r w:rsidRPr="006F0BB0">
              <w:rPr>
                <w:sz w:val="18"/>
                <w:szCs w:val="18"/>
                <w:lang w:val="es-419" w:eastAsia="es-419"/>
              </w:rPr>
              <w:t>Nam</w:t>
            </w:r>
            <w:proofErr w:type="spellEnd"/>
          </w:p>
        </w:tc>
        <w:tc>
          <w:tcPr>
            <w:tcW w:w="950" w:type="dxa"/>
            <w:tcBorders>
              <w:top w:val="nil"/>
              <w:left w:val="nil"/>
              <w:bottom w:val="single" w:sz="4" w:space="0" w:color="auto"/>
              <w:right w:val="single" w:sz="4" w:space="0" w:color="auto"/>
            </w:tcBorders>
            <w:shd w:val="clear" w:color="auto" w:fill="auto"/>
            <w:noWrap/>
            <w:hideMark/>
          </w:tcPr>
          <w:p w14:paraId="4ABB49E2" w14:textId="77777777" w:rsidR="006F0BB0" w:rsidRPr="006F0BB0" w:rsidRDefault="006F0BB0" w:rsidP="007D1DBA">
            <w:pPr>
              <w:jc w:val="right"/>
              <w:rPr>
                <w:sz w:val="18"/>
                <w:szCs w:val="18"/>
                <w:lang w:val="es-419" w:eastAsia="es-419"/>
              </w:rPr>
            </w:pPr>
            <w:r w:rsidRPr="006F0BB0">
              <w:rPr>
                <w:sz w:val="18"/>
                <w:szCs w:val="18"/>
                <w:lang w:val="es-419" w:eastAsia="es-419"/>
              </w:rPr>
              <w:t>6 019 450</w:t>
            </w:r>
          </w:p>
        </w:tc>
        <w:tc>
          <w:tcPr>
            <w:tcW w:w="950" w:type="dxa"/>
            <w:tcBorders>
              <w:top w:val="nil"/>
              <w:left w:val="nil"/>
              <w:bottom w:val="single" w:sz="4" w:space="0" w:color="auto"/>
              <w:right w:val="single" w:sz="4" w:space="0" w:color="auto"/>
            </w:tcBorders>
            <w:shd w:val="clear" w:color="auto" w:fill="auto"/>
            <w:noWrap/>
            <w:hideMark/>
          </w:tcPr>
          <w:p w14:paraId="0E0E4171" w14:textId="77777777" w:rsidR="006F0BB0" w:rsidRPr="006F0BB0" w:rsidRDefault="006F0BB0" w:rsidP="007D1DBA">
            <w:pPr>
              <w:jc w:val="right"/>
              <w:rPr>
                <w:sz w:val="18"/>
                <w:szCs w:val="18"/>
                <w:lang w:val="es-419" w:eastAsia="es-419"/>
              </w:rPr>
            </w:pPr>
            <w:r w:rsidRPr="006F0BB0">
              <w:rPr>
                <w:sz w:val="18"/>
                <w:szCs w:val="18"/>
                <w:lang w:val="es-419" w:eastAsia="es-419"/>
              </w:rPr>
              <w:t>6 139 839</w:t>
            </w:r>
          </w:p>
        </w:tc>
        <w:tc>
          <w:tcPr>
            <w:tcW w:w="950" w:type="dxa"/>
            <w:tcBorders>
              <w:top w:val="nil"/>
              <w:left w:val="nil"/>
              <w:bottom w:val="single" w:sz="4" w:space="0" w:color="auto"/>
              <w:right w:val="single" w:sz="4" w:space="0" w:color="auto"/>
            </w:tcBorders>
            <w:shd w:val="clear" w:color="auto" w:fill="auto"/>
            <w:noWrap/>
            <w:hideMark/>
          </w:tcPr>
          <w:p w14:paraId="53F13376" w14:textId="77777777" w:rsidR="006F0BB0" w:rsidRPr="006F0BB0" w:rsidRDefault="006F0BB0" w:rsidP="007D1DBA">
            <w:pPr>
              <w:jc w:val="right"/>
              <w:rPr>
                <w:sz w:val="18"/>
                <w:szCs w:val="18"/>
                <w:lang w:val="es-419" w:eastAsia="es-419"/>
              </w:rPr>
            </w:pPr>
            <w:r w:rsidRPr="006F0BB0">
              <w:rPr>
                <w:sz w:val="18"/>
                <w:szCs w:val="18"/>
                <w:lang w:val="es-419" w:eastAsia="es-419"/>
              </w:rPr>
              <w:t>6 262 636</w:t>
            </w:r>
          </w:p>
        </w:tc>
        <w:tc>
          <w:tcPr>
            <w:tcW w:w="978" w:type="dxa"/>
            <w:tcBorders>
              <w:top w:val="nil"/>
              <w:left w:val="nil"/>
              <w:bottom w:val="single" w:sz="4" w:space="0" w:color="auto"/>
              <w:right w:val="single" w:sz="4" w:space="0" w:color="auto"/>
            </w:tcBorders>
            <w:shd w:val="clear" w:color="auto" w:fill="auto"/>
            <w:noWrap/>
            <w:hideMark/>
          </w:tcPr>
          <w:p w14:paraId="67502489" w14:textId="77777777" w:rsidR="006F0BB0" w:rsidRPr="006F0BB0" w:rsidRDefault="006F0BB0" w:rsidP="007D1DBA">
            <w:pPr>
              <w:jc w:val="right"/>
              <w:rPr>
                <w:sz w:val="18"/>
                <w:szCs w:val="18"/>
                <w:lang w:val="es-419" w:eastAsia="es-419"/>
              </w:rPr>
            </w:pPr>
            <w:r w:rsidRPr="006F0BB0">
              <w:rPr>
                <w:sz w:val="18"/>
                <w:szCs w:val="18"/>
                <w:lang w:val="es-419" w:eastAsia="es-419"/>
              </w:rPr>
              <w:t>6 387 888</w:t>
            </w:r>
          </w:p>
        </w:tc>
        <w:tc>
          <w:tcPr>
            <w:tcW w:w="950" w:type="dxa"/>
            <w:tcBorders>
              <w:top w:val="nil"/>
              <w:left w:val="nil"/>
              <w:bottom w:val="single" w:sz="4" w:space="0" w:color="auto"/>
              <w:right w:val="single" w:sz="4" w:space="0" w:color="auto"/>
            </w:tcBorders>
            <w:shd w:val="clear" w:color="auto" w:fill="auto"/>
            <w:noWrap/>
            <w:hideMark/>
          </w:tcPr>
          <w:p w14:paraId="0896807A" w14:textId="77777777" w:rsidR="006F0BB0" w:rsidRPr="006F0BB0" w:rsidRDefault="006F0BB0" w:rsidP="007D1DBA">
            <w:pPr>
              <w:jc w:val="right"/>
              <w:rPr>
                <w:sz w:val="18"/>
                <w:szCs w:val="18"/>
                <w:lang w:val="es-419" w:eastAsia="es-419"/>
              </w:rPr>
            </w:pPr>
            <w:r w:rsidRPr="006F0BB0">
              <w:rPr>
                <w:sz w:val="18"/>
                <w:szCs w:val="18"/>
                <w:lang w:val="es-419" w:eastAsia="es-419"/>
              </w:rPr>
              <w:t>7 026 677</w:t>
            </w:r>
          </w:p>
        </w:tc>
        <w:tc>
          <w:tcPr>
            <w:tcW w:w="950" w:type="dxa"/>
            <w:tcBorders>
              <w:top w:val="nil"/>
              <w:left w:val="nil"/>
              <w:bottom w:val="single" w:sz="4" w:space="0" w:color="auto"/>
              <w:right w:val="single" w:sz="4" w:space="0" w:color="auto"/>
            </w:tcBorders>
            <w:shd w:val="clear" w:color="auto" w:fill="auto"/>
            <w:noWrap/>
            <w:hideMark/>
          </w:tcPr>
          <w:p w14:paraId="10CB8098" w14:textId="77777777" w:rsidR="006F0BB0" w:rsidRPr="006F0BB0" w:rsidRDefault="006F0BB0" w:rsidP="007D1DBA">
            <w:pPr>
              <w:jc w:val="right"/>
              <w:rPr>
                <w:sz w:val="18"/>
                <w:szCs w:val="18"/>
                <w:lang w:val="es-419" w:eastAsia="es-419"/>
              </w:rPr>
            </w:pPr>
            <w:r w:rsidRPr="006F0BB0">
              <w:rPr>
                <w:sz w:val="18"/>
                <w:szCs w:val="18"/>
                <w:lang w:val="es-419" w:eastAsia="es-419"/>
              </w:rPr>
              <w:t>7 729 345</w:t>
            </w:r>
          </w:p>
        </w:tc>
        <w:tc>
          <w:tcPr>
            <w:tcW w:w="1076" w:type="dxa"/>
            <w:tcBorders>
              <w:top w:val="nil"/>
              <w:left w:val="nil"/>
              <w:bottom w:val="single" w:sz="4" w:space="0" w:color="auto"/>
              <w:right w:val="single" w:sz="4" w:space="0" w:color="auto"/>
            </w:tcBorders>
            <w:shd w:val="clear" w:color="auto" w:fill="auto"/>
            <w:noWrap/>
            <w:hideMark/>
          </w:tcPr>
          <w:p w14:paraId="6A110A81" w14:textId="77777777" w:rsidR="006F0BB0" w:rsidRPr="006F0BB0" w:rsidRDefault="006F0BB0" w:rsidP="007D1DBA">
            <w:pPr>
              <w:jc w:val="right"/>
              <w:rPr>
                <w:sz w:val="18"/>
                <w:szCs w:val="18"/>
                <w:lang w:val="es-419" w:eastAsia="es-419"/>
              </w:rPr>
            </w:pPr>
            <w:r w:rsidRPr="006F0BB0">
              <w:rPr>
                <w:sz w:val="18"/>
                <w:szCs w:val="18"/>
                <w:lang w:val="es-419" w:eastAsia="es-419"/>
              </w:rPr>
              <w:t>6 263 454</w:t>
            </w:r>
          </w:p>
        </w:tc>
        <w:tc>
          <w:tcPr>
            <w:tcW w:w="1034" w:type="dxa"/>
            <w:tcBorders>
              <w:top w:val="nil"/>
              <w:left w:val="nil"/>
              <w:bottom w:val="single" w:sz="4" w:space="0" w:color="auto"/>
              <w:right w:val="single" w:sz="4" w:space="0" w:color="auto"/>
            </w:tcBorders>
            <w:shd w:val="clear" w:color="auto" w:fill="auto"/>
            <w:noWrap/>
            <w:hideMark/>
          </w:tcPr>
          <w:p w14:paraId="2ACCD50D" w14:textId="77777777" w:rsidR="006F0BB0" w:rsidRPr="006F0BB0" w:rsidRDefault="006F0BB0" w:rsidP="007D1DBA">
            <w:pPr>
              <w:jc w:val="right"/>
              <w:rPr>
                <w:sz w:val="18"/>
                <w:szCs w:val="18"/>
                <w:lang w:val="es-419" w:eastAsia="es-419"/>
              </w:rPr>
            </w:pPr>
            <w:r w:rsidRPr="006F0BB0">
              <w:rPr>
                <w:sz w:val="18"/>
                <w:szCs w:val="18"/>
                <w:lang w:val="es-419" w:eastAsia="es-419"/>
              </w:rPr>
              <w:t>10 069 750</w:t>
            </w:r>
          </w:p>
        </w:tc>
        <w:tc>
          <w:tcPr>
            <w:tcW w:w="1181" w:type="dxa"/>
            <w:tcBorders>
              <w:top w:val="nil"/>
              <w:left w:val="nil"/>
              <w:bottom w:val="single" w:sz="4" w:space="0" w:color="auto"/>
              <w:right w:val="single" w:sz="4" w:space="0" w:color="auto"/>
            </w:tcBorders>
            <w:shd w:val="clear" w:color="auto" w:fill="auto"/>
            <w:noWrap/>
            <w:hideMark/>
          </w:tcPr>
          <w:p w14:paraId="0F161391" w14:textId="77777777" w:rsidR="006F0BB0" w:rsidRPr="006F0BB0" w:rsidRDefault="006F0BB0" w:rsidP="007D1DBA">
            <w:pPr>
              <w:jc w:val="right"/>
              <w:rPr>
                <w:sz w:val="18"/>
                <w:szCs w:val="18"/>
                <w:lang w:val="es-419" w:eastAsia="es-419"/>
              </w:rPr>
            </w:pPr>
            <w:r w:rsidRPr="006F0BB0">
              <w:rPr>
                <w:sz w:val="18"/>
                <w:szCs w:val="18"/>
                <w:lang w:val="es-419" w:eastAsia="es-419"/>
              </w:rPr>
              <w:t>76,8%</w:t>
            </w:r>
          </w:p>
        </w:tc>
      </w:tr>
      <w:tr w:rsidR="006F0BB0" w:rsidRPr="006F0BB0" w14:paraId="1F4F33B9"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E01AE0" w14:textId="77777777" w:rsidR="006F0BB0" w:rsidRPr="006F0BB0" w:rsidRDefault="006F0BB0" w:rsidP="007D1DBA">
            <w:pPr>
              <w:jc w:val="left"/>
              <w:rPr>
                <w:sz w:val="18"/>
                <w:szCs w:val="18"/>
                <w:lang w:val="es-419" w:eastAsia="es-419"/>
              </w:rPr>
            </w:pPr>
            <w:r w:rsidRPr="006F0BB0">
              <w:rPr>
                <w:sz w:val="18"/>
                <w:szCs w:val="18"/>
                <w:lang w:val="es-419" w:eastAsia="es-419"/>
              </w:rPr>
              <w:t>Granada</w:t>
            </w:r>
          </w:p>
        </w:tc>
        <w:tc>
          <w:tcPr>
            <w:tcW w:w="950" w:type="dxa"/>
            <w:tcBorders>
              <w:top w:val="nil"/>
              <w:left w:val="nil"/>
              <w:bottom w:val="single" w:sz="4" w:space="0" w:color="auto"/>
              <w:right w:val="single" w:sz="4" w:space="0" w:color="auto"/>
            </w:tcBorders>
            <w:shd w:val="clear" w:color="auto" w:fill="auto"/>
            <w:noWrap/>
            <w:hideMark/>
          </w:tcPr>
          <w:p w14:paraId="4A73E90D" w14:textId="77777777" w:rsidR="006F0BB0" w:rsidRPr="006F0BB0" w:rsidRDefault="006F0BB0" w:rsidP="007D1DBA">
            <w:pPr>
              <w:jc w:val="right"/>
              <w:rPr>
                <w:sz w:val="18"/>
                <w:szCs w:val="18"/>
                <w:lang w:val="es-419" w:eastAsia="es-419"/>
              </w:rPr>
            </w:pPr>
            <w:r w:rsidRPr="006F0BB0">
              <w:rPr>
                <w:sz w:val="18"/>
                <w:szCs w:val="18"/>
                <w:lang w:val="es-419" w:eastAsia="es-419"/>
              </w:rPr>
              <w:t>29 276</w:t>
            </w:r>
          </w:p>
        </w:tc>
        <w:tc>
          <w:tcPr>
            <w:tcW w:w="950" w:type="dxa"/>
            <w:tcBorders>
              <w:top w:val="nil"/>
              <w:left w:val="nil"/>
              <w:bottom w:val="single" w:sz="4" w:space="0" w:color="auto"/>
              <w:right w:val="single" w:sz="4" w:space="0" w:color="auto"/>
            </w:tcBorders>
            <w:shd w:val="clear" w:color="auto" w:fill="auto"/>
            <w:noWrap/>
            <w:hideMark/>
          </w:tcPr>
          <w:p w14:paraId="5BC08438" w14:textId="77777777" w:rsidR="006F0BB0" w:rsidRPr="006F0BB0" w:rsidRDefault="006F0BB0" w:rsidP="007D1DBA">
            <w:pPr>
              <w:jc w:val="right"/>
              <w:rPr>
                <w:sz w:val="18"/>
                <w:szCs w:val="18"/>
                <w:lang w:val="es-419" w:eastAsia="es-419"/>
              </w:rPr>
            </w:pPr>
            <w:r w:rsidRPr="006F0BB0">
              <w:rPr>
                <w:sz w:val="18"/>
                <w:szCs w:val="18"/>
                <w:lang w:val="es-419" w:eastAsia="es-419"/>
              </w:rPr>
              <w:t>29 862</w:t>
            </w:r>
          </w:p>
        </w:tc>
        <w:tc>
          <w:tcPr>
            <w:tcW w:w="950" w:type="dxa"/>
            <w:tcBorders>
              <w:top w:val="nil"/>
              <w:left w:val="nil"/>
              <w:bottom w:val="single" w:sz="4" w:space="0" w:color="auto"/>
              <w:right w:val="single" w:sz="4" w:space="0" w:color="auto"/>
            </w:tcBorders>
            <w:shd w:val="clear" w:color="auto" w:fill="auto"/>
            <w:noWrap/>
            <w:hideMark/>
          </w:tcPr>
          <w:p w14:paraId="039D32C9" w14:textId="77777777" w:rsidR="006F0BB0" w:rsidRPr="006F0BB0" w:rsidRDefault="006F0BB0" w:rsidP="007D1DBA">
            <w:pPr>
              <w:jc w:val="right"/>
              <w:rPr>
                <w:sz w:val="18"/>
                <w:szCs w:val="18"/>
                <w:lang w:val="es-419" w:eastAsia="es-419"/>
              </w:rPr>
            </w:pPr>
            <w:r w:rsidRPr="006F0BB0">
              <w:rPr>
                <w:sz w:val="18"/>
                <w:szCs w:val="18"/>
                <w:lang w:val="es-419" w:eastAsia="es-419"/>
              </w:rPr>
              <w:t>30 459</w:t>
            </w:r>
          </w:p>
        </w:tc>
        <w:tc>
          <w:tcPr>
            <w:tcW w:w="978" w:type="dxa"/>
            <w:tcBorders>
              <w:top w:val="nil"/>
              <w:left w:val="nil"/>
              <w:bottom w:val="single" w:sz="4" w:space="0" w:color="auto"/>
              <w:right w:val="single" w:sz="4" w:space="0" w:color="auto"/>
            </w:tcBorders>
            <w:shd w:val="clear" w:color="auto" w:fill="auto"/>
            <w:noWrap/>
            <w:hideMark/>
          </w:tcPr>
          <w:p w14:paraId="40B205B6" w14:textId="77777777" w:rsidR="006F0BB0" w:rsidRPr="006F0BB0" w:rsidRDefault="006F0BB0" w:rsidP="007D1DBA">
            <w:pPr>
              <w:jc w:val="right"/>
              <w:rPr>
                <w:sz w:val="18"/>
                <w:szCs w:val="18"/>
                <w:lang w:val="es-419" w:eastAsia="es-419"/>
              </w:rPr>
            </w:pPr>
            <w:r w:rsidRPr="006F0BB0">
              <w:rPr>
                <w:sz w:val="18"/>
                <w:szCs w:val="18"/>
                <w:lang w:val="es-419" w:eastAsia="es-419"/>
              </w:rPr>
              <w:t>31 068</w:t>
            </w:r>
          </w:p>
        </w:tc>
        <w:tc>
          <w:tcPr>
            <w:tcW w:w="950" w:type="dxa"/>
            <w:tcBorders>
              <w:top w:val="nil"/>
              <w:left w:val="nil"/>
              <w:bottom w:val="single" w:sz="4" w:space="0" w:color="auto"/>
              <w:right w:val="single" w:sz="4" w:space="0" w:color="auto"/>
            </w:tcBorders>
            <w:shd w:val="clear" w:color="auto" w:fill="auto"/>
            <w:noWrap/>
            <w:hideMark/>
          </w:tcPr>
          <w:p w14:paraId="0891F5E8" w14:textId="77777777" w:rsidR="006F0BB0" w:rsidRPr="006F0BB0" w:rsidRDefault="006F0BB0" w:rsidP="007D1DBA">
            <w:pPr>
              <w:jc w:val="right"/>
              <w:rPr>
                <w:sz w:val="18"/>
                <w:szCs w:val="18"/>
                <w:lang w:val="es-419" w:eastAsia="es-419"/>
              </w:rPr>
            </w:pPr>
            <w:r w:rsidRPr="006F0BB0">
              <w:rPr>
                <w:sz w:val="18"/>
                <w:szCs w:val="18"/>
                <w:lang w:val="es-419" w:eastAsia="es-419"/>
              </w:rPr>
              <w:t>34 175</w:t>
            </w:r>
          </w:p>
        </w:tc>
        <w:tc>
          <w:tcPr>
            <w:tcW w:w="950" w:type="dxa"/>
            <w:tcBorders>
              <w:top w:val="nil"/>
              <w:left w:val="nil"/>
              <w:bottom w:val="single" w:sz="4" w:space="0" w:color="auto"/>
              <w:right w:val="single" w:sz="4" w:space="0" w:color="auto"/>
            </w:tcBorders>
            <w:shd w:val="clear" w:color="auto" w:fill="auto"/>
            <w:noWrap/>
            <w:hideMark/>
          </w:tcPr>
          <w:p w14:paraId="62937023" w14:textId="77777777" w:rsidR="006F0BB0" w:rsidRPr="006F0BB0" w:rsidRDefault="006F0BB0" w:rsidP="007D1DBA">
            <w:pPr>
              <w:jc w:val="right"/>
              <w:rPr>
                <w:sz w:val="18"/>
                <w:szCs w:val="18"/>
                <w:lang w:val="es-419" w:eastAsia="es-419"/>
              </w:rPr>
            </w:pPr>
            <w:r w:rsidRPr="006F0BB0">
              <w:rPr>
                <w:sz w:val="18"/>
                <w:szCs w:val="18"/>
                <w:lang w:val="es-419" w:eastAsia="es-419"/>
              </w:rPr>
              <w:t>37 592</w:t>
            </w:r>
          </w:p>
        </w:tc>
        <w:tc>
          <w:tcPr>
            <w:tcW w:w="1076" w:type="dxa"/>
            <w:tcBorders>
              <w:top w:val="nil"/>
              <w:left w:val="nil"/>
              <w:bottom w:val="single" w:sz="4" w:space="0" w:color="auto"/>
              <w:right w:val="single" w:sz="4" w:space="0" w:color="auto"/>
            </w:tcBorders>
            <w:shd w:val="clear" w:color="auto" w:fill="auto"/>
            <w:noWrap/>
            <w:hideMark/>
          </w:tcPr>
          <w:p w14:paraId="4D41EB05" w14:textId="77777777" w:rsidR="006F0BB0" w:rsidRPr="006F0BB0" w:rsidRDefault="006F0BB0" w:rsidP="007D1DBA">
            <w:pPr>
              <w:jc w:val="right"/>
              <w:rPr>
                <w:sz w:val="18"/>
                <w:szCs w:val="18"/>
                <w:lang w:val="es-419" w:eastAsia="es-419"/>
              </w:rPr>
            </w:pPr>
            <w:r w:rsidRPr="006F0BB0">
              <w:rPr>
                <w:sz w:val="18"/>
                <w:szCs w:val="18"/>
                <w:lang w:val="es-419" w:eastAsia="es-419"/>
              </w:rPr>
              <w:t>30 463</w:t>
            </w:r>
          </w:p>
        </w:tc>
        <w:tc>
          <w:tcPr>
            <w:tcW w:w="1034" w:type="dxa"/>
            <w:tcBorders>
              <w:top w:val="nil"/>
              <w:left w:val="nil"/>
              <w:bottom w:val="single" w:sz="4" w:space="0" w:color="auto"/>
              <w:right w:val="single" w:sz="4" w:space="0" w:color="auto"/>
            </w:tcBorders>
            <w:shd w:val="clear" w:color="auto" w:fill="auto"/>
            <w:noWrap/>
            <w:hideMark/>
          </w:tcPr>
          <w:p w14:paraId="74E205C4" w14:textId="77777777" w:rsidR="006F0BB0" w:rsidRPr="006F0BB0" w:rsidRDefault="006F0BB0" w:rsidP="007D1DBA">
            <w:pPr>
              <w:jc w:val="right"/>
              <w:rPr>
                <w:sz w:val="18"/>
                <w:szCs w:val="18"/>
                <w:lang w:val="es-419" w:eastAsia="es-419"/>
              </w:rPr>
            </w:pPr>
            <w:r w:rsidRPr="006F0BB0">
              <w:rPr>
                <w:sz w:val="18"/>
                <w:szCs w:val="18"/>
                <w:lang w:val="es-419" w:eastAsia="es-419"/>
              </w:rPr>
              <w:t>48 222</w:t>
            </w:r>
          </w:p>
        </w:tc>
        <w:tc>
          <w:tcPr>
            <w:tcW w:w="1181" w:type="dxa"/>
            <w:tcBorders>
              <w:top w:val="nil"/>
              <w:left w:val="nil"/>
              <w:bottom w:val="single" w:sz="4" w:space="0" w:color="auto"/>
              <w:right w:val="single" w:sz="4" w:space="0" w:color="auto"/>
            </w:tcBorders>
            <w:shd w:val="clear" w:color="auto" w:fill="auto"/>
            <w:noWrap/>
            <w:hideMark/>
          </w:tcPr>
          <w:p w14:paraId="1E042013" w14:textId="77777777" w:rsidR="006F0BB0" w:rsidRPr="006F0BB0" w:rsidRDefault="006F0BB0" w:rsidP="007D1DBA">
            <w:pPr>
              <w:jc w:val="right"/>
              <w:rPr>
                <w:sz w:val="18"/>
                <w:szCs w:val="18"/>
                <w:lang w:val="es-419" w:eastAsia="es-419"/>
              </w:rPr>
            </w:pPr>
            <w:r w:rsidRPr="006F0BB0">
              <w:rPr>
                <w:sz w:val="18"/>
                <w:szCs w:val="18"/>
                <w:lang w:val="es-419" w:eastAsia="es-419"/>
              </w:rPr>
              <w:t>78,0%</w:t>
            </w:r>
          </w:p>
        </w:tc>
      </w:tr>
      <w:tr w:rsidR="006F0BB0" w:rsidRPr="006F0BB0" w14:paraId="012D36AA"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800A3D" w14:textId="77777777" w:rsidR="006F0BB0" w:rsidRPr="006F0BB0" w:rsidRDefault="006F0BB0" w:rsidP="007D1DBA">
            <w:pPr>
              <w:jc w:val="left"/>
              <w:rPr>
                <w:sz w:val="18"/>
                <w:szCs w:val="18"/>
                <w:lang w:val="es-419" w:eastAsia="es-419"/>
              </w:rPr>
            </w:pPr>
            <w:r w:rsidRPr="006F0BB0">
              <w:rPr>
                <w:sz w:val="18"/>
                <w:szCs w:val="18"/>
                <w:lang w:val="es-419" w:eastAsia="es-419"/>
              </w:rPr>
              <w:t>Sudán</w:t>
            </w:r>
          </w:p>
        </w:tc>
        <w:tc>
          <w:tcPr>
            <w:tcW w:w="950" w:type="dxa"/>
            <w:tcBorders>
              <w:top w:val="nil"/>
              <w:left w:val="nil"/>
              <w:bottom w:val="single" w:sz="4" w:space="0" w:color="auto"/>
              <w:right w:val="single" w:sz="4" w:space="0" w:color="auto"/>
            </w:tcBorders>
            <w:shd w:val="clear" w:color="auto" w:fill="auto"/>
            <w:noWrap/>
            <w:hideMark/>
          </w:tcPr>
          <w:p w14:paraId="17158B52" w14:textId="77777777" w:rsidR="006F0BB0" w:rsidRPr="006F0BB0" w:rsidRDefault="006F0BB0" w:rsidP="007D1DBA">
            <w:pPr>
              <w:jc w:val="right"/>
              <w:rPr>
                <w:sz w:val="18"/>
                <w:szCs w:val="18"/>
                <w:lang w:val="es-419" w:eastAsia="es-419"/>
              </w:rPr>
            </w:pPr>
            <w:r w:rsidRPr="006F0BB0">
              <w:rPr>
                <w:sz w:val="18"/>
                <w:szCs w:val="18"/>
                <w:lang w:val="es-419" w:eastAsia="es-419"/>
              </w:rPr>
              <w:t>735 220</w:t>
            </w:r>
          </w:p>
        </w:tc>
        <w:tc>
          <w:tcPr>
            <w:tcW w:w="950" w:type="dxa"/>
            <w:tcBorders>
              <w:top w:val="nil"/>
              <w:left w:val="nil"/>
              <w:bottom w:val="single" w:sz="4" w:space="0" w:color="auto"/>
              <w:right w:val="single" w:sz="4" w:space="0" w:color="auto"/>
            </w:tcBorders>
            <w:shd w:val="clear" w:color="auto" w:fill="auto"/>
            <w:noWrap/>
            <w:hideMark/>
          </w:tcPr>
          <w:p w14:paraId="308E955E" w14:textId="77777777" w:rsidR="006F0BB0" w:rsidRPr="006F0BB0" w:rsidRDefault="006F0BB0" w:rsidP="007D1DBA">
            <w:pPr>
              <w:jc w:val="right"/>
              <w:rPr>
                <w:sz w:val="18"/>
                <w:szCs w:val="18"/>
                <w:lang w:val="es-419" w:eastAsia="es-419"/>
              </w:rPr>
            </w:pPr>
            <w:r w:rsidRPr="006F0BB0">
              <w:rPr>
                <w:sz w:val="18"/>
                <w:szCs w:val="18"/>
                <w:lang w:val="es-419" w:eastAsia="es-419"/>
              </w:rPr>
              <w:t>749 924</w:t>
            </w:r>
          </w:p>
        </w:tc>
        <w:tc>
          <w:tcPr>
            <w:tcW w:w="950" w:type="dxa"/>
            <w:tcBorders>
              <w:top w:val="nil"/>
              <w:left w:val="nil"/>
              <w:bottom w:val="single" w:sz="4" w:space="0" w:color="auto"/>
              <w:right w:val="single" w:sz="4" w:space="0" w:color="auto"/>
            </w:tcBorders>
            <w:shd w:val="clear" w:color="auto" w:fill="auto"/>
            <w:noWrap/>
            <w:hideMark/>
          </w:tcPr>
          <w:p w14:paraId="6905030C" w14:textId="77777777" w:rsidR="006F0BB0" w:rsidRPr="006F0BB0" w:rsidRDefault="006F0BB0" w:rsidP="007D1DBA">
            <w:pPr>
              <w:jc w:val="right"/>
              <w:rPr>
                <w:sz w:val="18"/>
                <w:szCs w:val="18"/>
                <w:lang w:val="es-419" w:eastAsia="es-419"/>
              </w:rPr>
            </w:pPr>
            <w:r w:rsidRPr="006F0BB0">
              <w:rPr>
                <w:sz w:val="18"/>
                <w:szCs w:val="18"/>
                <w:lang w:val="es-419" w:eastAsia="es-419"/>
              </w:rPr>
              <w:t>764 923</w:t>
            </w:r>
          </w:p>
        </w:tc>
        <w:tc>
          <w:tcPr>
            <w:tcW w:w="978" w:type="dxa"/>
            <w:tcBorders>
              <w:top w:val="nil"/>
              <w:left w:val="nil"/>
              <w:bottom w:val="single" w:sz="4" w:space="0" w:color="auto"/>
              <w:right w:val="single" w:sz="4" w:space="0" w:color="auto"/>
            </w:tcBorders>
            <w:shd w:val="clear" w:color="auto" w:fill="auto"/>
            <w:noWrap/>
            <w:hideMark/>
          </w:tcPr>
          <w:p w14:paraId="0052E3A4" w14:textId="77777777" w:rsidR="006F0BB0" w:rsidRPr="006F0BB0" w:rsidRDefault="006F0BB0" w:rsidP="007D1DBA">
            <w:pPr>
              <w:jc w:val="right"/>
              <w:rPr>
                <w:sz w:val="18"/>
                <w:szCs w:val="18"/>
                <w:lang w:val="es-419" w:eastAsia="es-419"/>
              </w:rPr>
            </w:pPr>
            <w:r w:rsidRPr="006F0BB0">
              <w:rPr>
                <w:sz w:val="18"/>
                <w:szCs w:val="18"/>
                <w:lang w:val="es-419" w:eastAsia="es-419"/>
              </w:rPr>
              <w:t>780 221</w:t>
            </w:r>
          </w:p>
        </w:tc>
        <w:tc>
          <w:tcPr>
            <w:tcW w:w="950" w:type="dxa"/>
            <w:tcBorders>
              <w:top w:val="nil"/>
              <w:left w:val="nil"/>
              <w:bottom w:val="single" w:sz="4" w:space="0" w:color="auto"/>
              <w:right w:val="single" w:sz="4" w:space="0" w:color="auto"/>
            </w:tcBorders>
            <w:shd w:val="clear" w:color="auto" w:fill="auto"/>
            <w:noWrap/>
            <w:hideMark/>
          </w:tcPr>
          <w:p w14:paraId="06F3BCDC" w14:textId="77777777" w:rsidR="006F0BB0" w:rsidRPr="006F0BB0" w:rsidRDefault="006F0BB0" w:rsidP="007D1DBA">
            <w:pPr>
              <w:jc w:val="right"/>
              <w:rPr>
                <w:sz w:val="18"/>
                <w:szCs w:val="18"/>
                <w:lang w:val="es-419" w:eastAsia="es-419"/>
              </w:rPr>
            </w:pPr>
            <w:r w:rsidRPr="006F0BB0">
              <w:rPr>
                <w:sz w:val="18"/>
                <w:szCs w:val="18"/>
                <w:lang w:val="es-419" w:eastAsia="es-419"/>
              </w:rPr>
              <w:t>858 243</w:t>
            </w:r>
          </w:p>
        </w:tc>
        <w:tc>
          <w:tcPr>
            <w:tcW w:w="950" w:type="dxa"/>
            <w:tcBorders>
              <w:top w:val="nil"/>
              <w:left w:val="nil"/>
              <w:bottom w:val="single" w:sz="4" w:space="0" w:color="auto"/>
              <w:right w:val="single" w:sz="4" w:space="0" w:color="auto"/>
            </w:tcBorders>
            <w:shd w:val="clear" w:color="auto" w:fill="auto"/>
            <w:noWrap/>
            <w:hideMark/>
          </w:tcPr>
          <w:p w14:paraId="4FA0F2D4" w14:textId="77777777" w:rsidR="006F0BB0" w:rsidRPr="006F0BB0" w:rsidRDefault="006F0BB0" w:rsidP="007D1DBA">
            <w:pPr>
              <w:jc w:val="right"/>
              <w:rPr>
                <w:sz w:val="18"/>
                <w:szCs w:val="18"/>
                <w:lang w:val="es-419" w:eastAsia="es-419"/>
              </w:rPr>
            </w:pPr>
            <w:r w:rsidRPr="006F0BB0">
              <w:rPr>
                <w:sz w:val="18"/>
                <w:szCs w:val="18"/>
                <w:lang w:val="es-419" w:eastAsia="es-419"/>
              </w:rPr>
              <w:t>944 068</w:t>
            </w:r>
          </w:p>
        </w:tc>
        <w:tc>
          <w:tcPr>
            <w:tcW w:w="1076" w:type="dxa"/>
            <w:tcBorders>
              <w:top w:val="nil"/>
              <w:left w:val="nil"/>
              <w:bottom w:val="single" w:sz="4" w:space="0" w:color="auto"/>
              <w:right w:val="single" w:sz="4" w:space="0" w:color="auto"/>
            </w:tcBorders>
            <w:shd w:val="clear" w:color="auto" w:fill="auto"/>
            <w:noWrap/>
            <w:hideMark/>
          </w:tcPr>
          <w:p w14:paraId="6C908BFD" w14:textId="77777777" w:rsidR="006F0BB0" w:rsidRPr="006F0BB0" w:rsidRDefault="006F0BB0" w:rsidP="007D1DBA">
            <w:pPr>
              <w:jc w:val="right"/>
              <w:rPr>
                <w:sz w:val="18"/>
                <w:szCs w:val="18"/>
                <w:lang w:val="es-419" w:eastAsia="es-419"/>
              </w:rPr>
            </w:pPr>
            <w:r w:rsidRPr="006F0BB0">
              <w:rPr>
                <w:sz w:val="18"/>
                <w:szCs w:val="18"/>
                <w:lang w:val="es-419" w:eastAsia="es-419"/>
              </w:rPr>
              <w:t>765 023</w:t>
            </w:r>
          </w:p>
        </w:tc>
        <w:tc>
          <w:tcPr>
            <w:tcW w:w="1034" w:type="dxa"/>
            <w:tcBorders>
              <w:top w:val="nil"/>
              <w:left w:val="nil"/>
              <w:bottom w:val="single" w:sz="4" w:space="0" w:color="auto"/>
              <w:right w:val="single" w:sz="4" w:space="0" w:color="auto"/>
            </w:tcBorders>
            <w:shd w:val="clear" w:color="auto" w:fill="auto"/>
            <w:noWrap/>
            <w:hideMark/>
          </w:tcPr>
          <w:p w14:paraId="005769CB" w14:textId="77777777" w:rsidR="006F0BB0" w:rsidRPr="006F0BB0" w:rsidRDefault="006F0BB0" w:rsidP="007D1DBA">
            <w:pPr>
              <w:jc w:val="right"/>
              <w:rPr>
                <w:sz w:val="18"/>
                <w:szCs w:val="18"/>
                <w:lang w:val="es-419" w:eastAsia="es-419"/>
              </w:rPr>
            </w:pPr>
            <w:r w:rsidRPr="006F0BB0">
              <w:rPr>
                <w:sz w:val="18"/>
                <w:szCs w:val="18"/>
                <w:lang w:val="es-419" w:eastAsia="es-419"/>
              </w:rPr>
              <w:t>1 196 215</w:t>
            </w:r>
          </w:p>
        </w:tc>
        <w:tc>
          <w:tcPr>
            <w:tcW w:w="1181" w:type="dxa"/>
            <w:tcBorders>
              <w:top w:val="nil"/>
              <w:left w:val="nil"/>
              <w:bottom w:val="single" w:sz="4" w:space="0" w:color="auto"/>
              <w:right w:val="single" w:sz="4" w:space="0" w:color="auto"/>
            </w:tcBorders>
            <w:shd w:val="clear" w:color="auto" w:fill="auto"/>
            <w:noWrap/>
            <w:hideMark/>
          </w:tcPr>
          <w:p w14:paraId="34822E0B" w14:textId="77777777" w:rsidR="006F0BB0" w:rsidRPr="006F0BB0" w:rsidRDefault="006F0BB0" w:rsidP="007D1DBA">
            <w:pPr>
              <w:jc w:val="right"/>
              <w:rPr>
                <w:sz w:val="18"/>
                <w:szCs w:val="18"/>
                <w:lang w:val="es-419" w:eastAsia="es-419"/>
              </w:rPr>
            </w:pPr>
            <w:r w:rsidRPr="006F0BB0">
              <w:rPr>
                <w:sz w:val="18"/>
                <w:szCs w:val="18"/>
                <w:lang w:val="es-419" w:eastAsia="es-419"/>
              </w:rPr>
              <w:t>78,9%</w:t>
            </w:r>
          </w:p>
        </w:tc>
      </w:tr>
      <w:tr w:rsidR="006F0BB0" w:rsidRPr="006F0BB0" w14:paraId="5413342C"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96D161"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Bhután</w:t>
            </w:r>
            <w:proofErr w:type="spellEnd"/>
          </w:p>
        </w:tc>
        <w:tc>
          <w:tcPr>
            <w:tcW w:w="950" w:type="dxa"/>
            <w:tcBorders>
              <w:top w:val="nil"/>
              <w:left w:val="nil"/>
              <w:bottom w:val="single" w:sz="4" w:space="0" w:color="auto"/>
              <w:right w:val="single" w:sz="4" w:space="0" w:color="auto"/>
            </w:tcBorders>
            <w:shd w:val="clear" w:color="auto" w:fill="auto"/>
            <w:noWrap/>
            <w:hideMark/>
          </w:tcPr>
          <w:p w14:paraId="3AEB43DE" w14:textId="77777777" w:rsidR="006F0BB0" w:rsidRPr="006F0BB0" w:rsidRDefault="006F0BB0" w:rsidP="007D1DBA">
            <w:pPr>
              <w:jc w:val="right"/>
              <w:rPr>
                <w:sz w:val="18"/>
                <w:szCs w:val="18"/>
                <w:lang w:val="es-419" w:eastAsia="es-419"/>
              </w:rPr>
            </w:pPr>
            <w:r w:rsidRPr="006F0BB0">
              <w:rPr>
                <w:sz w:val="18"/>
                <w:szCs w:val="18"/>
                <w:lang w:val="es-419" w:eastAsia="es-419"/>
              </w:rPr>
              <w:t>11 659</w:t>
            </w:r>
          </w:p>
        </w:tc>
        <w:tc>
          <w:tcPr>
            <w:tcW w:w="950" w:type="dxa"/>
            <w:tcBorders>
              <w:top w:val="nil"/>
              <w:left w:val="nil"/>
              <w:bottom w:val="single" w:sz="4" w:space="0" w:color="auto"/>
              <w:right w:val="single" w:sz="4" w:space="0" w:color="auto"/>
            </w:tcBorders>
            <w:shd w:val="clear" w:color="auto" w:fill="auto"/>
            <w:noWrap/>
            <w:hideMark/>
          </w:tcPr>
          <w:p w14:paraId="6E97617B" w14:textId="77777777" w:rsidR="006F0BB0" w:rsidRPr="006F0BB0" w:rsidRDefault="006F0BB0" w:rsidP="007D1DBA">
            <w:pPr>
              <w:jc w:val="right"/>
              <w:rPr>
                <w:sz w:val="18"/>
                <w:szCs w:val="18"/>
                <w:lang w:val="es-419" w:eastAsia="es-419"/>
              </w:rPr>
            </w:pPr>
            <w:r w:rsidRPr="006F0BB0">
              <w:rPr>
                <w:sz w:val="18"/>
                <w:szCs w:val="18"/>
                <w:lang w:val="es-419" w:eastAsia="es-419"/>
              </w:rPr>
              <w:t>11 892</w:t>
            </w:r>
          </w:p>
        </w:tc>
        <w:tc>
          <w:tcPr>
            <w:tcW w:w="950" w:type="dxa"/>
            <w:tcBorders>
              <w:top w:val="nil"/>
              <w:left w:val="nil"/>
              <w:bottom w:val="single" w:sz="4" w:space="0" w:color="auto"/>
              <w:right w:val="single" w:sz="4" w:space="0" w:color="auto"/>
            </w:tcBorders>
            <w:shd w:val="clear" w:color="auto" w:fill="auto"/>
            <w:noWrap/>
            <w:hideMark/>
          </w:tcPr>
          <w:p w14:paraId="4083909D" w14:textId="77777777" w:rsidR="006F0BB0" w:rsidRPr="006F0BB0" w:rsidRDefault="006F0BB0" w:rsidP="007D1DBA">
            <w:pPr>
              <w:jc w:val="right"/>
              <w:rPr>
                <w:sz w:val="18"/>
                <w:szCs w:val="18"/>
                <w:lang w:val="es-419" w:eastAsia="es-419"/>
              </w:rPr>
            </w:pPr>
            <w:r w:rsidRPr="006F0BB0">
              <w:rPr>
                <w:sz w:val="18"/>
                <w:szCs w:val="18"/>
                <w:lang w:val="es-419" w:eastAsia="es-419"/>
              </w:rPr>
              <w:t>12 130</w:t>
            </w:r>
          </w:p>
        </w:tc>
        <w:tc>
          <w:tcPr>
            <w:tcW w:w="978" w:type="dxa"/>
            <w:tcBorders>
              <w:top w:val="nil"/>
              <w:left w:val="nil"/>
              <w:bottom w:val="single" w:sz="4" w:space="0" w:color="auto"/>
              <w:right w:val="single" w:sz="4" w:space="0" w:color="auto"/>
            </w:tcBorders>
            <w:shd w:val="clear" w:color="auto" w:fill="auto"/>
            <w:noWrap/>
            <w:hideMark/>
          </w:tcPr>
          <w:p w14:paraId="124FA44A" w14:textId="77777777" w:rsidR="006F0BB0" w:rsidRPr="006F0BB0" w:rsidRDefault="006F0BB0" w:rsidP="007D1DBA">
            <w:pPr>
              <w:jc w:val="right"/>
              <w:rPr>
                <w:sz w:val="18"/>
                <w:szCs w:val="18"/>
                <w:lang w:val="es-419" w:eastAsia="es-419"/>
              </w:rPr>
            </w:pPr>
            <w:r w:rsidRPr="006F0BB0">
              <w:rPr>
                <w:sz w:val="18"/>
                <w:szCs w:val="18"/>
                <w:lang w:val="es-419" w:eastAsia="es-419"/>
              </w:rPr>
              <w:t>12 373</w:t>
            </w:r>
          </w:p>
        </w:tc>
        <w:tc>
          <w:tcPr>
            <w:tcW w:w="950" w:type="dxa"/>
            <w:tcBorders>
              <w:top w:val="nil"/>
              <w:left w:val="nil"/>
              <w:bottom w:val="single" w:sz="4" w:space="0" w:color="auto"/>
              <w:right w:val="single" w:sz="4" w:space="0" w:color="auto"/>
            </w:tcBorders>
            <w:shd w:val="clear" w:color="auto" w:fill="auto"/>
            <w:noWrap/>
            <w:hideMark/>
          </w:tcPr>
          <w:p w14:paraId="145E68C7" w14:textId="77777777" w:rsidR="006F0BB0" w:rsidRPr="006F0BB0" w:rsidRDefault="006F0BB0" w:rsidP="007D1DBA">
            <w:pPr>
              <w:jc w:val="right"/>
              <w:rPr>
                <w:sz w:val="18"/>
                <w:szCs w:val="18"/>
                <w:lang w:val="es-419" w:eastAsia="es-419"/>
              </w:rPr>
            </w:pPr>
            <w:r w:rsidRPr="006F0BB0">
              <w:rPr>
                <w:sz w:val="18"/>
                <w:szCs w:val="18"/>
                <w:lang w:val="es-419" w:eastAsia="es-419"/>
              </w:rPr>
              <w:t>13 610</w:t>
            </w:r>
          </w:p>
        </w:tc>
        <w:tc>
          <w:tcPr>
            <w:tcW w:w="950" w:type="dxa"/>
            <w:tcBorders>
              <w:top w:val="nil"/>
              <w:left w:val="nil"/>
              <w:bottom w:val="single" w:sz="4" w:space="0" w:color="auto"/>
              <w:right w:val="single" w:sz="4" w:space="0" w:color="auto"/>
            </w:tcBorders>
            <w:shd w:val="clear" w:color="auto" w:fill="auto"/>
            <w:noWrap/>
            <w:hideMark/>
          </w:tcPr>
          <w:p w14:paraId="04E64F1F" w14:textId="77777777" w:rsidR="006F0BB0" w:rsidRPr="006F0BB0" w:rsidRDefault="006F0BB0" w:rsidP="007D1DBA">
            <w:pPr>
              <w:jc w:val="right"/>
              <w:rPr>
                <w:sz w:val="18"/>
                <w:szCs w:val="18"/>
                <w:lang w:val="es-419" w:eastAsia="es-419"/>
              </w:rPr>
            </w:pPr>
            <w:r w:rsidRPr="006F0BB0">
              <w:rPr>
                <w:sz w:val="18"/>
                <w:szCs w:val="18"/>
                <w:lang w:val="es-419" w:eastAsia="es-419"/>
              </w:rPr>
              <w:t>14 971</w:t>
            </w:r>
          </w:p>
        </w:tc>
        <w:tc>
          <w:tcPr>
            <w:tcW w:w="1076" w:type="dxa"/>
            <w:tcBorders>
              <w:top w:val="nil"/>
              <w:left w:val="nil"/>
              <w:bottom w:val="single" w:sz="4" w:space="0" w:color="auto"/>
              <w:right w:val="single" w:sz="4" w:space="0" w:color="auto"/>
            </w:tcBorders>
            <w:shd w:val="clear" w:color="auto" w:fill="auto"/>
            <w:noWrap/>
            <w:hideMark/>
          </w:tcPr>
          <w:p w14:paraId="12760DEA" w14:textId="77777777" w:rsidR="006F0BB0" w:rsidRPr="006F0BB0" w:rsidRDefault="006F0BB0" w:rsidP="007D1DBA">
            <w:pPr>
              <w:jc w:val="right"/>
              <w:rPr>
                <w:sz w:val="18"/>
                <w:szCs w:val="18"/>
                <w:lang w:val="es-419" w:eastAsia="es-419"/>
              </w:rPr>
            </w:pPr>
            <w:r w:rsidRPr="006F0BB0">
              <w:rPr>
                <w:sz w:val="18"/>
                <w:szCs w:val="18"/>
                <w:lang w:val="es-419" w:eastAsia="es-419"/>
              </w:rPr>
              <w:t>12 132</w:t>
            </w:r>
          </w:p>
        </w:tc>
        <w:tc>
          <w:tcPr>
            <w:tcW w:w="1034" w:type="dxa"/>
            <w:tcBorders>
              <w:top w:val="nil"/>
              <w:left w:val="nil"/>
              <w:bottom w:val="single" w:sz="4" w:space="0" w:color="auto"/>
              <w:right w:val="single" w:sz="4" w:space="0" w:color="auto"/>
            </w:tcBorders>
            <w:shd w:val="clear" w:color="auto" w:fill="auto"/>
            <w:noWrap/>
            <w:hideMark/>
          </w:tcPr>
          <w:p w14:paraId="56007F95" w14:textId="77777777" w:rsidR="006F0BB0" w:rsidRPr="006F0BB0" w:rsidRDefault="006F0BB0" w:rsidP="007D1DBA">
            <w:pPr>
              <w:jc w:val="right"/>
              <w:rPr>
                <w:sz w:val="18"/>
                <w:szCs w:val="18"/>
                <w:lang w:val="es-419" w:eastAsia="es-419"/>
              </w:rPr>
            </w:pPr>
            <w:r w:rsidRPr="006F0BB0">
              <w:rPr>
                <w:sz w:val="18"/>
                <w:szCs w:val="18"/>
                <w:lang w:val="es-419" w:eastAsia="es-419"/>
              </w:rPr>
              <w:t>18 741</w:t>
            </w:r>
          </w:p>
        </w:tc>
        <w:tc>
          <w:tcPr>
            <w:tcW w:w="1181" w:type="dxa"/>
            <w:tcBorders>
              <w:top w:val="nil"/>
              <w:left w:val="nil"/>
              <w:bottom w:val="single" w:sz="4" w:space="0" w:color="auto"/>
              <w:right w:val="single" w:sz="4" w:space="0" w:color="auto"/>
            </w:tcBorders>
            <w:shd w:val="clear" w:color="auto" w:fill="auto"/>
            <w:noWrap/>
            <w:hideMark/>
          </w:tcPr>
          <w:p w14:paraId="6C2B4C18" w14:textId="77777777" w:rsidR="006F0BB0" w:rsidRPr="006F0BB0" w:rsidRDefault="006F0BB0" w:rsidP="007D1DBA">
            <w:pPr>
              <w:jc w:val="right"/>
              <w:rPr>
                <w:sz w:val="18"/>
                <w:szCs w:val="18"/>
                <w:lang w:val="es-419" w:eastAsia="es-419"/>
              </w:rPr>
            </w:pPr>
            <w:r w:rsidRPr="006F0BB0">
              <w:rPr>
                <w:sz w:val="18"/>
                <w:szCs w:val="18"/>
                <w:lang w:val="es-419" w:eastAsia="es-419"/>
              </w:rPr>
              <w:t>79,9%</w:t>
            </w:r>
          </w:p>
        </w:tc>
      </w:tr>
      <w:tr w:rsidR="006F0BB0" w:rsidRPr="006F0BB0" w14:paraId="7913AC81"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C554C5" w14:textId="77777777" w:rsidR="006F0BB0" w:rsidRPr="006F0BB0" w:rsidRDefault="006F0BB0" w:rsidP="007D1DBA">
            <w:pPr>
              <w:jc w:val="left"/>
              <w:rPr>
                <w:sz w:val="18"/>
                <w:szCs w:val="18"/>
                <w:lang w:val="es-419" w:eastAsia="es-419"/>
              </w:rPr>
            </w:pPr>
            <w:r w:rsidRPr="006F0BB0">
              <w:rPr>
                <w:sz w:val="18"/>
                <w:szCs w:val="18"/>
                <w:lang w:val="es-419" w:eastAsia="es-419"/>
              </w:rPr>
              <w:t>Palau</w:t>
            </w:r>
          </w:p>
        </w:tc>
        <w:tc>
          <w:tcPr>
            <w:tcW w:w="950" w:type="dxa"/>
            <w:tcBorders>
              <w:top w:val="nil"/>
              <w:left w:val="nil"/>
              <w:bottom w:val="single" w:sz="4" w:space="0" w:color="auto"/>
              <w:right w:val="single" w:sz="4" w:space="0" w:color="auto"/>
            </w:tcBorders>
            <w:shd w:val="clear" w:color="auto" w:fill="auto"/>
            <w:noWrap/>
            <w:hideMark/>
          </w:tcPr>
          <w:p w14:paraId="50521322" w14:textId="77777777" w:rsidR="006F0BB0" w:rsidRPr="006F0BB0" w:rsidRDefault="006F0BB0" w:rsidP="007D1DBA">
            <w:pPr>
              <w:jc w:val="right"/>
              <w:rPr>
                <w:sz w:val="18"/>
                <w:szCs w:val="18"/>
                <w:lang w:val="es-419" w:eastAsia="es-419"/>
              </w:rPr>
            </w:pPr>
            <w:r w:rsidRPr="006F0BB0">
              <w:rPr>
                <w:sz w:val="18"/>
                <w:szCs w:val="18"/>
                <w:lang w:val="es-419" w:eastAsia="es-419"/>
              </w:rPr>
              <w:t>6 436</w:t>
            </w:r>
          </w:p>
        </w:tc>
        <w:tc>
          <w:tcPr>
            <w:tcW w:w="950" w:type="dxa"/>
            <w:tcBorders>
              <w:top w:val="nil"/>
              <w:left w:val="nil"/>
              <w:bottom w:val="single" w:sz="4" w:space="0" w:color="auto"/>
              <w:right w:val="single" w:sz="4" w:space="0" w:color="auto"/>
            </w:tcBorders>
            <w:shd w:val="clear" w:color="auto" w:fill="auto"/>
            <w:noWrap/>
            <w:hideMark/>
          </w:tcPr>
          <w:p w14:paraId="77B4EC12" w14:textId="77777777" w:rsidR="006F0BB0" w:rsidRPr="006F0BB0" w:rsidRDefault="006F0BB0" w:rsidP="007D1DBA">
            <w:pPr>
              <w:jc w:val="right"/>
              <w:rPr>
                <w:sz w:val="18"/>
                <w:szCs w:val="18"/>
                <w:lang w:val="es-419" w:eastAsia="es-419"/>
              </w:rPr>
            </w:pPr>
            <w:r w:rsidRPr="006F0BB0">
              <w:rPr>
                <w:sz w:val="18"/>
                <w:szCs w:val="18"/>
                <w:lang w:val="es-419" w:eastAsia="es-419"/>
              </w:rPr>
              <w:t>6 565</w:t>
            </w:r>
          </w:p>
        </w:tc>
        <w:tc>
          <w:tcPr>
            <w:tcW w:w="950" w:type="dxa"/>
            <w:tcBorders>
              <w:top w:val="nil"/>
              <w:left w:val="nil"/>
              <w:bottom w:val="single" w:sz="4" w:space="0" w:color="auto"/>
              <w:right w:val="single" w:sz="4" w:space="0" w:color="auto"/>
            </w:tcBorders>
            <w:shd w:val="clear" w:color="auto" w:fill="auto"/>
            <w:noWrap/>
            <w:hideMark/>
          </w:tcPr>
          <w:p w14:paraId="72D15DE1" w14:textId="77777777" w:rsidR="006F0BB0" w:rsidRPr="006F0BB0" w:rsidRDefault="006F0BB0" w:rsidP="007D1DBA">
            <w:pPr>
              <w:jc w:val="right"/>
              <w:rPr>
                <w:sz w:val="18"/>
                <w:szCs w:val="18"/>
                <w:lang w:val="es-419" w:eastAsia="es-419"/>
              </w:rPr>
            </w:pPr>
            <w:r w:rsidRPr="006F0BB0">
              <w:rPr>
                <w:sz w:val="18"/>
                <w:szCs w:val="18"/>
                <w:lang w:val="es-419" w:eastAsia="es-419"/>
              </w:rPr>
              <w:t>6 696</w:t>
            </w:r>
          </w:p>
        </w:tc>
        <w:tc>
          <w:tcPr>
            <w:tcW w:w="978" w:type="dxa"/>
            <w:tcBorders>
              <w:top w:val="nil"/>
              <w:left w:val="nil"/>
              <w:bottom w:val="single" w:sz="4" w:space="0" w:color="auto"/>
              <w:right w:val="single" w:sz="4" w:space="0" w:color="auto"/>
            </w:tcBorders>
            <w:shd w:val="clear" w:color="auto" w:fill="auto"/>
            <w:noWrap/>
            <w:hideMark/>
          </w:tcPr>
          <w:p w14:paraId="650B7DF1" w14:textId="77777777" w:rsidR="006F0BB0" w:rsidRPr="006F0BB0" w:rsidRDefault="006F0BB0" w:rsidP="007D1DBA">
            <w:pPr>
              <w:jc w:val="right"/>
              <w:rPr>
                <w:sz w:val="18"/>
                <w:szCs w:val="18"/>
                <w:lang w:val="es-419" w:eastAsia="es-419"/>
              </w:rPr>
            </w:pPr>
            <w:r w:rsidRPr="006F0BB0">
              <w:rPr>
                <w:sz w:val="18"/>
                <w:szCs w:val="18"/>
                <w:lang w:val="es-419" w:eastAsia="es-419"/>
              </w:rPr>
              <w:t>6 830</w:t>
            </w:r>
          </w:p>
        </w:tc>
        <w:tc>
          <w:tcPr>
            <w:tcW w:w="950" w:type="dxa"/>
            <w:tcBorders>
              <w:top w:val="nil"/>
              <w:left w:val="nil"/>
              <w:bottom w:val="single" w:sz="4" w:space="0" w:color="auto"/>
              <w:right w:val="single" w:sz="4" w:space="0" w:color="auto"/>
            </w:tcBorders>
            <w:shd w:val="clear" w:color="auto" w:fill="auto"/>
            <w:noWrap/>
            <w:hideMark/>
          </w:tcPr>
          <w:p w14:paraId="04EB7479" w14:textId="77777777" w:rsidR="006F0BB0" w:rsidRPr="006F0BB0" w:rsidRDefault="006F0BB0" w:rsidP="007D1DBA">
            <w:pPr>
              <w:jc w:val="right"/>
              <w:rPr>
                <w:sz w:val="18"/>
                <w:szCs w:val="18"/>
                <w:lang w:val="es-419" w:eastAsia="es-419"/>
              </w:rPr>
            </w:pPr>
            <w:r w:rsidRPr="006F0BB0">
              <w:rPr>
                <w:sz w:val="18"/>
                <w:szCs w:val="18"/>
                <w:lang w:val="es-419" w:eastAsia="es-419"/>
              </w:rPr>
              <w:t>7 513</w:t>
            </w:r>
          </w:p>
        </w:tc>
        <w:tc>
          <w:tcPr>
            <w:tcW w:w="950" w:type="dxa"/>
            <w:tcBorders>
              <w:top w:val="nil"/>
              <w:left w:val="nil"/>
              <w:bottom w:val="single" w:sz="4" w:space="0" w:color="auto"/>
              <w:right w:val="single" w:sz="4" w:space="0" w:color="auto"/>
            </w:tcBorders>
            <w:shd w:val="clear" w:color="auto" w:fill="auto"/>
            <w:noWrap/>
            <w:hideMark/>
          </w:tcPr>
          <w:p w14:paraId="57E00B57" w14:textId="77777777" w:rsidR="006F0BB0" w:rsidRPr="006F0BB0" w:rsidRDefault="006F0BB0" w:rsidP="007D1DBA">
            <w:pPr>
              <w:jc w:val="right"/>
              <w:rPr>
                <w:sz w:val="18"/>
                <w:szCs w:val="18"/>
                <w:lang w:val="es-419" w:eastAsia="es-419"/>
              </w:rPr>
            </w:pPr>
            <w:r w:rsidRPr="006F0BB0">
              <w:rPr>
                <w:sz w:val="18"/>
                <w:szCs w:val="18"/>
                <w:lang w:val="es-419" w:eastAsia="es-419"/>
              </w:rPr>
              <w:t>8 264</w:t>
            </w:r>
          </w:p>
        </w:tc>
        <w:tc>
          <w:tcPr>
            <w:tcW w:w="1076" w:type="dxa"/>
            <w:tcBorders>
              <w:top w:val="nil"/>
              <w:left w:val="nil"/>
              <w:bottom w:val="single" w:sz="4" w:space="0" w:color="auto"/>
              <w:right w:val="single" w:sz="4" w:space="0" w:color="auto"/>
            </w:tcBorders>
            <w:shd w:val="clear" w:color="auto" w:fill="auto"/>
            <w:noWrap/>
            <w:hideMark/>
          </w:tcPr>
          <w:p w14:paraId="491FEA16" w14:textId="77777777" w:rsidR="006F0BB0" w:rsidRPr="006F0BB0" w:rsidRDefault="006F0BB0" w:rsidP="007D1DBA">
            <w:pPr>
              <w:jc w:val="right"/>
              <w:rPr>
                <w:sz w:val="18"/>
                <w:szCs w:val="18"/>
                <w:lang w:val="es-419" w:eastAsia="es-419"/>
              </w:rPr>
            </w:pPr>
            <w:r w:rsidRPr="006F0BB0">
              <w:rPr>
                <w:sz w:val="18"/>
                <w:szCs w:val="18"/>
                <w:lang w:val="es-419" w:eastAsia="es-419"/>
              </w:rPr>
              <w:t>6 697</w:t>
            </w:r>
          </w:p>
        </w:tc>
        <w:tc>
          <w:tcPr>
            <w:tcW w:w="1034" w:type="dxa"/>
            <w:tcBorders>
              <w:top w:val="nil"/>
              <w:left w:val="nil"/>
              <w:bottom w:val="single" w:sz="4" w:space="0" w:color="auto"/>
              <w:right w:val="single" w:sz="4" w:space="0" w:color="auto"/>
            </w:tcBorders>
            <w:shd w:val="clear" w:color="auto" w:fill="auto"/>
            <w:noWrap/>
            <w:hideMark/>
          </w:tcPr>
          <w:p w14:paraId="686433E4" w14:textId="77777777" w:rsidR="006F0BB0" w:rsidRPr="006F0BB0" w:rsidRDefault="006F0BB0" w:rsidP="007D1DBA">
            <w:pPr>
              <w:jc w:val="right"/>
              <w:rPr>
                <w:sz w:val="18"/>
                <w:szCs w:val="18"/>
                <w:lang w:val="es-419" w:eastAsia="es-419"/>
              </w:rPr>
            </w:pPr>
            <w:r w:rsidRPr="006F0BB0">
              <w:rPr>
                <w:sz w:val="18"/>
                <w:szCs w:val="18"/>
                <w:lang w:val="es-419" w:eastAsia="es-419"/>
              </w:rPr>
              <w:t>10 191</w:t>
            </w:r>
          </w:p>
        </w:tc>
        <w:tc>
          <w:tcPr>
            <w:tcW w:w="1181" w:type="dxa"/>
            <w:tcBorders>
              <w:top w:val="nil"/>
              <w:left w:val="nil"/>
              <w:bottom w:val="single" w:sz="4" w:space="0" w:color="auto"/>
              <w:right w:val="single" w:sz="4" w:space="0" w:color="auto"/>
            </w:tcBorders>
            <w:shd w:val="clear" w:color="auto" w:fill="auto"/>
            <w:noWrap/>
            <w:hideMark/>
          </w:tcPr>
          <w:p w14:paraId="6727B33A" w14:textId="77777777" w:rsidR="006F0BB0" w:rsidRPr="006F0BB0" w:rsidRDefault="006F0BB0" w:rsidP="007D1DBA">
            <w:pPr>
              <w:jc w:val="right"/>
              <w:rPr>
                <w:sz w:val="18"/>
                <w:szCs w:val="18"/>
                <w:lang w:val="es-419" w:eastAsia="es-419"/>
              </w:rPr>
            </w:pPr>
            <w:r w:rsidRPr="006F0BB0">
              <w:rPr>
                <w:sz w:val="18"/>
                <w:szCs w:val="18"/>
                <w:lang w:val="es-419" w:eastAsia="es-419"/>
              </w:rPr>
              <w:t>81,1%</w:t>
            </w:r>
          </w:p>
        </w:tc>
      </w:tr>
      <w:tr w:rsidR="006F0BB0" w:rsidRPr="006F0BB0" w14:paraId="541804B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CDDB69" w14:textId="77777777" w:rsidR="006F0BB0" w:rsidRPr="006F0BB0" w:rsidRDefault="006F0BB0" w:rsidP="007D1DBA">
            <w:pPr>
              <w:jc w:val="left"/>
              <w:rPr>
                <w:sz w:val="18"/>
                <w:szCs w:val="18"/>
                <w:lang w:val="es-419" w:eastAsia="es-419"/>
              </w:rPr>
            </w:pPr>
            <w:r w:rsidRPr="006F0BB0">
              <w:rPr>
                <w:sz w:val="18"/>
                <w:szCs w:val="18"/>
                <w:lang w:val="es-419" w:eastAsia="es-419"/>
              </w:rPr>
              <w:t>Vanuatu</w:t>
            </w:r>
          </w:p>
        </w:tc>
        <w:tc>
          <w:tcPr>
            <w:tcW w:w="950" w:type="dxa"/>
            <w:tcBorders>
              <w:top w:val="nil"/>
              <w:left w:val="nil"/>
              <w:bottom w:val="single" w:sz="4" w:space="0" w:color="auto"/>
              <w:right w:val="single" w:sz="4" w:space="0" w:color="auto"/>
            </w:tcBorders>
            <w:shd w:val="clear" w:color="auto" w:fill="auto"/>
            <w:noWrap/>
            <w:hideMark/>
          </w:tcPr>
          <w:p w14:paraId="2E66F914" w14:textId="77777777" w:rsidR="006F0BB0" w:rsidRPr="006F0BB0" w:rsidRDefault="006F0BB0" w:rsidP="007D1DBA">
            <w:pPr>
              <w:jc w:val="right"/>
              <w:rPr>
                <w:sz w:val="18"/>
                <w:szCs w:val="18"/>
                <w:lang w:val="es-419" w:eastAsia="es-419"/>
              </w:rPr>
            </w:pPr>
            <w:r w:rsidRPr="006F0BB0">
              <w:rPr>
                <w:sz w:val="18"/>
                <w:szCs w:val="18"/>
                <w:lang w:val="es-419" w:eastAsia="es-419"/>
              </w:rPr>
              <w:t>11 351</w:t>
            </w:r>
          </w:p>
        </w:tc>
        <w:tc>
          <w:tcPr>
            <w:tcW w:w="950" w:type="dxa"/>
            <w:tcBorders>
              <w:top w:val="nil"/>
              <w:left w:val="nil"/>
              <w:bottom w:val="single" w:sz="4" w:space="0" w:color="auto"/>
              <w:right w:val="single" w:sz="4" w:space="0" w:color="auto"/>
            </w:tcBorders>
            <w:shd w:val="clear" w:color="auto" w:fill="auto"/>
            <w:noWrap/>
            <w:hideMark/>
          </w:tcPr>
          <w:p w14:paraId="3F6E3502" w14:textId="77777777" w:rsidR="006F0BB0" w:rsidRPr="006F0BB0" w:rsidRDefault="006F0BB0" w:rsidP="007D1DBA">
            <w:pPr>
              <w:jc w:val="right"/>
              <w:rPr>
                <w:sz w:val="18"/>
                <w:szCs w:val="18"/>
                <w:lang w:val="es-419" w:eastAsia="es-419"/>
              </w:rPr>
            </w:pPr>
            <w:r w:rsidRPr="006F0BB0">
              <w:rPr>
                <w:sz w:val="18"/>
                <w:szCs w:val="18"/>
                <w:lang w:val="es-419" w:eastAsia="es-419"/>
              </w:rPr>
              <w:t>11 578</w:t>
            </w:r>
          </w:p>
        </w:tc>
        <w:tc>
          <w:tcPr>
            <w:tcW w:w="950" w:type="dxa"/>
            <w:tcBorders>
              <w:top w:val="nil"/>
              <w:left w:val="nil"/>
              <w:bottom w:val="single" w:sz="4" w:space="0" w:color="auto"/>
              <w:right w:val="single" w:sz="4" w:space="0" w:color="auto"/>
            </w:tcBorders>
            <w:shd w:val="clear" w:color="auto" w:fill="auto"/>
            <w:noWrap/>
            <w:hideMark/>
          </w:tcPr>
          <w:p w14:paraId="01F455D0" w14:textId="77777777" w:rsidR="006F0BB0" w:rsidRPr="006F0BB0" w:rsidRDefault="006F0BB0" w:rsidP="007D1DBA">
            <w:pPr>
              <w:jc w:val="right"/>
              <w:rPr>
                <w:sz w:val="18"/>
                <w:szCs w:val="18"/>
                <w:lang w:val="es-419" w:eastAsia="es-419"/>
              </w:rPr>
            </w:pPr>
            <w:r w:rsidRPr="006F0BB0">
              <w:rPr>
                <w:sz w:val="18"/>
                <w:szCs w:val="18"/>
                <w:lang w:val="es-419" w:eastAsia="es-419"/>
              </w:rPr>
              <w:t>11 810</w:t>
            </w:r>
          </w:p>
        </w:tc>
        <w:tc>
          <w:tcPr>
            <w:tcW w:w="978" w:type="dxa"/>
            <w:tcBorders>
              <w:top w:val="nil"/>
              <w:left w:val="nil"/>
              <w:bottom w:val="single" w:sz="4" w:space="0" w:color="auto"/>
              <w:right w:val="single" w:sz="4" w:space="0" w:color="auto"/>
            </w:tcBorders>
            <w:shd w:val="clear" w:color="auto" w:fill="auto"/>
            <w:noWrap/>
            <w:hideMark/>
          </w:tcPr>
          <w:p w14:paraId="158CB600" w14:textId="77777777" w:rsidR="006F0BB0" w:rsidRPr="006F0BB0" w:rsidRDefault="006F0BB0" w:rsidP="007D1DBA">
            <w:pPr>
              <w:jc w:val="right"/>
              <w:rPr>
                <w:sz w:val="18"/>
                <w:szCs w:val="18"/>
                <w:lang w:val="es-419" w:eastAsia="es-419"/>
              </w:rPr>
            </w:pPr>
            <w:r w:rsidRPr="006F0BB0">
              <w:rPr>
                <w:sz w:val="18"/>
                <w:szCs w:val="18"/>
                <w:lang w:val="es-419" w:eastAsia="es-419"/>
              </w:rPr>
              <w:t>12 046</w:t>
            </w:r>
          </w:p>
        </w:tc>
        <w:tc>
          <w:tcPr>
            <w:tcW w:w="950" w:type="dxa"/>
            <w:tcBorders>
              <w:top w:val="nil"/>
              <w:left w:val="nil"/>
              <w:bottom w:val="single" w:sz="4" w:space="0" w:color="auto"/>
              <w:right w:val="single" w:sz="4" w:space="0" w:color="auto"/>
            </w:tcBorders>
            <w:shd w:val="clear" w:color="auto" w:fill="auto"/>
            <w:noWrap/>
            <w:hideMark/>
          </w:tcPr>
          <w:p w14:paraId="522EE2A3" w14:textId="77777777" w:rsidR="006F0BB0" w:rsidRPr="006F0BB0" w:rsidRDefault="006F0BB0" w:rsidP="007D1DBA">
            <w:pPr>
              <w:jc w:val="right"/>
              <w:rPr>
                <w:sz w:val="18"/>
                <w:szCs w:val="18"/>
                <w:lang w:val="es-419" w:eastAsia="es-419"/>
              </w:rPr>
            </w:pPr>
            <w:r w:rsidRPr="006F0BB0">
              <w:rPr>
                <w:sz w:val="18"/>
                <w:szCs w:val="18"/>
                <w:lang w:val="es-419" w:eastAsia="es-419"/>
              </w:rPr>
              <w:t>13 250</w:t>
            </w:r>
          </w:p>
        </w:tc>
        <w:tc>
          <w:tcPr>
            <w:tcW w:w="950" w:type="dxa"/>
            <w:tcBorders>
              <w:top w:val="nil"/>
              <w:left w:val="nil"/>
              <w:bottom w:val="single" w:sz="4" w:space="0" w:color="auto"/>
              <w:right w:val="single" w:sz="4" w:space="0" w:color="auto"/>
            </w:tcBorders>
            <w:shd w:val="clear" w:color="auto" w:fill="auto"/>
            <w:noWrap/>
            <w:hideMark/>
          </w:tcPr>
          <w:p w14:paraId="6BB96061" w14:textId="77777777" w:rsidR="006F0BB0" w:rsidRPr="006F0BB0" w:rsidRDefault="006F0BB0" w:rsidP="007D1DBA">
            <w:pPr>
              <w:jc w:val="right"/>
              <w:rPr>
                <w:sz w:val="18"/>
                <w:szCs w:val="18"/>
                <w:lang w:val="es-419" w:eastAsia="es-419"/>
              </w:rPr>
            </w:pPr>
            <w:r w:rsidRPr="006F0BB0">
              <w:rPr>
                <w:sz w:val="18"/>
                <w:szCs w:val="18"/>
                <w:lang w:val="es-419" w:eastAsia="es-419"/>
              </w:rPr>
              <w:t>14 575</w:t>
            </w:r>
          </w:p>
        </w:tc>
        <w:tc>
          <w:tcPr>
            <w:tcW w:w="1076" w:type="dxa"/>
            <w:tcBorders>
              <w:top w:val="nil"/>
              <w:left w:val="nil"/>
              <w:bottom w:val="single" w:sz="4" w:space="0" w:color="auto"/>
              <w:right w:val="single" w:sz="4" w:space="0" w:color="auto"/>
            </w:tcBorders>
            <w:shd w:val="clear" w:color="auto" w:fill="auto"/>
            <w:noWrap/>
            <w:hideMark/>
          </w:tcPr>
          <w:p w14:paraId="41B348EC" w14:textId="77777777" w:rsidR="006F0BB0" w:rsidRPr="006F0BB0" w:rsidRDefault="006F0BB0" w:rsidP="007D1DBA">
            <w:pPr>
              <w:jc w:val="right"/>
              <w:rPr>
                <w:sz w:val="18"/>
                <w:szCs w:val="18"/>
                <w:lang w:val="es-419" w:eastAsia="es-419"/>
              </w:rPr>
            </w:pPr>
            <w:r w:rsidRPr="006F0BB0">
              <w:rPr>
                <w:sz w:val="18"/>
                <w:szCs w:val="18"/>
                <w:lang w:val="es-419" w:eastAsia="es-419"/>
              </w:rPr>
              <w:t>11 811</w:t>
            </w:r>
          </w:p>
        </w:tc>
        <w:tc>
          <w:tcPr>
            <w:tcW w:w="1034" w:type="dxa"/>
            <w:tcBorders>
              <w:top w:val="nil"/>
              <w:left w:val="nil"/>
              <w:bottom w:val="single" w:sz="4" w:space="0" w:color="auto"/>
              <w:right w:val="single" w:sz="4" w:space="0" w:color="auto"/>
            </w:tcBorders>
            <w:shd w:val="clear" w:color="auto" w:fill="auto"/>
            <w:noWrap/>
            <w:hideMark/>
          </w:tcPr>
          <w:p w14:paraId="16015DEE" w14:textId="77777777" w:rsidR="006F0BB0" w:rsidRPr="006F0BB0" w:rsidRDefault="006F0BB0" w:rsidP="007D1DBA">
            <w:pPr>
              <w:jc w:val="right"/>
              <w:rPr>
                <w:sz w:val="18"/>
                <w:szCs w:val="18"/>
                <w:lang w:val="es-419" w:eastAsia="es-419"/>
              </w:rPr>
            </w:pPr>
            <w:r w:rsidRPr="006F0BB0">
              <w:rPr>
                <w:sz w:val="18"/>
                <w:szCs w:val="18"/>
                <w:lang w:val="es-419" w:eastAsia="es-419"/>
              </w:rPr>
              <w:t>17 891</w:t>
            </w:r>
          </w:p>
        </w:tc>
        <w:tc>
          <w:tcPr>
            <w:tcW w:w="1181" w:type="dxa"/>
            <w:tcBorders>
              <w:top w:val="nil"/>
              <w:left w:val="nil"/>
              <w:bottom w:val="single" w:sz="4" w:space="0" w:color="auto"/>
              <w:right w:val="single" w:sz="4" w:space="0" w:color="auto"/>
            </w:tcBorders>
            <w:shd w:val="clear" w:color="auto" w:fill="auto"/>
            <w:noWrap/>
            <w:hideMark/>
          </w:tcPr>
          <w:p w14:paraId="4D7D1EEB" w14:textId="77777777" w:rsidR="006F0BB0" w:rsidRPr="006F0BB0" w:rsidRDefault="006F0BB0" w:rsidP="007D1DBA">
            <w:pPr>
              <w:jc w:val="right"/>
              <w:rPr>
                <w:sz w:val="18"/>
                <w:szCs w:val="18"/>
                <w:lang w:val="es-419" w:eastAsia="es-419"/>
              </w:rPr>
            </w:pPr>
            <w:r w:rsidRPr="006F0BB0">
              <w:rPr>
                <w:sz w:val="18"/>
                <w:szCs w:val="18"/>
                <w:lang w:val="es-419" w:eastAsia="es-419"/>
              </w:rPr>
              <w:t>81,5%</w:t>
            </w:r>
          </w:p>
        </w:tc>
      </w:tr>
      <w:tr w:rsidR="006F0BB0" w:rsidRPr="006F0BB0" w14:paraId="28CE34A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8790D03" w14:textId="77777777" w:rsidR="006F0BB0" w:rsidRPr="006F0BB0" w:rsidRDefault="006F0BB0" w:rsidP="007D1DBA">
            <w:pPr>
              <w:jc w:val="left"/>
              <w:rPr>
                <w:sz w:val="18"/>
                <w:szCs w:val="18"/>
                <w:lang w:val="es-419" w:eastAsia="es-419"/>
              </w:rPr>
            </w:pPr>
            <w:r w:rsidRPr="006F0BB0">
              <w:rPr>
                <w:sz w:val="18"/>
                <w:szCs w:val="18"/>
                <w:lang w:val="es-419" w:eastAsia="es-419"/>
              </w:rPr>
              <w:t>Togo</w:t>
            </w:r>
          </w:p>
        </w:tc>
        <w:tc>
          <w:tcPr>
            <w:tcW w:w="950" w:type="dxa"/>
            <w:tcBorders>
              <w:top w:val="nil"/>
              <w:left w:val="nil"/>
              <w:bottom w:val="single" w:sz="4" w:space="0" w:color="auto"/>
              <w:right w:val="single" w:sz="4" w:space="0" w:color="auto"/>
            </w:tcBorders>
            <w:shd w:val="clear" w:color="auto" w:fill="auto"/>
            <w:noWrap/>
            <w:hideMark/>
          </w:tcPr>
          <w:p w14:paraId="16F4F898" w14:textId="77777777" w:rsidR="006F0BB0" w:rsidRPr="006F0BB0" w:rsidRDefault="006F0BB0" w:rsidP="007D1DBA">
            <w:pPr>
              <w:jc w:val="right"/>
              <w:rPr>
                <w:sz w:val="18"/>
                <w:szCs w:val="18"/>
                <w:lang w:val="es-419" w:eastAsia="es-419"/>
              </w:rPr>
            </w:pPr>
            <w:r w:rsidRPr="006F0BB0">
              <w:rPr>
                <w:sz w:val="18"/>
                <w:szCs w:val="18"/>
                <w:lang w:val="es-419" w:eastAsia="es-419"/>
              </w:rPr>
              <w:t>797 321</w:t>
            </w:r>
          </w:p>
        </w:tc>
        <w:tc>
          <w:tcPr>
            <w:tcW w:w="950" w:type="dxa"/>
            <w:tcBorders>
              <w:top w:val="nil"/>
              <w:left w:val="nil"/>
              <w:bottom w:val="single" w:sz="4" w:space="0" w:color="auto"/>
              <w:right w:val="single" w:sz="4" w:space="0" w:color="auto"/>
            </w:tcBorders>
            <w:shd w:val="clear" w:color="auto" w:fill="auto"/>
            <w:noWrap/>
            <w:hideMark/>
          </w:tcPr>
          <w:p w14:paraId="4EF1A427" w14:textId="77777777" w:rsidR="006F0BB0" w:rsidRPr="006F0BB0" w:rsidRDefault="006F0BB0" w:rsidP="007D1DBA">
            <w:pPr>
              <w:jc w:val="right"/>
              <w:rPr>
                <w:sz w:val="18"/>
                <w:szCs w:val="18"/>
                <w:lang w:val="es-419" w:eastAsia="es-419"/>
              </w:rPr>
            </w:pPr>
            <w:r w:rsidRPr="006F0BB0">
              <w:rPr>
                <w:sz w:val="18"/>
                <w:szCs w:val="18"/>
                <w:lang w:val="es-419" w:eastAsia="es-419"/>
              </w:rPr>
              <w:t>813 267</w:t>
            </w:r>
          </w:p>
        </w:tc>
        <w:tc>
          <w:tcPr>
            <w:tcW w:w="950" w:type="dxa"/>
            <w:tcBorders>
              <w:top w:val="nil"/>
              <w:left w:val="nil"/>
              <w:bottom w:val="single" w:sz="4" w:space="0" w:color="auto"/>
              <w:right w:val="single" w:sz="4" w:space="0" w:color="auto"/>
            </w:tcBorders>
            <w:shd w:val="clear" w:color="auto" w:fill="auto"/>
            <w:noWrap/>
            <w:hideMark/>
          </w:tcPr>
          <w:p w14:paraId="27334A34" w14:textId="77777777" w:rsidR="006F0BB0" w:rsidRPr="006F0BB0" w:rsidRDefault="006F0BB0" w:rsidP="007D1DBA">
            <w:pPr>
              <w:jc w:val="right"/>
              <w:rPr>
                <w:sz w:val="18"/>
                <w:szCs w:val="18"/>
                <w:lang w:val="es-419" w:eastAsia="es-419"/>
              </w:rPr>
            </w:pPr>
            <w:r w:rsidRPr="006F0BB0">
              <w:rPr>
                <w:sz w:val="18"/>
                <w:szCs w:val="18"/>
                <w:lang w:val="es-419" w:eastAsia="es-419"/>
              </w:rPr>
              <w:t>829 533</w:t>
            </w:r>
          </w:p>
        </w:tc>
        <w:tc>
          <w:tcPr>
            <w:tcW w:w="978" w:type="dxa"/>
            <w:tcBorders>
              <w:top w:val="nil"/>
              <w:left w:val="nil"/>
              <w:bottom w:val="single" w:sz="4" w:space="0" w:color="auto"/>
              <w:right w:val="single" w:sz="4" w:space="0" w:color="auto"/>
            </w:tcBorders>
            <w:shd w:val="clear" w:color="auto" w:fill="auto"/>
            <w:noWrap/>
            <w:hideMark/>
          </w:tcPr>
          <w:p w14:paraId="75B28527" w14:textId="77777777" w:rsidR="006F0BB0" w:rsidRPr="006F0BB0" w:rsidRDefault="006F0BB0" w:rsidP="007D1DBA">
            <w:pPr>
              <w:jc w:val="right"/>
              <w:rPr>
                <w:sz w:val="18"/>
                <w:szCs w:val="18"/>
                <w:lang w:val="es-419" w:eastAsia="es-419"/>
              </w:rPr>
            </w:pPr>
            <w:r w:rsidRPr="006F0BB0">
              <w:rPr>
                <w:sz w:val="18"/>
                <w:szCs w:val="18"/>
                <w:lang w:val="es-419" w:eastAsia="es-419"/>
              </w:rPr>
              <w:t>846 123</w:t>
            </w:r>
          </w:p>
        </w:tc>
        <w:tc>
          <w:tcPr>
            <w:tcW w:w="950" w:type="dxa"/>
            <w:tcBorders>
              <w:top w:val="nil"/>
              <w:left w:val="nil"/>
              <w:bottom w:val="single" w:sz="4" w:space="0" w:color="auto"/>
              <w:right w:val="single" w:sz="4" w:space="0" w:color="auto"/>
            </w:tcBorders>
            <w:shd w:val="clear" w:color="auto" w:fill="auto"/>
            <w:noWrap/>
            <w:hideMark/>
          </w:tcPr>
          <w:p w14:paraId="5CAB2852" w14:textId="77777777" w:rsidR="006F0BB0" w:rsidRPr="006F0BB0" w:rsidRDefault="006F0BB0" w:rsidP="007D1DBA">
            <w:pPr>
              <w:jc w:val="right"/>
              <w:rPr>
                <w:sz w:val="18"/>
                <w:szCs w:val="18"/>
                <w:lang w:val="es-419" w:eastAsia="es-419"/>
              </w:rPr>
            </w:pPr>
            <w:r w:rsidRPr="006F0BB0">
              <w:rPr>
                <w:sz w:val="18"/>
                <w:szCs w:val="18"/>
                <w:lang w:val="es-419" w:eastAsia="es-419"/>
              </w:rPr>
              <w:t>930 736</w:t>
            </w:r>
          </w:p>
        </w:tc>
        <w:tc>
          <w:tcPr>
            <w:tcW w:w="950" w:type="dxa"/>
            <w:tcBorders>
              <w:top w:val="nil"/>
              <w:left w:val="nil"/>
              <w:bottom w:val="single" w:sz="4" w:space="0" w:color="auto"/>
              <w:right w:val="single" w:sz="4" w:space="0" w:color="auto"/>
            </w:tcBorders>
            <w:shd w:val="clear" w:color="auto" w:fill="auto"/>
            <w:noWrap/>
            <w:hideMark/>
          </w:tcPr>
          <w:p w14:paraId="2D36B512" w14:textId="77777777" w:rsidR="006F0BB0" w:rsidRPr="006F0BB0" w:rsidRDefault="006F0BB0" w:rsidP="007D1DBA">
            <w:pPr>
              <w:jc w:val="right"/>
              <w:rPr>
                <w:sz w:val="18"/>
                <w:szCs w:val="18"/>
                <w:lang w:val="es-419" w:eastAsia="es-419"/>
              </w:rPr>
            </w:pPr>
            <w:r w:rsidRPr="006F0BB0">
              <w:rPr>
                <w:sz w:val="18"/>
                <w:szCs w:val="18"/>
                <w:lang w:val="es-419" w:eastAsia="es-419"/>
              </w:rPr>
              <w:t>1 023 809</w:t>
            </w:r>
          </w:p>
        </w:tc>
        <w:tc>
          <w:tcPr>
            <w:tcW w:w="1076" w:type="dxa"/>
            <w:tcBorders>
              <w:top w:val="nil"/>
              <w:left w:val="nil"/>
              <w:bottom w:val="single" w:sz="4" w:space="0" w:color="auto"/>
              <w:right w:val="single" w:sz="4" w:space="0" w:color="auto"/>
            </w:tcBorders>
            <w:shd w:val="clear" w:color="auto" w:fill="auto"/>
            <w:noWrap/>
            <w:hideMark/>
          </w:tcPr>
          <w:p w14:paraId="26CD40DE" w14:textId="77777777" w:rsidR="006F0BB0" w:rsidRPr="006F0BB0" w:rsidRDefault="006F0BB0" w:rsidP="007D1DBA">
            <w:pPr>
              <w:jc w:val="right"/>
              <w:rPr>
                <w:sz w:val="18"/>
                <w:szCs w:val="18"/>
                <w:lang w:val="es-419" w:eastAsia="es-419"/>
              </w:rPr>
            </w:pPr>
            <w:r w:rsidRPr="006F0BB0">
              <w:rPr>
                <w:sz w:val="18"/>
                <w:szCs w:val="18"/>
                <w:lang w:val="es-419" w:eastAsia="es-419"/>
              </w:rPr>
              <w:t>829 641</w:t>
            </w:r>
          </w:p>
        </w:tc>
        <w:tc>
          <w:tcPr>
            <w:tcW w:w="1034" w:type="dxa"/>
            <w:tcBorders>
              <w:top w:val="nil"/>
              <w:left w:val="nil"/>
              <w:bottom w:val="single" w:sz="4" w:space="0" w:color="auto"/>
              <w:right w:val="single" w:sz="4" w:space="0" w:color="auto"/>
            </w:tcBorders>
            <w:shd w:val="clear" w:color="auto" w:fill="auto"/>
            <w:noWrap/>
            <w:hideMark/>
          </w:tcPr>
          <w:p w14:paraId="2B3E4982" w14:textId="77777777" w:rsidR="006F0BB0" w:rsidRPr="006F0BB0" w:rsidRDefault="006F0BB0" w:rsidP="007D1DBA">
            <w:pPr>
              <w:jc w:val="right"/>
              <w:rPr>
                <w:sz w:val="18"/>
                <w:szCs w:val="18"/>
                <w:lang w:val="es-419" w:eastAsia="es-419"/>
              </w:rPr>
            </w:pPr>
            <w:r w:rsidRPr="006F0BB0">
              <w:rPr>
                <w:sz w:val="18"/>
                <w:szCs w:val="18"/>
                <w:lang w:val="es-419" w:eastAsia="es-419"/>
              </w:rPr>
              <w:t>1 256 222</w:t>
            </w:r>
          </w:p>
        </w:tc>
        <w:tc>
          <w:tcPr>
            <w:tcW w:w="1181" w:type="dxa"/>
            <w:tcBorders>
              <w:top w:val="nil"/>
              <w:left w:val="nil"/>
              <w:bottom w:val="single" w:sz="4" w:space="0" w:color="auto"/>
              <w:right w:val="single" w:sz="4" w:space="0" w:color="auto"/>
            </w:tcBorders>
            <w:shd w:val="clear" w:color="auto" w:fill="auto"/>
            <w:noWrap/>
            <w:hideMark/>
          </w:tcPr>
          <w:p w14:paraId="0F96D74C" w14:textId="77777777" w:rsidR="006F0BB0" w:rsidRPr="006F0BB0" w:rsidRDefault="006F0BB0" w:rsidP="007D1DBA">
            <w:pPr>
              <w:jc w:val="right"/>
              <w:rPr>
                <w:sz w:val="18"/>
                <w:szCs w:val="18"/>
                <w:lang w:val="es-419" w:eastAsia="es-419"/>
              </w:rPr>
            </w:pPr>
            <w:r w:rsidRPr="006F0BB0">
              <w:rPr>
                <w:sz w:val="18"/>
                <w:szCs w:val="18"/>
                <w:lang w:val="es-419" w:eastAsia="es-419"/>
              </w:rPr>
              <w:t>81,5%</w:t>
            </w:r>
          </w:p>
        </w:tc>
      </w:tr>
      <w:tr w:rsidR="006F0BB0" w:rsidRPr="006F0BB0" w14:paraId="37AC5F79"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C60345" w14:textId="77777777" w:rsidR="006F0BB0" w:rsidRPr="006F0BB0" w:rsidRDefault="006F0BB0" w:rsidP="007D1DBA">
            <w:pPr>
              <w:jc w:val="left"/>
              <w:rPr>
                <w:sz w:val="18"/>
                <w:szCs w:val="18"/>
                <w:lang w:val="es-419" w:eastAsia="es-419"/>
              </w:rPr>
            </w:pPr>
            <w:r w:rsidRPr="006F0BB0">
              <w:rPr>
                <w:sz w:val="18"/>
                <w:szCs w:val="18"/>
                <w:lang w:val="es-419" w:eastAsia="es-419"/>
              </w:rPr>
              <w:t>Sudáfrica</w:t>
            </w:r>
          </w:p>
        </w:tc>
        <w:tc>
          <w:tcPr>
            <w:tcW w:w="950" w:type="dxa"/>
            <w:tcBorders>
              <w:top w:val="nil"/>
              <w:left w:val="nil"/>
              <w:bottom w:val="single" w:sz="4" w:space="0" w:color="auto"/>
              <w:right w:val="single" w:sz="4" w:space="0" w:color="auto"/>
            </w:tcBorders>
            <w:shd w:val="clear" w:color="auto" w:fill="auto"/>
            <w:noWrap/>
            <w:hideMark/>
          </w:tcPr>
          <w:p w14:paraId="0C782E6F" w14:textId="77777777" w:rsidR="006F0BB0" w:rsidRPr="006F0BB0" w:rsidRDefault="006F0BB0" w:rsidP="007D1DBA">
            <w:pPr>
              <w:jc w:val="right"/>
              <w:rPr>
                <w:sz w:val="18"/>
                <w:szCs w:val="18"/>
                <w:lang w:val="es-419" w:eastAsia="es-419"/>
              </w:rPr>
            </w:pPr>
            <w:r w:rsidRPr="006F0BB0">
              <w:rPr>
                <w:sz w:val="18"/>
                <w:szCs w:val="18"/>
                <w:lang w:val="es-419" w:eastAsia="es-419"/>
              </w:rPr>
              <w:t>10 074 432</w:t>
            </w:r>
          </w:p>
        </w:tc>
        <w:tc>
          <w:tcPr>
            <w:tcW w:w="950" w:type="dxa"/>
            <w:tcBorders>
              <w:top w:val="nil"/>
              <w:left w:val="nil"/>
              <w:bottom w:val="single" w:sz="4" w:space="0" w:color="auto"/>
              <w:right w:val="single" w:sz="4" w:space="0" w:color="auto"/>
            </w:tcBorders>
            <w:shd w:val="clear" w:color="auto" w:fill="auto"/>
            <w:noWrap/>
            <w:hideMark/>
          </w:tcPr>
          <w:p w14:paraId="799A0CEC" w14:textId="77777777" w:rsidR="006F0BB0" w:rsidRPr="006F0BB0" w:rsidRDefault="006F0BB0" w:rsidP="007D1DBA">
            <w:pPr>
              <w:jc w:val="right"/>
              <w:rPr>
                <w:sz w:val="18"/>
                <w:szCs w:val="18"/>
                <w:lang w:val="es-419" w:eastAsia="es-419"/>
              </w:rPr>
            </w:pPr>
            <w:r w:rsidRPr="006F0BB0">
              <w:rPr>
                <w:sz w:val="18"/>
                <w:szCs w:val="18"/>
                <w:lang w:val="es-419" w:eastAsia="es-419"/>
              </w:rPr>
              <w:t>10 275 921</w:t>
            </w:r>
          </w:p>
        </w:tc>
        <w:tc>
          <w:tcPr>
            <w:tcW w:w="950" w:type="dxa"/>
            <w:tcBorders>
              <w:top w:val="nil"/>
              <w:left w:val="nil"/>
              <w:bottom w:val="single" w:sz="4" w:space="0" w:color="auto"/>
              <w:right w:val="single" w:sz="4" w:space="0" w:color="auto"/>
            </w:tcBorders>
            <w:shd w:val="clear" w:color="auto" w:fill="auto"/>
            <w:noWrap/>
            <w:hideMark/>
          </w:tcPr>
          <w:p w14:paraId="25EEA735" w14:textId="77777777" w:rsidR="006F0BB0" w:rsidRPr="006F0BB0" w:rsidRDefault="006F0BB0" w:rsidP="007D1DBA">
            <w:pPr>
              <w:jc w:val="right"/>
              <w:rPr>
                <w:sz w:val="18"/>
                <w:szCs w:val="18"/>
                <w:lang w:val="es-419" w:eastAsia="es-419"/>
              </w:rPr>
            </w:pPr>
            <w:r w:rsidRPr="006F0BB0">
              <w:rPr>
                <w:sz w:val="18"/>
                <w:szCs w:val="18"/>
                <w:lang w:val="es-419" w:eastAsia="es-419"/>
              </w:rPr>
              <w:t>10 481 439</w:t>
            </w:r>
          </w:p>
        </w:tc>
        <w:tc>
          <w:tcPr>
            <w:tcW w:w="978" w:type="dxa"/>
            <w:tcBorders>
              <w:top w:val="nil"/>
              <w:left w:val="nil"/>
              <w:bottom w:val="single" w:sz="4" w:space="0" w:color="auto"/>
              <w:right w:val="single" w:sz="4" w:space="0" w:color="auto"/>
            </w:tcBorders>
            <w:shd w:val="clear" w:color="auto" w:fill="auto"/>
            <w:noWrap/>
            <w:hideMark/>
          </w:tcPr>
          <w:p w14:paraId="4F915E44" w14:textId="77777777" w:rsidR="006F0BB0" w:rsidRPr="006F0BB0" w:rsidRDefault="006F0BB0" w:rsidP="007D1DBA">
            <w:pPr>
              <w:jc w:val="right"/>
              <w:rPr>
                <w:sz w:val="18"/>
                <w:szCs w:val="18"/>
                <w:lang w:val="es-419" w:eastAsia="es-419"/>
              </w:rPr>
            </w:pPr>
            <w:r w:rsidRPr="006F0BB0">
              <w:rPr>
                <w:sz w:val="18"/>
                <w:szCs w:val="18"/>
                <w:lang w:val="es-419" w:eastAsia="es-419"/>
              </w:rPr>
              <w:t>10 691 068</w:t>
            </w:r>
          </w:p>
        </w:tc>
        <w:tc>
          <w:tcPr>
            <w:tcW w:w="950" w:type="dxa"/>
            <w:tcBorders>
              <w:top w:val="nil"/>
              <w:left w:val="nil"/>
              <w:bottom w:val="single" w:sz="4" w:space="0" w:color="auto"/>
              <w:right w:val="single" w:sz="4" w:space="0" w:color="auto"/>
            </w:tcBorders>
            <w:shd w:val="clear" w:color="auto" w:fill="auto"/>
            <w:noWrap/>
            <w:hideMark/>
          </w:tcPr>
          <w:p w14:paraId="16DA3185" w14:textId="77777777" w:rsidR="006F0BB0" w:rsidRPr="006F0BB0" w:rsidRDefault="006F0BB0" w:rsidP="007D1DBA">
            <w:pPr>
              <w:jc w:val="right"/>
              <w:rPr>
                <w:sz w:val="18"/>
                <w:szCs w:val="18"/>
                <w:lang w:val="es-419" w:eastAsia="es-419"/>
              </w:rPr>
            </w:pPr>
            <w:r w:rsidRPr="006F0BB0">
              <w:rPr>
                <w:sz w:val="18"/>
                <w:szCs w:val="18"/>
                <w:lang w:val="es-419" w:eastAsia="es-419"/>
              </w:rPr>
              <w:t>11 760 175</w:t>
            </w:r>
          </w:p>
        </w:tc>
        <w:tc>
          <w:tcPr>
            <w:tcW w:w="950" w:type="dxa"/>
            <w:tcBorders>
              <w:top w:val="nil"/>
              <w:left w:val="nil"/>
              <w:bottom w:val="single" w:sz="4" w:space="0" w:color="auto"/>
              <w:right w:val="single" w:sz="4" w:space="0" w:color="auto"/>
            </w:tcBorders>
            <w:shd w:val="clear" w:color="auto" w:fill="auto"/>
            <w:noWrap/>
            <w:hideMark/>
          </w:tcPr>
          <w:p w14:paraId="4BAA747C" w14:textId="77777777" w:rsidR="006F0BB0" w:rsidRPr="006F0BB0" w:rsidRDefault="006F0BB0" w:rsidP="007D1DBA">
            <w:pPr>
              <w:jc w:val="right"/>
              <w:rPr>
                <w:sz w:val="18"/>
                <w:szCs w:val="18"/>
                <w:lang w:val="es-419" w:eastAsia="es-419"/>
              </w:rPr>
            </w:pPr>
            <w:r w:rsidRPr="006F0BB0">
              <w:rPr>
                <w:sz w:val="18"/>
                <w:szCs w:val="18"/>
                <w:lang w:val="es-419" w:eastAsia="es-419"/>
              </w:rPr>
              <w:t>12 936 192</w:t>
            </w:r>
          </w:p>
        </w:tc>
        <w:tc>
          <w:tcPr>
            <w:tcW w:w="1076" w:type="dxa"/>
            <w:tcBorders>
              <w:top w:val="nil"/>
              <w:left w:val="nil"/>
              <w:bottom w:val="single" w:sz="4" w:space="0" w:color="auto"/>
              <w:right w:val="single" w:sz="4" w:space="0" w:color="auto"/>
            </w:tcBorders>
            <w:shd w:val="clear" w:color="auto" w:fill="auto"/>
            <w:noWrap/>
            <w:hideMark/>
          </w:tcPr>
          <w:p w14:paraId="6543A996" w14:textId="77777777" w:rsidR="006F0BB0" w:rsidRPr="006F0BB0" w:rsidRDefault="006F0BB0" w:rsidP="007D1DBA">
            <w:pPr>
              <w:jc w:val="right"/>
              <w:rPr>
                <w:sz w:val="18"/>
                <w:szCs w:val="18"/>
                <w:lang w:val="es-419" w:eastAsia="es-419"/>
              </w:rPr>
            </w:pPr>
            <w:r w:rsidRPr="006F0BB0">
              <w:rPr>
                <w:sz w:val="18"/>
                <w:szCs w:val="18"/>
                <w:lang w:val="es-419" w:eastAsia="es-419"/>
              </w:rPr>
              <w:t>10 482 809</w:t>
            </w:r>
          </w:p>
        </w:tc>
        <w:tc>
          <w:tcPr>
            <w:tcW w:w="1034" w:type="dxa"/>
            <w:tcBorders>
              <w:top w:val="nil"/>
              <w:left w:val="nil"/>
              <w:bottom w:val="single" w:sz="4" w:space="0" w:color="auto"/>
              <w:right w:val="single" w:sz="4" w:space="0" w:color="auto"/>
            </w:tcBorders>
            <w:shd w:val="clear" w:color="auto" w:fill="auto"/>
            <w:noWrap/>
            <w:hideMark/>
          </w:tcPr>
          <w:p w14:paraId="6FCDD8F3" w14:textId="77777777" w:rsidR="006F0BB0" w:rsidRPr="006F0BB0" w:rsidRDefault="006F0BB0" w:rsidP="007D1DBA">
            <w:pPr>
              <w:jc w:val="right"/>
              <w:rPr>
                <w:sz w:val="18"/>
                <w:szCs w:val="18"/>
                <w:lang w:val="es-419" w:eastAsia="es-419"/>
              </w:rPr>
            </w:pPr>
            <w:r w:rsidRPr="006F0BB0">
              <w:rPr>
                <w:sz w:val="18"/>
                <w:szCs w:val="18"/>
                <w:lang w:val="es-419" w:eastAsia="es-419"/>
              </w:rPr>
              <w:t>15 679 002</w:t>
            </w:r>
          </w:p>
        </w:tc>
        <w:tc>
          <w:tcPr>
            <w:tcW w:w="1181" w:type="dxa"/>
            <w:tcBorders>
              <w:top w:val="nil"/>
              <w:left w:val="nil"/>
              <w:bottom w:val="single" w:sz="4" w:space="0" w:color="auto"/>
              <w:right w:val="single" w:sz="4" w:space="0" w:color="auto"/>
            </w:tcBorders>
            <w:shd w:val="clear" w:color="auto" w:fill="auto"/>
            <w:noWrap/>
            <w:hideMark/>
          </w:tcPr>
          <w:p w14:paraId="4708CCFA" w14:textId="77777777" w:rsidR="006F0BB0" w:rsidRPr="006F0BB0" w:rsidRDefault="006F0BB0" w:rsidP="007D1DBA">
            <w:pPr>
              <w:jc w:val="right"/>
              <w:rPr>
                <w:sz w:val="18"/>
                <w:szCs w:val="18"/>
                <w:lang w:val="es-419" w:eastAsia="es-419"/>
              </w:rPr>
            </w:pPr>
            <w:r w:rsidRPr="006F0BB0">
              <w:rPr>
                <w:sz w:val="18"/>
                <w:szCs w:val="18"/>
                <w:lang w:val="es-419" w:eastAsia="es-419"/>
              </w:rPr>
              <w:t>82,5%</w:t>
            </w:r>
          </w:p>
        </w:tc>
      </w:tr>
      <w:tr w:rsidR="006F0BB0" w:rsidRPr="006F0BB0" w14:paraId="1E06034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D777D3" w14:textId="77777777" w:rsidR="006F0BB0" w:rsidRPr="006F0BB0" w:rsidRDefault="006F0BB0" w:rsidP="007D1DBA">
            <w:pPr>
              <w:jc w:val="left"/>
              <w:rPr>
                <w:sz w:val="18"/>
                <w:szCs w:val="18"/>
                <w:lang w:val="es-419" w:eastAsia="es-419"/>
              </w:rPr>
            </w:pPr>
            <w:r w:rsidRPr="006F0BB0">
              <w:rPr>
                <w:sz w:val="18"/>
                <w:szCs w:val="18"/>
                <w:lang w:val="es-419" w:eastAsia="es-419"/>
              </w:rPr>
              <w:t>Zambia</w:t>
            </w:r>
          </w:p>
        </w:tc>
        <w:tc>
          <w:tcPr>
            <w:tcW w:w="950" w:type="dxa"/>
            <w:tcBorders>
              <w:top w:val="nil"/>
              <w:left w:val="nil"/>
              <w:bottom w:val="single" w:sz="4" w:space="0" w:color="auto"/>
              <w:right w:val="single" w:sz="4" w:space="0" w:color="auto"/>
            </w:tcBorders>
            <w:shd w:val="clear" w:color="auto" w:fill="auto"/>
            <w:noWrap/>
            <w:hideMark/>
          </w:tcPr>
          <w:p w14:paraId="671CD5CE" w14:textId="77777777" w:rsidR="006F0BB0" w:rsidRPr="006F0BB0" w:rsidRDefault="006F0BB0" w:rsidP="007D1DBA">
            <w:pPr>
              <w:jc w:val="right"/>
              <w:rPr>
                <w:sz w:val="18"/>
                <w:szCs w:val="18"/>
                <w:lang w:val="es-419" w:eastAsia="es-419"/>
              </w:rPr>
            </w:pPr>
            <w:r w:rsidRPr="006F0BB0">
              <w:rPr>
                <w:sz w:val="18"/>
                <w:szCs w:val="18"/>
                <w:lang w:val="es-419" w:eastAsia="es-419"/>
              </w:rPr>
              <w:t>208 794</w:t>
            </w:r>
          </w:p>
        </w:tc>
        <w:tc>
          <w:tcPr>
            <w:tcW w:w="950" w:type="dxa"/>
            <w:tcBorders>
              <w:top w:val="nil"/>
              <w:left w:val="nil"/>
              <w:bottom w:val="single" w:sz="4" w:space="0" w:color="auto"/>
              <w:right w:val="single" w:sz="4" w:space="0" w:color="auto"/>
            </w:tcBorders>
            <w:shd w:val="clear" w:color="auto" w:fill="auto"/>
            <w:noWrap/>
            <w:hideMark/>
          </w:tcPr>
          <w:p w14:paraId="58433F4A" w14:textId="77777777" w:rsidR="006F0BB0" w:rsidRPr="006F0BB0" w:rsidRDefault="006F0BB0" w:rsidP="007D1DBA">
            <w:pPr>
              <w:jc w:val="right"/>
              <w:rPr>
                <w:sz w:val="18"/>
                <w:szCs w:val="18"/>
                <w:lang w:val="es-419" w:eastAsia="es-419"/>
              </w:rPr>
            </w:pPr>
            <w:r w:rsidRPr="006F0BB0">
              <w:rPr>
                <w:sz w:val="18"/>
                <w:szCs w:val="18"/>
                <w:lang w:val="es-419" w:eastAsia="es-419"/>
              </w:rPr>
              <w:t>212 970</w:t>
            </w:r>
          </w:p>
        </w:tc>
        <w:tc>
          <w:tcPr>
            <w:tcW w:w="950" w:type="dxa"/>
            <w:tcBorders>
              <w:top w:val="nil"/>
              <w:left w:val="nil"/>
              <w:bottom w:val="single" w:sz="4" w:space="0" w:color="auto"/>
              <w:right w:val="single" w:sz="4" w:space="0" w:color="auto"/>
            </w:tcBorders>
            <w:shd w:val="clear" w:color="auto" w:fill="auto"/>
            <w:noWrap/>
            <w:hideMark/>
          </w:tcPr>
          <w:p w14:paraId="26DFD29A" w14:textId="77777777" w:rsidR="006F0BB0" w:rsidRPr="006F0BB0" w:rsidRDefault="006F0BB0" w:rsidP="007D1DBA">
            <w:pPr>
              <w:jc w:val="right"/>
              <w:rPr>
                <w:sz w:val="18"/>
                <w:szCs w:val="18"/>
                <w:lang w:val="es-419" w:eastAsia="es-419"/>
              </w:rPr>
            </w:pPr>
            <w:r w:rsidRPr="006F0BB0">
              <w:rPr>
                <w:sz w:val="18"/>
                <w:szCs w:val="18"/>
                <w:lang w:val="es-419" w:eastAsia="es-419"/>
              </w:rPr>
              <w:t>217 230</w:t>
            </w:r>
          </w:p>
        </w:tc>
        <w:tc>
          <w:tcPr>
            <w:tcW w:w="978" w:type="dxa"/>
            <w:tcBorders>
              <w:top w:val="nil"/>
              <w:left w:val="nil"/>
              <w:bottom w:val="single" w:sz="4" w:space="0" w:color="auto"/>
              <w:right w:val="single" w:sz="4" w:space="0" w:color="auto"/>
            </w:tcBorders>
            <w:shd w:val="clear" w:color="auto" w:fill="auto"/>
            <w:noWrap/>
            <w:hideMark/>
          </w:tcPr>
          <w:p w14:paraId="739F13D1" w14:textId="77777777" w:rsidR="006F0BB0" w:rsidRPr="006F0BB0" w:rsidRDefault="006F0BB0" w:rsidP="007D1DBA">
            <w:pPr>
              <w:jc w:val="right"/>
              <w:rPr>
                <w:sz w:val="18"/>
                <w:szCs w:val="18"/>
                <w:lang w:val="es-419" w:eastAsia="es-419"/>
              </w:rPr>
            </w:pPr>
            <w:r w:rsidRPr="006F0BB0">
              <w:rPr>
                <w:sz w:val="18"/>
                <w:szCs w:val="18"/>
                <w:lang w:val="es-419" w:eastAsia="es-419"/>
              </w:rPr>
              <w:t>221 574</w:t>
            </w:r>
          </w:p>
        </w:tc>
        <w:tc>
          <w:tcPr>
            <w:tcW w:w="950" w:type="dxa"/>
            <w:tcBorders>
              <w:top w:val="nil"/>
              <w:left w:val="nil"/>
              <w:bottom w:val="single" w:sz="4" w:space="0" w:color="auto"/>
              <w:right w:val="single" w:sz="4" w:space="0" w:color="auto"/>
            </w:tcBorders>
            <w:shd w:val="clear" w:color="auto" w:fill="auto"/>
            <w:noWrap/>
            <w:hideMark/>
          </w:tcPr>
          <w:p w14:paraId="38C829C5" w14:textId="77777777" w:rsidR="006F0BB0" w:rsidRPr="006F0BB0" w:rsidRDefault="006F0BB0" w:rsidP="007D1DBA">
            <w:pPr>
              <w:jc w:val="right"/>
              <w:rPr>
                <w:sz w:val="18"/>
                <w:szCs w:val="18"/>
                <w:lang w:val="es-419" w:eastAsia="es-419"/>
              </w:rPr>
            </w:pPr>
            <w:r w:rsidRPr="006F0BB0">
              <w:rPr>
                <w:sz w:val="18"/>
                <w:szCs w:val="18"/>
                <w:lang w:val="es-419" w:eastAsia="es-419"/>
              </w:rPr>
              <w:t>243 732</w:t>
            </w:r>
          </w:p>
        </w:tc>
        <w:tc>
          <w:tcPr>
            <w:tcW w:w="950" w:type="dxa"/>
            <w:tcBorders>
              <w:top w:val="nil"/>
              <w:left w:val="nil"/>
              <w:bottom w:val="single" w:sz="4" w:space="0" w:color="auto"/>
              <w:right w:val="single" w:sz="4" w:space="0" w:color="auto"/>
            </w:tcBorders>
            <w:shd w:val="clear" w:color="auto" w:fill="auto"/>
            <w:noWrap/>
            <w:hideMark/>
          </w:tcPr>
          <w:p w14:paraId="71F73352" w14:textId="77777777" w:rsidR="006F0BB0" w:rsidRPr="006F0BB0" w:rsidRDefault="006F0BB0" w:rsidP="007D1DBA">
            <w:pPr>
              <w:jc w:val="right"/>
              <w:rPr>
                <w:sz w:val="18"/>
                <w:szCs w:val="18"/>
                <w:lang w:val="es-419" w:eastAsia="es-419"/>
              </w:rPr>
            </w:pPr>
            <w:r w:rsidRPr="006F0BB0">
              <w:rPr>
                <w:sz w:val="18"/>
                <w:szCs w:val="18"/>
                <w:lang w:val="es-419" w:eastAsia="es-419"/>
              </w:rPr>
              <w:t>268 105</w:t>
            </w:r>
          </w:p>
        </w:tc>
        <w:tc>
          <w:tcPr>
            <w:tcW w:w="1076" w:type="dxa"/>
            <w:tcBorders>
              <w:top w:val="nil"/>
              <w:left w:val="nil"/>
              <w:bottom w:val="single" w:sz="4" w:space="0" w:color="auto"/>
              <w:right w:val="single" w:sz="4" w:space="0" w:color="auto"/>
            </w:tcBorders>
            <w:shd w:val="clear" w:color="auto" w:fill="auto"/>
            <w:noWrap/>
            <w:hideMark/>
          </w:tcPr>
          <w:p w14:paraId="3378B8F1" w14:textId="77777777" w:rsidR="006F0BB0" w:rsidRPr="006F0BB0" w:rsidRDefault="006F0BB0" w:rsidP="007D1DBA">
            <w:pPr>
              <w:jc w:val="right"/>
              <w:rPr>
                <w:sz w:val="18"/>
                <w:szCs w:val="18"/>
                <w:lang w:val="es-419" w:eastAsia="es-419"/>
              </w:rPr>
            </w:pPr>
            <w:r w:rsidRPr="006F0BB0">
              <w:rPr>
                <w:sz w:val="18"/>
                <w:szCs w:val="18"/>
                <w:lang w:val="es-419" w:eastAsia="es-419"/>
              </w:rPr>
              <w:t>217 258</w:t>
            </w:r>
          </w:p>
        </w:tc>
        <w:tc>
          <w:tcPr>
            <w:tcW w:w="1034" w:type="dxa"/>
            <w:tcBorders>
              <w:top w:val="nil"/>
              <w:left w:val="nil"/>
              <w:bottom w:val="single" w:sz="4" w:space="0" w:color="auto"/>
              <w:right w:val="single" w:sz="4" w:space="0" w:color="auto"/>
            </w:tcBorders>
            <w:shd w:val="clear" w:color="auto" w:fill="auto"/>
            <w:noWrap/>
            <w:hideMark/>
          </w:tcPr>
          <w:p w14:paraId="395BBB9C" w14:textId="77777777" w:rsidR="006F0BB0" w:rsidRPr="006F0BB0" w:rsidRDefault="006F0BB0" w:rsidP="007D1DBA">
            <w:pPr>
              <w:jc w:val="right"/>
              <w:rPr>
                <w:sz w:val="18"/>
                <w:szCs w:val="18"/>
                <w:lang w:val="es-419" w:eastAsia="es-419"/>
              </w:rPr>
            </w:pPr>
            <w:r w:rsidRPr="006F0BB0">
              <w:rPr>
                <w:sz w:val="18"/>
                <w:szCs w:val="18"/>
                <w:lang w:val="es-419" w:eastAsia="es-419"/>
              </w:rPr>
              <w:t>323 084</w:t>
            </w:r>
          </w:p>
        </w:tc>
        <w:tc>
          <w:tcPr>
            <w:tcW w:w="1181" w:type="dxa"/>
            <w:tcBorders>
              <w:top w:val="nil"/>
              <w:left w:val="nil"/>
              <w:bottom w:val="single" w:sz="4" w:space="0" w:color="auto"/>
              <w:right w:val="single" w:sz="4" w:space="0" w:color="auto"/>
            </w:tcBorders>
            <w:shd w:val="clear" w:color="auto" w:fill="auto"/>
            <w:noWrap/>
            <w:hideMark/>
          </w:tcPr>
          <w:p w14:paraId="0F392325" w14:textId="77777777" w:rsidR="006F0BB0" w:rsidRPr="006F0BB0" w:rsidRDefault="006F0BB0" w:rsidP="007D1DBA">
            <w:pPr>
              <w:jc w:val="right"/>
              <w:rPr>
                <w:sz w:val="18"/>
                <w:szCs w:val="18"/>
                <w:lang w:val="es-419" w:eastAsia="es-419"/>
              </w:rPr>
            </w:pPr>
            <w:r w:rsidRPr="006F0BB0">
              <w:rPr>
                <w:sz w:val="18"/>
                <w:szCs w:val="18"/>
                <w:lang w:val="es-419" w:eastAsia="es-419"/>
              </w:rPr>
              <w:t>83,0%</w:t>
            </w:r>
          </w:p>
        </w:tc>
      </w:tr>
      <w:tr w:rsidR="006F0BB0" w:rsidRPr="006F0BB0" w14:paraId="07F493A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B7B305" w14:textId="77777777" w:rsidR="006F0BB0" w:rsidRPr="006F0BB0" w:rsidRDefault="006F0BB0" w:rsidP="007D1DBA">
            <w:pPr>
              <w:jc w:val="left"/>
              <w:rPr>
                <w:sz w:val="18"/>
                <w:szCs w:val="18"/>
                <w:lang w:val="es-419" w:eastAsia="es-419"/>
              </w:rPr>
            </w:pPr>
            <w:r w:rsidRPr="006F0BB0">
              <w:rPr>
                <w:sz w:val="18"/>
                <w:szCs w:val="18"/>
                <w:lang w:val="es-419" w:eastAsia="es-419"/>
              </w:rPr>
              <w:t>Senegal</w:t>
            </w:r>
          </w:p>
        </w:tc>
        <w:tc>
          <w:tcPr>
            <w:tcW w:w="950" w:type="dxa"/>
            <w:tcBorders>
              <w:top w:val="nil"/>
              <w:left w:val="nil"/>
              <w:bottom w:val="single" w:sz="4" w:space="0" w:color="auto"/>
              <w:right w:val="single" w:sz="4" w:space="0" w:color="auto"/>
            </w:tcBorders>
            <w:shd w:val="clear" w:color="auto" w:fill="auto"/>
            <w:noWrap/>
            <w:hideMark/>
          </w:tcPr>
          <w:p w14:paraId="0D5BC1ED" w14:textId="77777777" w:rsidR="006F0BB0" w:rsidRPr="006F0BB0" w:rsidRDefault="006F0BB0" w:rsidP="007D1DBA">
            <w:pPr>
              <w:jc w:val="right"/>
              <w:rPr>
                <w:sz w:val="18"/>
                <w:szCs w:val="18"/>
                <w:lang w:val="es-419" w:eastAsia="es-419"/>
              </w:rPr>
            </w:pPr>
            <w:r w:rsidRPr="006F0BB0">
              <w:rPr>
                <w:sz w:val="18"/>
                <w:szCs w:val="18"/>
                <w:lang w:val="es-419" w:eastAsia="es-419"/>
              </w:rPr>
              <w:t>1 541 337</w:t>
            </w:r>
          </w:p>
        </w:tc>
        <w:tc>
          <w:tcPr>
            <w:tcW w:w="950" w:type="dxa"/>
            <w:tcBorders>
              <w:top w:val="nil"/>
              <w:left w:val="nil"/>
              <w:bottom w:val="single" w:sz="4" w:space="0" w:color="auto"/>
              <w:right w:val="single" w:sz="4" w:space="0" w:color="auto"/>
            </w:tcBorders>
            <w:shd w:val="clear" w:color="auto" w:fill="auto"/>
            <w:noWrap/>
            <w:hideMark/>
          </w:tcPr>
          <w:p w14:paraId="142B6549" w14:textId="77777777" w:rsidR="006F0BB0" w:rsidRPr="006F0BB0" w:rsidRDefault="006F0BB0" w:rsidP="007D1DBA">
            <w:pPr>
              <w:jc w:val="right"/>
              <w:rPr>
                <w:sz w:val="18"/>
                <w:szCs w:val="18"/>
                <w:lang w:val="es-419" w:eastAsia="es-419"/>
              </w:rPr>
            </w:pPr>
            <w:r w:rsidRPr="006F0BB0">
              <w:rPr>
                <w:sz w:val="18"/>
                <w:szCs w:val="18"/>
                <w:lang w:val="es-419" w:eastAsia="es-419"/>
              </w:rPr>
              <w:t>1 572 164</w:t>
            </w:r>
          </w:p>
        </w:tc>
        <w:tc>
          <w:tcPr>
            <w:tcW w:w="950" w:type="dxa"/>
            <w:tcBorders>
              <w:top w:val="nil"/>
              <w:left w:val="nil"/>
              <w:bottom w:val="single" w:sz="4" w:space="0" w:color="auto"/>
              <w:right w:val="single" w:sz="4" w:space="0" w:color="auto"/>
            </w:tcBorders>
            <w:shd w:val="clear" w:color="auto" w:fill="auto"/>
            <w:noWrap/>
            <w:hideMark/>
          </w:tcPr>
          <w:p w14:paraId="5FD9603C" w14:textId="77777777" w:rsidR="006F0BB0" w:rsidRPr="006F0BB0" w:rsidRDefault="006F0BB0" w:rsidP="007D1DBA">
            <w:pPr>
              <w:jc w:val="right"/>
              <w:rPr>
                <w:sz w:val="18"/>
                <w:szCs w:val="18"/>
                <w:lang w:val="es-419" w:eastAsia="es-419"/>
              </w:rPr>
            </w:pPr>
            <w:r w:rsidRPr="006F0BB0">
              <w:rPr>
                <w:sz w:val="18"/>
                <w:szCs w:val="18"/>
                <w:lang w:val="es-419" w:eastAsia="es-419"/>
              </w:rPr>
              <w:t>1 603 607</w:t>
            </w:r>
          </w:p>
        </w:tc>
        <w:tc>
          <w:tcPr>
            <w:tcW w:w="978" w:type="dxa"/>
            <w:tcBorders>
              <w:top w:val="nil"/>
              <w:left w:val="nil"/>
              <w:bottom w:val="single" w:sz="4" w:space="0" w:color="auto"/>
              <w:right w:val="single" w:sz="4" w:space="0" w:color="auto"/>
            </w:tcBorders>
            <w:shd w:val="clear" w:color="auto" w:fill="auto"/>
            <w:noWrap/>
            <w:hideMark/>
          </w:tcPr>
          <w:p w14:paraId="314DB8E9" w14:textId="77777777" w:rsidR="006F0BB0" w:rsidRPr="006F0BB0" w:rsidRDefault="006F0BB0" w:rsidP="007D1DBA">
            <w:pPr>
              <w:jc w:val="right"/>
              <w:rPr>
                <w:sz w:val="18"/>
                <w:szCs w:val="18"/>
                <w:lang w:val="es-419" w:eastAsia="es-419"/>
              </w:rPr>
            </w:pPr>
            <w:r w:rsidRPr="006F0BB0">
              <w:rPr>
                <w:sz w:val="18"/>
                <w:szCs w:val="18"/>
                <w:lang w:val="es-419" w:eastAsia="es-419"/>
              </w:rPr>
              <w:t>1 635 679</w:t>
            </w:r>
          </w:p>
        </w:tc>
        <w:tc>
          <w:tcPr>
            <w:tcW w:w="950" w:type="dxa"/>
            <w:tcBorders>
              <w:top w:val="nil"/>
              <w:left w:val="nil"/>
              <w:bottom w:val="single" w:sz="4" w:space="0" w:color="auto"/>
              <w:right w:val="single" w:sz="4" w:space="0" w:color="auto"/>
            </w:tcBorders>
            <w:shd w:val="clear" w:color="auto" w:fill="auto"/>
            <w:noWrap/>
            <w:hideMark/>
          </w:tcPr>
          <w:p w14:paraId="0DBB97B1" w14:textId="77777777" w:rsidR="006F0BB0" w:rsidRPr="006F0BB0" w:rsidRDefault="006F0BB0" w:rsidP="007D1DBA">
            <w:pPr>
              <w:jc w:val="right"/>
              <w:rPr>
                <w:sz w:val="18"/>
                <w:szCs w:val="18"/>
                <w:lang w:val="es-419" w:eastAsia="es-419"/>
              </w:rPr>
            </w:pPr>
            <w:r w:rsidRPr="006F0BB0">
              <w:rPr>
                <w:sz w:val="18"/>
                <w:szCs w:val="18"/>
                <w:lang w:val="es-419" w:eastAsia="es-419"/>
              </w:rPr>
              <w:t>1 799 247</w:t>
            </w:r>
          </w:p>
        </w:tc>
        <w:tc>
          <w:tcPr>
            <w:tcW w:w="950" w:type="dxa"/>
            <w:tcBorders>
              <w:top w:val="nil"/>
              <w:left w:val="nil"/>
              <w:bottom w:val="single" w:sz="4" w:space="0" w:color="auto"/>
              <w:right w:val="single" w:sz="4" w:space="0" w:color="auto"/>
            </w:tcBorders>
            <w:shd w:val="clear" w:color="auto" w:fill="auto"/>
            <w:noWrap/>
            <w:hideMark/>
          </w:tcPr>
          <w:p w14:paraId="70B71AFE" w14:textId="77777777" w:rsidR="006F0BB0" w:rsidRPr="006F0BB0" w:rsidRDefault="006F0BB0" w:rsidP="007D1DBA">
            <w:pPr>
              <w:jc w:val="right"/>
              <w:rPr>
                <w:sz w:val="18"/>
                <w:szCs w:val="18"/>
                <w:lang w:val="es-419" w:eastAsia="es-419"/>
              </w:rPr>
            </w:pPr>
            <w:r w:rsidRPr="006F0BB0">
              <w:rPr>
                <w:sz w:val="18"/>
                <w:szCs w:val="18"/>
                <w:lang w:val="es-419" w:eastAsia="es-419"/>
              </w:rPr>
              <w:t>1 979 172</w:t>
            </w:r>
          </w:p>
        </w:tc>
        <w:tc>
          <w:tcPr>
            <w:tcW w:w="1076" w:type="dxa"/>
            <w:tcBorders>
              <w:top w:val="nil"/>
              <w:left w:val="nil"/>
              <w:bottom w:val="single" w:sz="4" w:space="0" w:color="auto"/>
              <w:right w:val="single" w:sz="4" w:space="0" w:color="auto"/>
            </w:tcBorders>
            <w:shd w:val="clear" w:color="auto" w:fill="auto"/>
            <w:noWrap/>
            <w:hideMark/>
          </w:tcPr>
          <w:p w14:paraId="3B937D3B" w14:textId="77777777" w:rsidR="006F0BB0" w:rsidRPr="006F0BB0" w:rsidRDefault="006F0BB0" w:rsidP="007D1DBA">
            <w:pPr>
              <w:jc w:val="right"/>
              <w:rPr>
                <w:sz w:val="18"/>
                <w:szCs w:val="18"/>
                <w:lang w:val="es-419" w:eastAsia="es-419"/>
              </w:rPr>
            </w:pPr>
            <w:r w:rsidRPr="006F0BB0">
              <w:rPr>
                <w:sz w:val="18"/>
                <w:szCs w:val="18"/>
                <w:lang w:val="es-419" w:eastAsia="es-419"/>
              </w:rPr>
              <w:t>1 603 817</w:t>
            </w:r>
          </w:p>
        </w:tc>
        <w:tc>
          <w:tcPr>
            <w:tcW w:w="1034" w:type="dxa"/>
            <w:tcBorders>
              <w:top w:val="nil"/>
              <w:left w:val="nil"/>
              <w:bottom w:val="single" w:sz="4" w:space="0" w:color="auto"/>
              <w:right w:val="single" w:sz="4" w:space="0" w:color="auto"/>
            </w:tcBorders>
            <w:shd w:val="clear" w:color="auto" w:fill="auto"/>
            <w:noWrap/>
            <w:hideMark/>
          </w:tcPr>
          <w:p w14:paraId="24381D1F" w14:textId="77777777" w:rsidR="006F0BB0" w:rsidRPr="006F0BB0" w:rsidRDefault="006F0BB0" w:rsidP="007D1DBA">
            <w:pPr>
              <w:jc w:val="right"/>
              <w:rPr>
                <w:sz w:val="18"/>
                <w:szCs w:val="18"/>
                <w:lang w:val="es-419" w:eastAsia="es-419"/>
              </w:rPr>
            </w:pPr>
            <w:r w:rsidRPr="006F0BB0">
              <w:rPr>
                <w:sz w:val="18"/>
                <w:szCs w:val="18"/>
                <w:lang w:val="es-419" w:eastAsia="es-419"/>
              </w:rPr>
              <w:t>2 377 107</w:t>
            </w:r>
          </w:p>
        </w:tc>
        <w:tc>
          <w:tcPr>
            <w:tcW w:w="1181" w:type="dxa"/>
            <w:tcBorders>
              <w:top w:val="nil"/>
              <w:left w:val="nil"/>
              <w:bottom w:val="single" w:sz="4" w:space="0" w:color="auto"/>
              <w:right w:val="single" w:sz="4" w:space="0" w:color="auto"/>
            </w:tcBorders>
            <w:shd w:val="clear" w:color="auto" w:fill="auto"/>
            <w:noWrap/>
            <w:hideMark/>
          </w:tcPr>
          <w:p w14:paraId="17C1FC31" w14:textId="77777777" w:rsidR="006F0BB0" w:rsidRPr="006F0BB0" w:rsidRDefault="006F0BB0" w:rsidP="007D1DBA">
            <w:pPr>
              <w:jc w:val="right"/>
              <w:rPr>
                <w:sz w:val="18"/>
                <w:szCs w:val="18"/>
                <w:lang w:val="es-419" w:eastAsia="es-419"/>
              </w:rPr>
            </w:pPr>
            <w:r w:rsidRPr="006F0BB0">
              <w:rPr>
                <w:sz w:val="18"/>
                <w:szCs w:val="18"/>
                <w:lang w:val="es-419" w:eastAsia="es-419"/>
              </w:rPr>
              <w:t>83,3%</w:t>
            </w:r>
          </w:p>
        </w:tc>
      </w:tr>
      <w:tr w:rsidR="006F0BB0" w:rsidRPr="006F0BB0" w14:paraId="56E84971"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CD256AC" w14:textId="77777777" w:rsidR="006F0BB0" w:rsidRPr="006F0BB0" w:rsidRDefault="006F0BB0" w:rsidP="007D1DBA">
            <w:pPr>
              <w:jc w:val="left"/>
              <w:rPr>
                <w:sz w:val="18"/>
                <w:szCs w:val="18"/>
                <w:lang w:val="es-419" w:eastAsia="es-419"/>
              </w:rPr>
            </w:pPr>
            <w:r w:rsidRPr="006F0BB0">
              <w:rPr>
                <w:sz w:val="18"/>
                <w:szCs w:val="18"/>
                <w:lang w:val="es-419" w:eastAsia="es-419"/>
              </w:rPr>
              <w:t>Barbados</w:t>
            </w:r>
          </w:p>
        </w:tc>
        <w:tc>
          <w:tcPr>
            <w:tcW w:w="950" w:type="dxa"/>
            <w:tcBorders>
              <w:top w:val="nil"/>
              <w:left w:val="nil"/>
              <w:bottom w:val="single" w:sz="4" w:space="0" w:color="auto"/>
              <w:right w:val="single" w:sz="4" w:space="0" w:color="auto"/>
            </w:tcBorders>
            <w:shd w:val="clear" w:color="auto" w:fill="auto"/>
            <w:noWrap/>
            <w:hideMark/>
          </w:tcPr>
          <w:p w14:paraId="3C53E3DE" w14:textId="77777777" w:rsidR="006F0BB0" w:rsidRPr="006F0BB0" w:rsidRDefault="006F0BB0" w:rsidP="007D1DBA">
            <w:pPr>
              <w:jc w:val="right"/>
              <w:rPr>
                <w:sz w:val="18"/>
                <w:szCs w:val="18"/>
                <w:lang w:val="es-419" w:eastAsia="es-419"/>
              </w:rPr>
            </w:pPr>
            <w:r w:rsidRPr="006F0BB0">
              <w:rPr>
                <w:sz w:val="18"/>
                <w:szCs w:val="18"/>
                <w:lang w:val="es-419" w:eastAsia="es-419"/>
              </w:rPr>
              <w:t>158 343</w:t>
            </w:r>
          </w:p>
        </w:tc>
        <w:tc>
          <w:tcPr>
            <w:tcW w:w="950" w:type="dxa"/>
            <w:tcBorders>
              <w:top w:val="nil"/>
              <w:left w:val="nil"/>
              <w:bottom w:val="single" w:sz="4" w:space="0" w:color="auto"/>
              <w:right w:val="single" w:sz="4" w:space="0" w:color="auto"/>
            </w:tcBorders>
            <w:shd w:val="clear" w:color="auto" w:fill="auto"/>
            <w:noWrap/>
            <w:hideMark/>
          </w:tcPr>
          <w:p w14:paraId="79599E40" w14:textId="77777777" w:rsidR="006F0BB0" w:rsidRPr="006F0BB0" w:rsidRDefault="006F0BB0" w:rsidP="007D1DBA">
            <w:pPr>
              <w:jc w:val="right"/>
              <w:rPr>
                <w:sz w:val="18"/>
                <w:szCs w:val="18"/>
                <w:lang w:val="es-419" w:eastAsia="es-419"/>
              </w:rPr>
            </w:pPr>
            <w:r w:rsidRPr="006F0BB0">
              <w:rPr>
                <w:sz w:val="18"/>
                <w:szCs w:val="18"/>
                <w:lang w:val="es-419" w:eastAsia="es-419"/>
              </w:rPr>
              <w:t>161 510</w:t>
            </w:r>
          </w:p>
        </w:tc>
        <w:tc>
          <w:tcPr>
            <w:tcW w:w="950" w:type="dxa"/>
            <w:tcBorders>
              <w:top w:val="nil"/>
              <w:left w:val="nil"/>
              <w:bottom w:val="single" w:sz="4" w:space="0" w:color="auto"/>
              <w:right w:val="single" w:sz="4" w:space="0" w:color="auto"/>
            </w:tcBorders>
            <w:shd w:val="clear" w:color="auto" w:fill="auto"/>
            <w:noWrap/>
            <w:hideMark/>
          </w:tcPr>
          <w:p w14:paraId="7E18FEF3" w14:textId="77777777" w:rsidR="006F0BB0" w:rsidRPr="006F0BB0" w:rsidRDefault="006F0BB0" w:rsidP="007D1DBA">
            <w:pPr>
              <w:jc w:val="right"/>
              <w:rPr>
                <w:sz w:val="18"/>
                <w:szCs w:val="18"/>
                <w:lang w:val="es-419" w:eastAsia="es-419"/>
              </w:rPr>
            </w:pPr>
            <w:r w:rsidRPr="006F0BB0">
              <w:rPr>
                <w:sz w:val="18"/>
                <w:szCs w:val="18"/>
                <w:lang w:val="es-419" w:eastAsia="es-419"/>
              </w:rPr>
              <w:t>164 740</w:t>
            </w:r>
          </w:p>
        </w:tc>
        <w:tc>
          <w:tcPr>
            <w:tcW w:w="978" w:type="dxa"/>
            <w:tcBorders>
              <w:top w:val="nil"/>
              <w:left w:val="nil"/>
              <w:bottom w:val="single" w:sz="4" w:space="0" w:color="auto"/>
              <w:right w:val="single" w:sz="4" w:space="0" w:color="auto"/>
            </w:tcBorders>
            <w:shd w:val="clear" w:color="auto" w:fill="auto"/>
            <w:noWrap/>
            <w:hideMark/>
          </w:tcPr>
          <w:p w14:paraId="1FF99A4E" w14:textId="77777777" w:rsidR="006F0BB0" w:rsidRPr="006F0BB0" w:rsidRDefault="006F0BB0" w:rsidP="007D1DBA">
            <w:pPr>
              <w:jc w:val="right"/>
              <w:rPr>
                <w:sz w:val="18"/>
                <w:szCs w:val="18"/>
                <w:lang w:val="es-419" w:eastAsia="es-419"/>
              </w:rPr>
            </w:pPr>
            <w:r w:rsidRPr="006F0BB0">
              <w:rPr>
                <w:sz w:val="18"/>
                <w:szCs w:val="18"/>
                <w:lang w:val="es-419" w:eastAsia="es-419"/>
              </w:rPr>
              <w:t>168 035</w:t>
            </w:r>
          </w:p>
        </w:tc>
        <w:tc>
          <w:tcPr>
            <w:tcW w:w="950" w:type="dxa"/>
            <w:tcBorders>
              <w:top w:val="nil"/>
              <w:left w:val="nil"/>
              <w:bottom w:val="single" w:sz="4" w:space="0" w:color="auto"/>
              <w:right w:val="single" w:sz="4" w:space="0" w:color="auto"/>
            </w:tcBorders>
            <w:shd w:val="clear" w:color="auto" w:fill="auto"/>
            <w:noWrap/>
            <w:hideMark/>
          </w:tcPr>
          <w:p w14:paraId="45A156B6" w14:textId="77777777" w:rsidR="006F0BB0" w:rsidRPr="006F0BB0" w:rsidRDefault="006F0BB0" w:rsidP="007D1DBA">
            <w:pPr>
              <w:jc w:val="right"/>
              <w:rPr>
                <w:sz w:val="18"/>
                <w:szCs w:val="18"/>
                <w:lang w:val="es-419" w:eastAsia="es-419"/>
              </w:rPr>
            </w:pPr>
            <w:r w:rsidRPr="006F0BB0">
              <w:rPr>
                <w:sz w:val="18"/>
                <w:szCs w:val="18"/>
                <w:lang w:val="es-419" w:eastAsia="es-419"/>
              </w:rPr>
              <w:t>184 838</w:t>
            </w:r>
          </w:p>
        </w:tc>
        <w:tc>
          <w:tcPr>
            <w:tcW w:w="950" w:type="dxa"/>
            <w:tcBorders>
              <w:top w:val="nil"/>
              <w:left w:val="nil"/>
              <w:bottom w:val="single" w:sz="4" w:space="0" w:color="auto"/>
              <w:right w:val="single" w:sz="4" w:space="0" w:color="auto"/>
            </w:tcBorders>
            <w:shd w:val="clear" w:color="auto" w:fill="auto"/>
            <w:noWrap/>
            <w:hideMark/>
          </w:tcPr>
          <w:p w14:paraId="59885CAE" w14:textId="77777777" w:rsidR="006F0BB0" w:rsidRPr="006F0BB0" w:rsidRDefault="006F0BB0" w:rsidP="007D1DBA">
            <w:pPr>
              <w:jc w:val="right"/>
              <w:rPr>
                <w:sz w:val="18"/>
                <w:szCs w:val="18"/>
                <w:lang w:val="es-419" w:eastAsia="es-419"/>
              </w:rPr>
            </w:pPr>
            <w:r w:rsidRPr="006F0BB0">
              <w:rPr>
                <w:sz w:val="18"/>
                <w:szCs w:val="18"/>
                <w:lang w:val="es-419" w:eastAsia="es-419"/>
              </w:rPr>
              <w:t>203 322</w:t>
            </w:r>
          </w:p>
        </w:tc>
        <w:tc>
          <w:tcPr>
            <w:tcW w:w="1076" w:type="dxa"/>
            <w:tcBorders>
              <w:top w:val="nil"/>
              <w:left w:val="nil"/>
              <w:bottom w:val="single" w:sz="4" w:space="0" w:color="auto"/>
              <w:right w:val="single" w:sz="4" w:space="0" w:color="auto"/>
            </w:tcBorders>
            <w:shd w:val="clear" w:color="auto" w:fill="auto"/>
            <w:noWrap/>
            <w:hideMark/>
          </w:tcPr>
          <w:p w14:paraId="5F5873DF" w14:textId="77777777" w:rsidR="006F0BB0" w:rsidRPr="006F0BB0" w:rsidRDefault="006F0BB0" w:rsidP="007D1DBA">
            <w:pPr>
              <w:jc w:val="right"/>
              <w:rPr>
                <w:sz w:val="18"/>
                <w:szCs w:val="18"/>
                <w:lang w:val="es-419" w:eastAsia="es-419"/>
              </w:rPr>
            </w:pPr>
            <w:r w:rsidRPr="006F0BB0">
              <w:rPr>
                <w:sz w:val="18"/>
                <w:szCs w:val="18"/>
                <w:lang w:val="es-419" w:eastAsia="es-419"/>
              </w:rPr>
              <w:t>164 762</w:t>
            </w:r>
          </w:p>
        </w:tc>
        <w:tc>
          <w:tcPr>
            <w:tcW w:w="1034" w:type="dxa"/>
            <w:tcBorders>
              <w:top w:val="nil"/>
              <w:left w:val="nil"/>
              <w:bottom w:val="single" w:sz="4" w:space="0" w:color="auto"/>
              <w:right w:val="single" w:sz="4" w:space="0" w:color="auto"/>
            </w:tcBorders>
            <w:shd w:val="clear" w:color="auto" w:fill="auto"/>
            <w:noWrap/>
            <w:hideMark/>
          </w:tcPr>
          <w:p w14:paraId="5F622B18" w14:textId="77777777" w:rsidR="006F0BB0" w:rsidRPr="006F0BB0" w:rsidRDefault="006F0BB0" w:rsidP="007D1DBA">
            <w:pPr>
              <w:jc w:val="right"/>
              <w:rPr>
                <w:sz w:val="18"/>
                <w:szCs w:val="18"/>
                <w:lang w:val="es-419" w:eastAsia="es-419"/>
              </w:rPr>
            </w:pPr>
            <w:r w:rsidRPr="006F0BB0">
              <w:rPr>
                <w:sz w:val="18"/>
                <w:szCs w:val="18"/>
                <w:lang w:val="es-419" w:eastAsia="es-419"/>
              </w:rPr>
              <w:t>243 937</w:t>
            </w:r>
          </w:p>
        </w:tc>
        <w:tc>
          <w:tcPr>
            <w:tcW w:w="1181" w:type="dxa"/>
            <w:tcBorders>
              <w:top w:val="nil"/>
              <w:left w:val="nil"/>
              <w:bottom w:val="single" w:sz="4" w:space="0" w:color="auto"/>
              <w:right w:val="single" w:sz="4" w:space="0" w:color="auto"/>
            </w:tcBorders>
            <w:shd w:val="clear" w:color="auto" w:fill="auto"/>
            <w:noWrap/>
            <w:hideMark/>
          </w:tcPr>
          <w:p w14:paraId="541C25F0" w14:textId="77777777" w:rsidR="006F0BB0" w:rsidRPr="006F0BB0" w:rsidRDefault="006F0BB0" w:rsidP="007D1DBA">
            <w:pPr>
              <w:jc w:val="right"/>
              <w:rPr>
                <w:sz w:val="18"/>
                <w:szCs w:val="18"/>
                <w:lang w:val="es-419" w:eastAsia="es-419"/>
              </w:rPr>
            </w:pPr>
            <w:r w:rsidRPr="006F0BB0">
              <w:rPr>
                <w:sz w:val="18"/>
                <w:szCs w:val="18"/>
                <w:lang w:val="es-419" w:eastAsia="es-419"/>
              </w:rPr>
              <w:t>83,4%</w:t>
            </w:r>
          </w:p>
        </w:tc>
      </w:tr>
      <w:tr w:rsidR="006F0BB0" w:rsidRPr="006F0BB0" w14:paraId="72155725"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566B6A" w14:textId="77777777" w:rsidR="006F0BB0" w:rsidRPr="006F0BB0" w:rsidRDefault="006F0BB0" w:rsidP="007D1DBA">
            <w:pPr>
              <w:jc w:val="left"/>
              <w:rPr>
                <w:sz w:val="18"/>
                <w:szCs w:val="18"/>
                <w:lang w:val="es-419" w:eastAsia="es-419"/>
              </w:rPr>
            </w:pPr>
            <w:r w:rsidRPr="006F0BB0">
              <w:rPr>
                <w:sz w:val="18"/>
                <w:szCs w:val="18"/>
                <w:lang w:val="es-419" w:eastAsia="es-419"/>
              </w:rPr>
              <w:t>República Dominicana</w:t>
            </w:r>
          </w:p>
        </w:tc>
        <w:tc>
          <w:tcPr>
            <w:tcW w:w="950" w:type="dxa"/>
            <w:tcBorders>
              <w:top w:val="nil"/>
              <w:left w:val="nil"/>
              <w:bottom w:val="single" w:sz="4" w:space="0" w:color="auto"/>
              <w:right w:val="single" w:sz="4" w:space="0" w:color="auto"/>
            </w:tcBorders>
            <w:shd w:val="clear" w:color="auto" w:fill="auto"/>
            <w:noWrap/>
            <w:hideMark/>
          </w:tcPr>
          <w:p w14:paraId="1663828C" w14:textId="77777777" w:rsidR="006F0BB0" w:rsidRPr="006F0BB0" w:rsidRDefault="006F0BB0" w:rsidP="007D1DBA">
            <w:pPr>
              <w:jc w:val="right"/>
              <w:rPr>
                <w:sz w:val="18"/>
                <w:szCs w:val="18"/>
                <w:lang w:val="es-419" w:eastAsia="es-419"/>
              </w:rPr>
            </w:pPr>
            <w:r w:rsidRPr="006F0BB0">
              <w:rPr>
                <w:sz w:val="18"/>
                <w:szCs w:val="18"/>
                <w:lang w:val="es-419" w:eastAsia="es-419"/>
              </w:rPr>
              <w:t>2 406 616</w:t>
            </w:r>
          </w:p>
        </w:tc>
        <w:tc>
          <w:tcPr>
            <w:tcW w:w="950" w:type="dxa"/>
            <w:tcBorders>
              <w:top w:val="nil"/>
              <w:left w:val="nil"/>
              <w:bottom w:val="single" w:sz="4" w:space="0" w:color="auto"/>
              <w:right w:val="single" w:sz="4" w:space="0" w:color="auto"/>
            </w:tcBorders>
            <w:shd w:val="clear" w:color="auto" w:fill="auto"/>
            <w:noWrap/>
            <w:hideMark/>
          </w:tcPr>
          <w:p w14:paraId="029401D1" w14:textId="77777777" w:rsidR="006F0BB0" w:rsidRPr="006F0BB0" w:rsidRDefault="006F0BB0" w:rsidP="007D1DBA">
            <w:pPr>
              <w:jc w:val="right"/>
              <w:rPr>
                <w:sz w:val="18"/>
                <w:szCs w:val="18"/>
                <w:lang w:val="es-419" w:eastAsia="es-419"/>
              </w:rPr>
            </w:pPr>
            <w:r w:rsidRPr="006F0BB0">
              <w:rPr>
                <w:sz w:val="18"/>
                <w:szCs w:val="18"/>
                <w:lang w:val="es-419" w:eastAsia="es-419"/>
              </w:rPr>
              <w:t>2 454 748</w:t>
            </w:r>
          </w:p>
        </w:tc>
        <w:tc>
          <w:tcPr>
            <w:tcW w:w="950" w:type="dxa"/>
            <w:tcBorders>
              <w:top w:val="nil"/>
              <w:left w:val="nil"/>
              <w:bottom w:val="single" w:sz="4" w:space="0" w:color="auto"/>
              <w:right w:val="single" w:sz="4" w:space="0" w:color="auto"/>
            </w:tcBorders>
            <w:shd w:val="clear" w:color="auto" w:fill="auto"/>
            <w:noWrap/>
            <w:hideMark/>
          </w:tcPr>
          <w:p w14:paraId="031650F3" w14:textId="77777777" w:rsidR="006F0BB0" w:rsidRPr="006F0BB0" w:rsidRDefault="006F0BB0" w:rsidP="007D1DBA">
            <w:pPr>
              <w:jc w:val="right"/>
              <w:rPr>
                <w:sz w:val="18"/>
                <w:szCs w:val="18"/>
                <w:lang w:val="es-419" w:eastAsia="es-419"/>
              </w:rPr>
            </w:pPr>
            <w:r w:rsidRPr="006F0BB0">
              <w:rPr>
                <w:sz w:val="18"/>
                <w:szCs w:val="18"/>
                <w:lang w:val="es-419" w:eastAsia="es-419"/>
              </w:rPr>
              <w:t>2 503 843</w:t>
            </w:r>
          </w:p>
        </w:tc>
        <w:tc>
          <w:tcPr>
            <w:tcW w:w="978" w:type="dxa"/>
            <w:tcBorders>
              <w:top w:val="nil"/>
              <w:left w:val="nil"/>
              <w:bottom w:val="single" w:sz="4" w:space="0" w:color="auto"/>
              <w:right w:val="single" w:sz="4" w:space="0" w:color="auto"/>
            </w:tcBorders>
            <w:shd w:val="clear" w:color="auto" w:fill="auto"/>
            <w:noWrap/>
            <w:hideMark/>
          </w:tcPr>
          <w:p w14:paraId="0A2C193B" w14:textId="77777777" w:rsidR="006F0BB0" w:rsidRPr="006F0BB0" w:rsidRDefault="006F0BB0" w:rsidP="007D1DBA">
            <w:pPr>
              <w:jc w:val="right"/>
              <w:rPr>
                <w:sz w:val="18"/>
                <w:szCs w:val="18"/>
                <w:lang w:val="es-419" w:eastAsia="es-419"/>
              </w:rPr>
            </w:pPr>
            <w:r w:rsidRPr="006F0BB0">
              <w:rPr>
                <w:sz w:val="18"/>
                <w:szCs w:val="18"/>
                <w:lang w:val="es-419" w:eastAsia="es-419"/>
              </w:rPr>
              <w:t>2 553 920</w:t>
            </w:r>
          </w:p>
        </w:tc>
        <w:tc>
          <w:tcPr>
            <w:tcW w:w="950" w:type="dxa"/>
            <w:tcBorders>
              <w:top w:val="nil"/>
              <w:left w:val="nil"/>
              <w:bottom w:val="single" w:sz="4" w:space="0" w:color="auto"/>
              <w:right w:val="single" w:sz="4" w:space="0" w:color="auto"/>
            </w:tcBorders>
            <w:shd w:val="clear" w:color="auto" w:fill="auto"/>
            <w:noWrap/>
            <w:hideMark/>
          </w:tcPr>
          <w:p w14:paraId="58D09138" w14:textId="77777777" w:rsidR="006F0BB0" w:rsidRPr="006F0BB0" w:rsidRDefault="006F0BB0" w:rsidP="007D1DBA">
            <w:pPr>
              <w:jc w:val="right"/>
              <w:rPr>
                <w:sz w:val="18"/>
                <w:szCs w:val="18"/>
                <w:lang w:val="es-419" w:eastAsia="es-419"/>
              </w:rPr>
            </w:pPr>
            <w:r w:rsidRPr="006F0BB0">
              <w:rPr>
                <w:sz w:val="18"/>
                <w:szCs w:val="18"/>
                <w:lang w:val="es-419" w:eastAsia="es-419"/>
              </w:rPr>
              <w:t>2 809 312</w:t>
            </w:r>
          </w:p>
        </w:tc>
        <w:tc>
          <w:tcPr>
            <w:tcW w:w="950" w:type="dxa"/>
            <w:tcBorders>
              <w:top w:val="nil"/>
              <w:left w:val="nil"/>
              <w:bottom w:val="single" w:sz="4" w:space="0" w:color="auto"/>
              <w:right w:val="single" w:sz="4" w:space="0" w:color="auto"/>
            </w:tcBorders>
            <w:shd w:val="clear" w:color="auto" w:fill="auto"/>
            <w:noWrap/>
            <w:hideMark/>
          </w:tcPr>
          <w:p w14:paraId="545FEAAD" w14:textId="77777777" w:rsidR="006F0BB0" w:rsidRPr="006F0BB0" w:rsidRDefault="006F0BB0" w:rsidP="007D1DBA">
            <w:pPr>
              <w:jc w:val="right"/>
              <w:rPr>
                <w:sz w:val="18"/>
                <w:szCs w:val="18"/>
                <w:lang w:val="es-419" w:eastAsia="es-419"/>
              </w:rPr>
            </w:pPr>
            <w:r w:rsidRPr="006F0BB0">
              <w:rPr>
                <w:sz w:val="18"/>
                <w:szCs w:val="18"/>
                <w:lang w:val="es-419" w:eastAsia="es-419"/>
              </w:rPr>
              <w:t>3 090 243</w:t>
            </w:r>
          </w:p>
        </w:tc>
        <w:tc>
          <w:tcPr>
            <w:tcW w:w="1076" w:type="dxa"/>
            <w:tcBorders>
              <w:top w:val="nil"/>
              <w:left w:val="nil"/>
              <w:bottom w:val="single" w:sz="4" w:space="0" w:color="auto"/>
              <w:right w:val="single" w:sz="4" w:space="0" w:color="auto"/>
            </w:tcBorders>
            <w:shd w:val="clear" w:color="auto" w:fill="auto"/>
            <w:noWrap/>
            <w:hideMark/>
          </w:tcPr>
          <w:p w14:paraId="7EBAD499" w14:textId="77777777" w:rsidR="006F0BB0" w:rsidRPr="006F0BB0" w:rsidRDefault="006F0BB0" w:rsidP="007D1DBA">
            <w:pPr>
              <w:jc w:val="right"/>
              <w:rPr>
                <w:sz w:val="18"/>
                <w:szCs w:val="18"/>
                <w:lang w:val="es-419" w:eastAsia="es-419"/>
              </w:rPr>
            </w:pPr>
            <w:r w:rsidRPr="006F0BB0">
              <w:rPr>
                <w:sz w:val="18"/>
                <w:szCs w:val="18"/>
                <w:lang w:val="es-419" w:eastAsia="es-419"/>
              </w:rPr>
              <w:t>2 504 171</w:t>
            </w:r>
          </w:p>
        </w:tc>
        <w:tc>
          <w:tcPr>
            <w:tcW w:w="1034" w:type="dxa"/>
            <w:tcBorders>
              <w:top w:val="nil"/>
              <w:left w:val="nil"/>
              <w:bottom w:val="single" w:sz="4" w:space="0" w:color="auto"/>
              <w:right w:val="single" w:sz="4" w:space="0" w:color="auto"/>
            </w:tcBorders>
            <w:shd w:val="clear" w:color="auto" w:fill="auto"/>
            <w:noWrap/>
            <w:hideMark/>
          </w:tcPr>
          <w:p w14:paraId="607AE50B" w14:textId="77777777" w:rsidR="006F0BB0" w:rsidRPr="006F0BB0" w:rsidRDefault="006F0BB0" w:rsidP="007D1DBA">
            <w:pPr>
              <w:jc w:val="right"/>
              <w:rPr>
                <w:sz w:val="18"/>
                <w:szCs w:val="18"/>
                <w:lang w:val="es-419" w:eastAsia="es-419"/>
              </w:rPr>
            </w:pPr>
            <w:r w:rsidRPr="006F0BB0">
              <w:rPr>
                <w:sz w:val="18"/>
                <w:szCs w:val="18"/>
                <w:lang w:val="es-419" w:eastAsia="es-419"/>
              </w:rPr>
              <w:t>3 585 030</w:t>
            </w:r>
          </w:p>
        </w:tc>
        <w:tc>
          <w:tcPr>
            <w:tcW w:w="1181" w:type="dxa"/>
            <w:tcBorders>
              <w:top w:val="nil"/>
              <w:left w:val="nil"/>
              <w:bottom w:val="single" w:sz="4" w:space="0" w:color="auto"/>
              <w:right w:val="single" w:sz="4" w:space="0" w:color="auto"/>
            </w:tcBorders>
            <w:shd w:val="clear" w:color="auto" w:fill="auto"/>
            <w:noWrap/>
            <w:hideMark/>
          </w:tcPr>
          <w:p w14:paraId="65B1D3C0" w14:textId="77777777" w:rsidR="006F0BB0" w:rsidRPr="006F0BB0" w:rsidRDefault="006F0BB0" w:rsidP="007D1DBA">
            <w:pPr>
              <w:jc w:val="right"/>
              <w:rPr>
                <w:sz w:val="18"/>
                <w:szCs w:val="18"/>
                <w:lang w:val="es-419" w:eastAsia="es-419"/>
              </w:rPr>
            </w:pPr>
            <w:r w:rsidRPr="006F0BB0">
              <w:rPr>
                <w:sz w:val="18"/>
                <w:szCs w:val="18"/>
                <w:lang w:val="es-419" w:eastAsia="es-419"/>
              </w:rPr>
              <w:t>86,2%</w:t>
            </w:r>
          </w:p>
        </w:tc>
      </w:tr>
      <w:tr w:rsidR="006F0BB0" w:rsidRPr="006F0BB0" w14:paraId="67423CF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BD23F2"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Fiji</w:t>
            </w:r>
            <w:proofErr w:type="spellEnd"/>
          </w:p>
        </w:tc>
        <w:tc>
          <w:tcPr>
            <w:tcW w:w="950" w:type="dxa"/>
            <w:tcBorders>
              <w:top w:val="nil"/>
              <w:left w:val="nil"/>
              <w:bottom w:val="single" w:sz="4" w:space="0" w:color="auto"/>
              <w:right w:val="single" w:sz="4" w:space="0" w:color="auto"/>
            </w:tcBorders>
            <w:shd w:val="clear" w:color="auto" w:fill="auto"/>
            <w:noWrap/>
            <w:hideMark/>
          </w:tcPr>
          <w:p w14:paraId="6E18DE57" w14:textId="77777777" w:rsidR="006F0BB0" w:rsidRPr="006F0BB0" w:rsidRDefault="006F0BB0" w:rsidP="007D1DBA">
            <w:pPr>
              <w:jc w:val="right"/>
              <w:rPr>
                <w:sz w:val="18"/>
                <w:szCs w:val="18"/>
                <w:lang w:val="es-419" w:eastAsia="es-419"/>
              </w:rPr>
            </w:pPr>
            <w:r w:rsidRPr="006F0BB0">
              <w:rPr>
                <w:sz w:val="18"/>
                <w:szCs w:val="18"/>
                <w:lang w:val="es-419" w:eastAsia="es-419"/>
              </w:rPr>
              <w:t>280 203</w:t>
            </w:r>
          </w:p>
        </w:tc>
        <w:tc>
          <w:tcPr>
            <w:tcW w:w="950" w:type="dxa"/>
            <w:tcBorders>
              <w:top w:val="nil"/>
              <w:left w:val="nil"/>
              <w:bottom w:val="single" w:sz="4" w:space="0" w:color="auto"/>
              <w:right w:val="single" w:sz="4" w:space="0" w:color="auto"/>
            </w:tcBorders>
            <w:shd w:val="clear" w:color="auto" w:fill="auto"/>
            <w:noWrap/>
            <w:hideMark/>
          </w:tcPr>
          <w:p w14:paraId="4B16B13B" w14:textId="77777777" w:rsidR="006F0BB0" w:rsidRPr="006F0BB0" w:rsidRDefault="006F0BB0" w:rsidP="007D1DBA">
            <w:pPr>
              <w:jc w:val="right"/>
              <w:rPr>
                <w:sz w:val="18"/>
                <w:szCs w:val="18"/>
                <w:lang w:val="es-419" w:eastAsia="es-419"/>
              </w:rPr>
            </w:pPr>
            <w:r w:rsidRPr="006F0BB0">
              <w:rPr>
                <w:sz w:val="18"/>
                <w:szCs w:val="18"/>
                <w:lang w:val="es-419" w:eastAsia="es-419"/>
              </w:rPr>
              <w:t>285 807</w:t>
            </w:r>
          </w:p>
        </w:tc>
        <w:tc>
          <w:tcPr>
            <w:tcW w:w="950" w:type="dxa"/>
            <w:tcBorders>
              <w:top w:val="nil"/>
              <w:left w:val="nil"/>
              <w:bottom w:val="single" w:sz="4" w:space="0" w:color="auto"/>
              <w:right w:val="single" w:sz="4" w:space="0" w:color="auto"/>
            </w:tcBorders>
            <w:shd w:val="clear" w:color="auto" w:fill="auto"/>
            <w:noWrap/>
            <w:hideMark/>
          </w:tcPr>
          <w:p w14:paraId="409A0790" w14:textId="77777777" w:rsidR="006F0BB0" w:rsidRPr="006F0BB0" w:rsidRDefault="006F0BB0" w:rsidP="007D1DBA">
            <w:pPr>
              <w:jc w:val="right"/>
              <w:rPr>
                <w:sz w:val="18"/>
                <w:szCs w:val="18"/>
                <w:lang w:val="es-419" w:eastAsia="es-419"/>
              </w:rPr>
            </w:pPr>
            <w:r w:rsidRPr="006F0BB0">
              <w:rPr>
                <w:sz w:val="18"/>
                <w:szCs w:val="18"/>
                <w:lang w:val="es-419" w:eastAsia="es-419"/>
              </w:rPr>
              <w:t>291 523</w:t>
            </w:r>
          </w:p>
        </w:tc>
        <w:tc>
          <w:tcPr>
            <w:tcW w:w="978" w:type="dxa"/>
            <w:tcBorders>
              <w:top w:val="nil"/>
              <w:left w:val="nil"/>
              <w:bottom w:val="single" w:sz="4" w:space="0" w:color="auto"/>
              <w:right w:val="single" w:sz="4" w:space="0" w:color="auto"/>
            </w:tcBorders>
            <w:shd w:val="clear" w:color="auto" w:fill="auto"/>
            <w:noWrap/>
            <w:hideMark/>
          </w:tcPr>
          <w:p w14:paraId="70210510" w14:textId="77777777" w:rsidR="006F0BB0" w:rsidRPr="006F0BB0" w:rsidRDefault="006F0BB0" w:rsidP="007D1DBA">
            <w:pPr>
              <w:jc w:val="right"/>
              <w:rPr>
                <w:sz w:val="18"/>
                <w:szCs w:val="18"/>
                <w:lang w:val="es-419" w:eastAsia="es-419"/>
              </w:rPr>
            </w:pPr>
            <w:r w:rsidRPr="006F0BB0">
              <w:rPr>
                <w:sz w:val="18"/>
                <w:szCs w:val="18"/>
                <w:lang w:val="es-419" w:eastAsia="es-419"/>
              </w:rPr>
              <w:t>297 354</w:t>
            </w:r>
          </w:p>
        </w:tc>
        <w:tc>
          <w:tcPr>
            <w:tcW w:w="950" w:type="dxa"/>
            <w:tcBorders>
              <w:top w:val="nil"/>
              <w:left w:val="nil"/>
              <w:bottom w:val="single" w:sz="4" w:space="0" w:color="auto"/>
              <w:right w:val="single" w:sz="4" w:space="0" w:color="auto"/>
            </w:tcBorders>
            <w:shd w:val="clear" w:color="auto" w:fill="auto"/>
            <w:noWrap/>
            <w:hideMark/>
          </w:tcPr>
          <w:p w14:paraId="3DCC2A47" w14:textId="77777777" w:rsidR="006F0BB0" w:rsidRPr="006F0BB0" w:rsidRDefault="006F0BB0" w:rsidP="007D1DBA">
            <w:pPr>
              <w:jc w:val="right"/>
              <w:rPr>
                <w:sz w:val="18"/>
                <w:szCs w:val="18"/>
                <w:lang w:val="es-419" w:eastAsia="es-419"/>
              </w:rPr>
            </w:pPr>
            <w:r w:rsidRPr="006F0BB0">
              <w:rPr>
                <w:sz w:val="18"/>
                <w:szCs w:val="18"/>
                <w:lang w:val="es-419" w:eastAsia="es-419"/>
              </w:rPr>
              <w:t>327 089</w:t>
            </w:r>
          </w:p>
        </w:tc>
        <w:tc>
          <w:tcPr>
            <w:tcW w:w="950" w:type="dxa"/>
            <w:tcBorders>
              <w:top w:val="nil"/>
              <w:left w:val="nil"/>
              <w:bottom w:val="single" w:sz="4" w:space="0" w:color="auto"/>
              <w:right w:val="single" w:sz="4" w:space="0" w:color="auto"/>
            </w:tcBorders>
            <w:shd w:val="clear" w:color="auto" w:fill="auto"/>
            <w:noWrap/>
            <w:hideMark/>
          </w:tcPr>
          <w:p w14:paraId="5C7EBC2F" w14:textId="77777777" w:rsidR="006F0BB0" w:rsidRPr="006F0BB0" w:rsidRDefault="006F0BB0" w:rsidP="007D1DBA">
            <w:pPr>
              <w:jc w:val="right"/>
              <w:rPr>
                <w:sz w:val="18"/>
                <w:szCs w:val="18"/>
                <w:lang w:val="es-419" w:eastAsia="es-419"/>
              </w:rPr>
            </w:pPr>
            <w:r w:rsidRPr="006F0BB0">
              <w:rPr>
                <w:sz w:val="18"/>
                <w:szCs w:val="18"/>
                <w:lang w:val="es-419" w:eastAsia="es-419"/>
              </w:rPr>
              <w:t>359 798</w:t>
            </w:r>
          </w:p>
        </w:tc>
        <w:tc>
          <w:tcPr>
            <w:tcW w:w="1076" w:type="dxa"/>
            <w:tcBorders>
              <w:top w:val="nil"/>
              <w:left w:val="nil"/>
              <w:bottom w:val="single" w:sz="4" w:space="0" w:color="auto"/>
              <w:right w:val="single" w:sz="4" w:space="0" w:color="auto"/>
            </w:tcBorders>
            <w:shd w:val="clear" w:color="auto" w:fill="auto"/>
            <w:noWrap/>
            <w:hideMark/>
          </w:tcPr>
          <w:p w14:paraId="0506417A" w14:textId="77777777" w:rsidR="006F0BB0" w:rsidRPr="006F0BB0" w:rsidRDefault="006F0BB0" w:rsidP="007D1DBA">
            <w:pPr>
              <w:jc w:val="right"/>
              <w:rPr>
                <w:sz w:val="18"/>
                <w:szCs w:val="18"/>
                <w:lang w:val="es-419" w:eastAsia="es-419"/>
              </w:rPr>
            </w:pPr>
            <w:r w:rsidRPr="006F0BB0">
              <w:rPr>
                <w:sz w:val="18"/>
                <w:szCs w:val="18"/>
                <w:lang w:val="es-419" w:eastAsia="es-419"/>
              </w:rPr>
              <w:t>291 561</w:t>
            </w:r>
          </w:p>
        </w:tc>
        <w:tc>
          <w:tcPr>
            <w:tcW w:w="1034" w:type="dxa"/>
            <w:tcBorders>
              <w:top w:val="nil"/>
              <w:left w:val="nil"/>
              <w:bottom w:val="single" w:sz="4" w:space="0" w:color="auto"/>
              <w:right w:val="single" w:sz="4" w:space="0" w:color="auto"/>
            </w:tcBorders>
            <w:shd w:val="clear" w:color="auto" w:fill="auto"/>
            <w:noWrap/>
            <w:hideMark/>
          </w:tcPr>
          <w:p w14:paraId="5C0A9619" w14:textId="77777777" w:rsidR="006F0BB0" w:rsidRPr="006F0BB0" w:rsidRDefault="006F0BB0" w:rsidP="007D1DBA">
            <w:pPr>
              <w:jc w:val="right"/>
              <w:rPr>
                <w:sz w:val="18"/>
                <w:szCs w:val="18"/>
                <w:lang w:val="es-419" w:eastAsia="es-419"/>
              </w:rPr>
            </w:pPr>
            <w:r w:rsidRPr="006F0BB0">
              <w:rPr>
                <w:sz w:val="18"/>
                <w:szCs w:val="18"/>
                <w:lang w:val="es-419" w:eastAsia="es-419"/>
              </w:rPr>
              <w:t>414 227</w:t>
            </w:r>
          </w:p>
        </w:tc>
        <w:tc>
          <w:tcPr>
            <w:tcW w:w="1181" w:type="dxa"/>
            <w:tcBorders>
              <w:top w:val="nil"/>
              <w:left w:val="nil"/>
              <w:bottom w:val="single" w:sz="4" w:space="0" w:color="auto"/>
              <w:right w:val="single" w:sz="4" w:space="0" w:color="auto"/>
            </w:tcBorders>
            <w:shd w:val="clear" w:color="auto" w:fill="auto"/>
            <w:noWrap/>
            <w:hideMark/>
          </w:tcPr>
          <w:p w14:paraId="1D2D2070" w14:textId="77777777" w:rsidR="006F0BB0" w:rsidRPr="006F0BB0" w:rsidRDefault="006F0BB0" w:rsidP="007D1DBA">
            <w:pPr>
              <w:jc w:val="right"/>
              <w:rPr>
                <w:sz w:val="18"/>
                <w:szCs w:val="18"/>
                <w:lang w:val="es-419" w:eastAsia="es-419"/>
              </w:rPr>
            </w:pPr>
            <w:r w:rsidRPr="006F0BB0">
              <w:rPr>
                <w:sz w:val="18"/>
                <w:szCs w:val="18"/>
                <w:lang w:val="es-419" w:eastAsia="es-419"/>
              </w:rPr>
              <w:t>86,9%</w:t>
            </w:r>
          </w:p>
        </w:tc>
      </w:tr>
      <w:tr w:rsidR="006F0BB0" w:rsidRPr="006F0BB0" w14:paraId="5B949DD5"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32A5048" w14:textId="77777777" w:rsidR="006F0BB0" w:rsidRPr="006F0BB0" w:rsidRDefault="006F0BB0" w:rsidP="007D1DBA">
            <w:pPr>
              <w:jc w:val="left"/>
              <w:rPr>
                <w:sz w:val="18"/>
                <w:szCs w:val="18"/>
                <w:lang w:val="es-419" w:eastAsia="es-419"/>
              </w:rPr>
            </w:pPr>
            <w:r w:rsidRPr="006F0BB0">
              <w:rPr>
                <w:sz w:val="18"/>
                <w:szCs w:val="18"/>
                <w:lang w:val="es-419" w:eastAsia="es-419"/>
              </w:rPr>
              <w:t>Santa Lucía</w:t>
            </w:r>
          </w:p>
        </w:tc>
        <w:tc>
          <w:tcPr>
            <w:tcW w:w="950" w:type="dxa"/>
            <w:tcBorders>
              <w:top w:val="nil"/>
              <w:left w:val="nil"/>
              <w:bottom w:val="single" w:sz="4" w:space="0" w:color="auto"/>
              <w:right w:val="single" w:sz="4" w:space="0" w:color="auto"/>
            </w:tcBorders>
            <w:shd w:val="clear" w:color="auto" w:fill="auto"/>
            <w:noWrap/>
            <w:hideMark/>
          </w:tcPr>
          <w:p w14:paraId="3956D7F6" w14:textId="77777777" w:rsidR="006F0BB0" w:rsidRPr="006F0BB0" w:rsidRDefault="006F0BB0" w:rsidP="007D1DBA">
            <w:pPr>
              <w:jc w:val="right"/>
              <w:rPr>
                <w:sz w:val="18"/>
                <w:szCs w:val="18"/>
                <w:lang w:val="es-419" w:eastAsia="es-419"/>
              </w:rPr>
            </w:pPr>
            <w:r w:rsidRPr="006F0BB0">
              <w:rPr>
                <w:sz w:val="18"/>
                <w:szCs w:val="18"/>
                <w:lang w:val="es-419" w:eastAsia="es-419"/>
              </w:rPr>
              <w:t>54 429</w:t>
            </w:r>
          </w:p>
        </w:tc>
        <w:tc>
          <w:tcPr>
            <w:tcW w:w="950" w:type="dxa"/>
            <w:tcBorders>
              <w:top w:val="nil"/>
              <w:left w:val="nil"/>
              <w:bottom w:val="single" w:sz="4" w:space="0" w:color="auto"/>
              <w:right w:val="single" w:sz="4" w:space="0" w:color="auto"/>
            </w:tcBorders>
            <w:shd w:val="clear" w:color="auto" w:fill="auto"/>
            <w:noWrap/>
            <w:hideMark/>
          </w:tcPr>
          <w:p w14:paraId="53A7D14E" w14:textId="77777777" w:rsidR="006F0BB0" w:rsidRPr="006F0BB0" w:rsidRDefault="006F0BB0" w:rsidP="007D1DBA">
            <w:pPr>
              <w:jc w:val="right"/>
              <w:rPr>
                <w:sz w:val="18"/>
                <w:szCs w:val="18"/>
                <w:lang w:val="es-419" w:eastAsia="es-419"/>
              </w:rPr>
            </w:pPr>
            <w:r w:rsidRPr="006F0BB0">
              <w:rPr>
                <w:sz w:val="18"/>
                <w:szCs w:val="18"/>
                <w:lang w:val="es-419" w:eastAsia="es-419"/>
              </w:rPr>
              <w:t>55 518</w:t>
            </w:r>
          </w:p>
        </w:tc>
        <w:tc>
          <w:tcPr>
            <w:tcW w:w="950" w:type="dxa"/>
            <w:tcBorders>
              <w:top w:val="nil"/>
              <w:left w:val="nil"/>
              <w:bottom w:val="single" w:sz="4" w:space="0" w:color="auto"/>
              <w:right w:val="single" w:sz="4" w:space="0" w:color="auto"/>
            </w:tcBorders>
            <w:shd w:val="clear" w:color="auto" w:fill="auto"/>
            <w:noWrap/>
            <w:hideMark/>
          </w:tcPr>
          <w:p w14:paraId="68158E7A" w14:textId="77777777" w:rsidR="006F0BB0" w:rsidRPr="006F0BB0" w:rsidRDefault="006F0BB0" w:rsidP="007D1DBA">
            <w:pPr>
              <w:jc w:val="right"/>
              <w:rPr>
                <w:sz w:val="18"/>
                <w:szCs w:val="18"/>
                <w:lang w:val="es-419" w:eastAsia="es-419"/>
              </w:rPr>
            </w:pPr>
            <w:r w:rsidRPr="006F0BB0">
              <w:rPr>
                <w:sz w:val="18"/>
                <w:szCs w:val="18"/>
                <w:lang w:val="es-419" w:eastAsia="es-419"/>
              </w:rPr>
              <w:t>56 628</w:t>
            </w:r>
          </w:p>
        </w:tc>
        <w:tc>
          <w:tcPr>
            <w:tcW w:w="978" w:type="dxa"/>
            <w:tcBorders>
              <w:top w:val="nil"/>
              <w:left w:val="nil"/>
              <w:bottom w:val="single" w:sz="4" w:space="0" w:color="auto"/>
              <w:right w:val="single" w:sz="4" w:space="0" w:color="auto"/>
            </w:tcBorders>
            <w:shd w:val="clear" w:color="auto" w:fill="auto"/>
            <w:noWrap/>
            <w:hideMark/>
          </w:tcPr>
          <w:p w14:paraId="1E07C2CD" w14:textId="77777777" w:rsidR="006F0BB0" w:rsidRPr="006F0BB0" w:rsidRDefault="006F0BB0" w:rsidP="007D1DBA">
            <w:pPr>
              <w:jc w:val="right"/>
              <w:rPr>
                <w:sz w:val="18"/>
                <w:szCs w:val="18"/>
                <w:lang w:val="es-419" w:eastAsia="es-419"/>
              </w:rPr>
            </w:pPr>
            <w:r w:rsidRPr="006F0BB0">
              <w:rPr>
                <w:sz w:val="18"/>
                <w:szCs w:val="18"/>
                <w:lang w:val="es-419" w:eastAsia="es-419"/>
              </w:rPr>
              <w:t>57 760</w:t>
            </w:r>
          </w:p>
        </w:tc>
        <w:tc>
          <w:tcPr>
            <w:tcW w:w="950" w:type="dxa"/>
            <w:tcBorders>
              <w:top w:val="nil"/>
              <w:left w:val="nil"/>
              <w:bottom w:val="single" w:sz="4" w:space="0" w:color="auto"/>
              <w:right w:val="single" w:sz="4" w:space="0" w:color="auto"/>
            </w:tcBorders>
            <w:shd w:val="clear" w:color="auto" w:fill="auto"/>
            <w:noWrap/>
            <w:hideMark/>
          </w:tcPr>
          <w:p w14:paraId="2AC8FC34" w14:textId="77777777" w:rsidR="006F0BB0" w:rsidRPr="006F0BB0" w:rsidRDefault="006F0BB0" w:rsidP="007D1DBA">
            <w:pPr>
              <w:jc w:val="right"/>
              <w:rPr>
                <w:sz w:val="18"/>
                <w:szCs w:val="18"/>
                <w:lang w:val="es-419" w:eastAsia="es-419"/>
              </w:rPr>
            </w:pPr>
            <w:r w:rsidRPr="006F0BB0">
              <w:rPr>
                <w:sz w:val="18"/>
                <w:szCs w:val="18"/>
                <w:lang w:val="es-419" w:eastAsia="es-419"/>
              </w:rPr>
              <w:t>63 537</w:t>
            </w:r>
          </w:p>
        </w:tc>
        <w:tc>
          <w:tcPr>
            <w:tcW w:w="950" w:type="dxa"/>
            <w:tcBorders>
              <w:top w:val="nil"/>
              <w:left w:val="nil"/>
              <w:bottom w:val="single" w:sz="4" w:space="0" w:color="auto"/>
              <w:right w:val="single" w:sz="4" w:space="0" w:color="auto"/>
            </w:tcBorders>
            <w:shd w:val="clear" w:color="auto" w:fill="auto"/>
            <w:noWrap/>
            <w:hideMark/>
          </w:tcPr>
          <w:p w14:paraId="7B802689" w14:textId="77777777" w:rsidR="006F0BB0" w:rsidRPr="006F0BB0" w:rsidRDefault="006F0BB0" w:rsidP="007D1DBA">
            <w:pPr>
              <w:jc w:val="right"/>
              <w:rPr>
                <w:sz w:val="18"/>
                <w:szCs w:val="18"/>
                <w:lang w:val="es-419" w:eastAsia="es-419"/>
              </w:rPr>
            </w:pPr>
            <w:r w:rsidRPr="006F0BB0">
              <w:rPr>
                <w:sz w:val="18"/>
                <w:szCs w:val="18"/>
                <w:lang w:val="es-419" w:eastAsia="es-419"/>
              </w:rPr>
              <w:t>69 890</w:t>
            </w:r>
          </w:p>
        </w:tc>
        <w:tc>
          <w:tcPr>
            <w:tcW w:w="1076" w:type="dxa"/>
            <w:tcBorders>
              <w:top w:val="nil"/>
              <w:left w:val="nil"/>
              <w:bottom w:val="single" w:sz="4" w:space="0" w:color="auto"/>
              <w:right w:val="single" w:sz="4" w:space="0" w:color="auto"/>
            </w:tcBorders>
            <w:shd w:val="clear" w:color="auto" w:fill="auto"/>
            <w:noWrap/>
            <w:hideMark/>
          </w:tcPr>
          <w:p w14:paraId="7E535931" w14:textId="77777777" w:rsidR="006F0BB0" w:rsidRPr="006F0BB0" w:rsidRDefault="006F0BB0" w:rsidP="007D1DBA">
            <w:pPr>
              <w:jc w:val="right"/>
              <w:rPr>
                <w:sz w:val="18"/>
                <w:szCs w:val="18"/>
                <w:lang w:val="es-419" w:eastAsia="es-419"/>
              </w:rPr>
            </w:pPr>
            <w:r w:rsidRPr="006F0BB0">
              <w:rPr>
                <w:sz w:val="18"/>
                <w:szCs w:val="18"/>
                <w:lang w:val="es-419" w:eastAsia="es-419"/>
              </w:rPr>
              <w:t>56 635</w:t>
            </w:r>
          </w:p>
        </w:tc>
        <w:tc>
          <w:tcPr>
            <w:tcW w:w="1034" w:type="dxa"/>
            <w:tcBorders>
              <w:top w:val="nil"/>
              <w:left w:val="nil"/>
              <w:bottom w:val="single" w:sz="4" w:space="0" w:color="auto"/>
              <w:right w:val="single" w:sz="4" w:space="0" w:color="auto"/>
            </w:tcBorders>
            <w:shd w:val="clear" w:color="auto" w:fill="auto"/>
            <w:noWrap/>
            <w:hideMark/>
          </w:tcPr>
          <w:p w14:paraId="5E919DB7" w14:textId="77777777" w:rsidR="006F0BB0" w:rsidRPr="006F0BB0" w:rsidRDefault="006F0BB0" w:rsidP="007D1DBA">
            <w:pPr>
              <w:jc w:val="right"/>
              <w:rPr>
                <w:sz w:val="18"/>
                <w:szCs w:val="18"/>
                <w:lang w:val="es-419" w:eastAsia="es-419"/>
              </w:rPr>
            </w:pPr>
            <w:r w:rsidRPr="006F0BB0">
              <w:rPr>
                <w:sz w:val="18"/>
                <w:szCs w:val="18"/>
                <w:lang w:val="es-419" w:eastAsia="es-419"/>
              </w:rPr>
              <w:t>79 648</w:t>
            </w:r>
          </w:p>
        </w:tc>
        <w:tc>
          <w:tcPr>
            <w:tcW w:w="1181" w:type="dxa"/>
            <w:tcBorders>
              <w:top w:val="nil"/>
              <w:left w:val="nil"/>
              <w:bottom w:val="single" w:sz="4" w:space="0" w:color="auto"/>
              <w:right w:val="single" w:sz="4" w:space="0" w:color="auto"/>
            </w:tcBorders>
            <w:shd w:val="clear" w:color="auto" w:fill="auto"/>
            <w:noWrap/>
            <w:hideMark/>
          </w:tcPr>
          <w:p w14:paraId="135C6B7F" w14:textId="77777777" w:rsidR="006F0BB0" w:rsidRPr="006F0BB0" w:rsidRDefault="006F0BB0" w:rsidP="007D1DBA">
            <w:pPr>
              <w:jc w:val="right"/>
              <w:rPr>
                <w:sz w:val="18"/>
                <w:szCs w:val="18"/>
                <w:lang w:val="es-419" w:eastAsia="es-419"/>
              </w:rPr>
            </w:pPr>
            <w:r w:rsidRPr="006F0BB0">
              <w:rPr>
                <w:sz w:val="18"/>
                <w:szCs w:val="18"/>
                <w:lang w:val="es-419" w:eastAsia="es-419"/>
              </w:rPr>
              <w:t>87,7%</w:t>
            </w:r>
          </w:p>
        </w:tc>
      </w:tr>
      <w:tr w:rsidR="006F0BB0" w:rsidRPr="006F0BB0" w14:paraId="2572BBE4"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77E525" w14:textId="77777777" w:rsidR="006F0BB0" w:rsidRPr="006F0BB0" w:rsidRDefault="006F0BB0" w:rsidP="007D1DBA">
            <w:pPr>
              <w:jc w:val="left"/>
              <w:rPr>
                <w:sz w:val="18"/>
                <w:szCs w:val="18"/>
                <w:lang w:val="es-419" w:eastAsia="es-419"/>
              </w:rPr>
            </w:pPr>
            <w:r w:rsidRPr="006F0BB0">
              <w:rPr>
                <w:sz w:val="18"/>
                <w:szCs w:val="18"/>
                <w:lang w:val="es-419" w:eastAsia="es-419"/>
              </w:rPr>
              <w:t>Colombia</w:t>
            </w:r>
          </w:p>
        </w:tc>
        <w:tc>
          <w:tcPr>
            <w:tcW w:w="950" w:type="dxa"/>
            <w:tcBorders>
              <w:top w:val="nil"/>
              <w:left w:val="nil"/>
              <w:bottom w:val="single" w:sz="4" w:space="0" w:color="auto"/>
              <w:right w:val="single" w:sz="4" w:space="0" w:color="auto"/>
            </w:tcBorders>
            <w:shd w:val="clear" w:color="auto" w:fill="auto"/>
            <w:noWrap/>
            <w:hideMark/>
          </w:tcPr>
          <w:p w14:paraId="659EA471" w14:textId="77777777" w:rsidR="006F0BB0" w:rsidRPr="006F0BB0" w:rsidRDefault="006F0BB0" w:rsidP="007D1DBA">
            <w:pPr>
              <w:jc w:val="right"/>
              <w:rPr>
                <w:sz w:val="18"/>
                <w:szCs w:val="18"/>
                <w:lang w:val="es-419" w:eastAsia="es-419"/>
              </w:rPr>
            </w:pPr>
            <w:r w:rsidRPr="006F0BB0">
              <w:rPr>
                <w:sz w:val="18"/>
                <w:szCs w:val="18"/>
                <w:lang w:val="es-419" w:eastAsia="es-419"/>
              </w:rPr>
              <w:t>5 270 350</w:t>
            </w:r>
          </w:p>
        </w:tc>
        <w:tc>
          <w:tcPr>
            <w:tcW w:w="950" w:type="dxa"/>
            <w:tcBorders>
              <w:top w:val="nil"/>
              <w:left w:val="nil"/>
              <w:bottom w:val="single" w:sz="4" w:space="0" w:color="auto"/>
              <w:right w:val="single" w:sz="4" w:space="0" w:color="auto"/>
            </w:tcBorders>
            <w:shd w:val="clear" w:color="auto" w:fill="auto"/>
            <w:noWrap/>
            <w:hideMark/>
          </w:tcPr>
          <w:p w14:paraId="12176163" w14:textId="77777777" w:rsidR="006F0BB0" w:rsidRPr="006F0BB0" w:rsidRDefault="006F0BB0" w:rsidP="007D1DBA">
            <w:pPr>
              <w:jc w:val="right"/>
              <w:rPr>
                <w:sz w:val="18"/>
                <w:szCs w:val="18"/>
                <w:lang w:val="es-419" w:eastAsia="es-419"/>
              </w:rPr>
            </w:pPr>
            <w:r w:rsidRPr="006F0BB0">
              <w:rPr>
                <w:sz w:val="18"/>
                <w:szCs w:val="18"/>
                <w:lang w:val="es-419" w:eastAsia="es-419"/>
              </w:rPr>
              <w:t>5 375 757</w:t>
            </w:r>
          </w:p>
        </w:tc>
        <w:tc>
          <w:tcPr>
            <w:tcW w:w="950" w:type="dxa"/>
            <w:tcBorders>
              <w:top w:val="nil"/>
              <w:left w:val="nil"/>
              <w:bottom w:val="single" w:sz="4" w:space="0" w:color="auto"/>
              <w:right w:val="single" w:sz="4" w:space="0" w:color="auto"/>
            </w:tcBorders>
            <w:shd w:val="clear" w:color="auto" w:fill="auto"/>
            <w:noWrap/>
            <w:hideMark/>
          </w:tcPr>
          <w:p w14:paraId="25FFE0BE" w14:textId="77777777" w:rsidR="006F0BB0" w:rsidRPr="006F0BB0" w:rsidRDefault="006F0BB0" w:rsidP="007D1DBA">
            <w:pPr>
              <w:jc w:val="right"/>
              <w:rPr>
                <w:sz w:val="18"/>
                <w:szCs w:val="18"/>
                <w:lang w:val="es-419" w:eastAsia="es-419"/>
              </w:rPr>
            </w:pPr>
            <w:r w:rsidRPr="006F0BB0">
              <w:rPr>
                <w:sz w:val="18"/>
                <w:szCs w:val="18"/>
                <w:lang w:val="es-419" w:eastAsia="es-419"/>
              </w:rPr>
              <w:t>5 483 272</w:t>
            </w:r>
          </w:p>
        </w:tc>
        <w:tc>
          <w:tcPr>
            <w:tcW w:w="978" w:type="dxa"/>
            <w:tcBorders>
              <w:top w:val="nil"/>
              <w:left w:val="nil"/>
              <w:bottom w:val="single" w:sz="4" w:space="0" w:color="auto"/>
              <w:right w:val="single" w:sz="4" w:space="0" w:color="auto"/>
            </w:tcBorders>
            <w:shd w:val="clear" w:color="auto" w:fill="auto"/>
            <w:noWrap/>
            <w:hideMark/>
          </w:tcPr>
          <w:p w14:paraId="645DA154" w14:textId="77777777" w:rsidR="006F0BB0" w:rsidRPr="006F0BB0" w:rsidRDefault="006F0BB0" w:rsidP="007D1DBA">
            <w:pPr>
              <w:jc w:val="right"/>
              <w:rPr>
                <w:sz w:val="18"/>
                <w:szCs w:val="18"/>
                <w:lang w:val="es-419" w:eastAsia="es-419"/>
              </w:rPr>
            </w:pPr>
            <w:r w:rsidRPr="006F0BB0">
              <w:rPr>
                <w:sz w:val="18"/>
                <w:szCs w:val="18"/>
                <w:lang w:val="es-419" w:eastAsia="es-419"/>
              </w:rPr>
              <w:t>5 592 938</w:t>
            </w:r>
          </w:p>
        </w:tc>
        <w:tc>
          <w:tcPr>
            <w:tcW w:w="950" w:type="dxa"/>
            <w:tcBorders>
              <w:top w:val="nil"/>
              <w:left w:val="nil"/>
              <w:bottom w:val="single" w:sz="4" w:space="0" w:color="auto"/>
              <w:right w:val="single" w:sz="4" w:space="0" w:color="auto"/>
            </w:tcBorders>
            <w:shd w:val="clear" w:color="auto" w:fill="auto"/>
            <w:noWrap/>
            <w:hideMark/>
          </w:tcPr>
          <w:p w14:paraId="7702F837" w14:textId="77777777" w:rsidR="006F0BB0" w:rsidRPr="006F0BB0" w:rsidRDefault="006F0BB0" w:rsidP="007D1DBA">
            <w:pPr>
              <w:jc w:val="right"/>
              <w:rPr>
                <w:sz w:val="18"/>
                <w:szCs w:val="18"/>
                <w:lang w:val="es-419" w:eastAsia="es-419"/>
              </w:rPr>
            </w:pPr>
            <w:r w:rsidRPr="006F0BB0">
              <w:rPr>
                <w:sz w:val="18"/>
                <w:szCs w:val="18"/>
                <w:lang w:val="es-419" w:eastAsia="es-419"/>
              </w:rPr>
              <w:t>6 152 231</w:t>
            </w:r>
          </w:p>
        </w:tc>
        <w:tc>
          <w:tcPr>
            <w:tcW w:w="950" w:type="dxa"/>
            <w:tcBorders>
              <w:top w:val="nil"/>
              <w:left w:val="nil"/>
              <w:bottom w:val="single" w:sz="4" w:space="0" w:color="auto"/>
              <w:right w:val="single" w:sz="4" w:space="0" w:color="auto"/>
            </w:tcBorders>
            <w:shd w:val="clear" w:color="auto" w:fill="auto"/>
            <w:noWrap/>
            <w:hideMark/>
          </w:tcPr>
          <w:p w14:paraId="47F95AFA" w14:textId="77777777" w:rsidR="006F0BB0" w:rsidRPr="006F0BB0" w:rsidRDefault="006F0BB0" w:rsidP="007D1DBA">
            <w:pPr>
              <w:jc w:val="right"/>
              <w:rPr>
                <w:sz w:val="18"/>
                <w:szCs w:val="18"/>
                <w:lang w:val="es-419" w:eastAsia="es-419"/>
              </w:rPr>
            </w:pPr>
            <w:r w:rsidRPr="006F0BB0">
              <w:rPr>
                <w:sz w:val="18"/>
                <w:szCs w:val="18"/>
                <w:lang w:val="es-419" w:eastAsia="es-419"/>
              </w:rPr>
              <w:t>6 767 454</w:t>
            </w:r>
          </w:p>
        </w:tc>
        <w:tc>
          <w:tcPr>
            <w:tcW w:w="1076" w:type="dxa"/>
            <w:tcBorders>
              <w:top w:val="nil"/>
              <w:left w:val="nil"/>
              <w:bottom w:val="single" w:sz="4" w:space="0" w:color="auto"/>
              <w:right w:val="single" w:sz="4" w:space="0" w:color="auto"/>
            </w:tcBorders>
            <w:shd w:val="clear" w:color="auto" w:fill="auto"/>
            <w:noWrap/>
            <w:hideMark/>
          </w:tcPr>
          <w:p w14:paraId="4424128B" w14:textId="77777777" w:rsidR="006F0BB0" w:rsidRPr="006F0BB0" w:rsidRDefault="006F0BB0" w:rsidP="007D1DBA">
            <w:pPr>
              <w:jc w:val="right"/>
              <w:rPr>
                <w:sz w:val="18"/>
                <w:szCs w:val="18"/>
                <w:lang w:val="es-419" w:eastAsia="es-419"/>
              </w:rPr>
            </w:pPr>
            <w:r w:rsidRPr="006F0BB0">
              <w:rPr>
                <w:sz w:val="18"/>
                <w:szCs w:val="18"/>
                <w:lang w:val="es-419" w:eastAsia="es-419"/>
              </w:rPr>
              <w:t>5 483 989</w:t>
            </w:r>
          </w:p>
        </w:tc>
        <w:tc>
          <w:tcPr>
            <w:tcW w:w="1034" w:type="dxa"/>
            <w:tcBorders>
              <w:top w:val="nil"/>
              <w:left w:val="nil"/>
              <w:bottom w:val="single" w:sz="4" w:space="0" w:color="auto"/>
              <w:right w:val="single" w:sz="4" w:space="0" w:color="auto"/>
            </w:tcBorders>
            <w:shd w:val="clear" w:color="auto" w:fill="auto"/>
            <w:noWrap/>
            <w:hideMark/>
          </w:tcPr>
          <w:p w14:paraId="36E843A6" w14:textId="77777777" w:rsidR="006F0BB0" w:rsidRPr="006F0BB0" w:rsidRDefault="006F0BB0" w:rsidP="007D1DBA">
            <w:pPr>
              <w:jc w:val="right"/>
              <w:rPr>
                <w:sz w:val="18"/>
                <w:szCs w:val="18"/>
                <w:lang w:val="es-419" w:eastAsia="es-419"/>
              </w:rPr>
            </w:pPr>
            <w:r w:rsidRPr="006F0BB0">
              <w:rPr>
                <w:sz w:val="18"/>
                <w:szCs w:val="18"/>
                <w:lang w:val="es-419" w:eastAsia="es-419"/>
              </w:rPr>
              <w:t>7 666 053</w:t>
            </w:r>
          </w:p>
        </w:tc>
        <w:tc>
          <w:tcPr>
            <w:tcW w:w="1181" w:type="dxa"/>
            <w:tcBorders>
              <w:top w:val="nil"/>
              <w:left w:val="nil"/>
              <w:bottom w:val="single" w:sz="4" w:space="0" w:color="auto"/>
              <w:right w:val="single" w:sz="4" w:space="0" w:color="auto"/>
            </w:tcBorders>
            <w:shd w:val="clear" w:color="auto" w:fill="auto"/>
            <w:noWrap/>
            <w:hideMark/>
          </w:tcPr>
          <w:p w14:paraId="07781964" w14:textId="77777777" w:rsidR="006F0BB0" w:rsidRPr="006F0BB0" w:rsidRDefault="006F0BB0" w:rsidP="007D1DBA">
            <w:pPr>
              <w:jc w:val="right"/>
              <w:rPr>
                <w:sz w:val="18"/>
                <w:szCs w:val="18"/>
                <w:lang w:val="es-419" w:eastAsia="es-419"/>
              </w:rPr>
            </w:pPr>
            <w:r w:rsidRPr="006F0BB0">
              <w:rPr>
                <w:sz w:val="18"/>
                <w:szCs w:val="18"/>
                <w:lang w:val="es-419" w:eastAsia="es-419"/>
              </w:rPr>
              <w:t>88,3%</w:t>
            </w:r>
          </w:p>
        </w:tc>
      </w:tr>
      <w:tr w:rsidR="006F0BB0" w:rsidRPr="006F0BB0" w14:paraId="019D226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9ED3E6"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Botswana</w:t>
            </w:r>
            <w:proofErr w:type="spellEnd"/>
          </w:p>
        </w:tc>
        <w:tc>
          <w:tcPr>
            <w:tcW w:w="950" w:type="dxa"/>
            <w:tcBorders>
              <w:top w:val="nil"/>
              <w:left w:val="nil"/>
              <w:bottom w:val="single" w:sz="4" w:space="0" w:color="auto"/>
              <w:right w:val="single" w:sz="4" w:space="0" w:color="auto"/>
            </w:tcBorders>
            <w:shd w:val="clear" w:color="auto" w:fill="auto"/>
            <w:noWrap/>
            <w:hideMark/>
          </w:tcPr>
          <w:p w14:paraId="1133EFA1" w14:textId="77777777" w:rsidR="006F0BB0" w:rsidRPr="006F0BB0" w:rsidRDefault="006F0BB0" w:rsidP="007D1DBA">
            <w:pPr>
              <w:jc w:val="right"/>
              <w:rPr>
                <w:sz w:val="18"/>
                <w:szCs w:val="18"/>
                <w:lang w:val="es-419" w:eastAsia="es-419"/>
              </w:rPr>
            </w:pPr>
            <w:r w:rsidRPr="006F0BB0">
              <w:rPr>
                <w:sz w:val="18"/>
                <w:szCs w:val="18"/>
                <w:lang w:val="es-419" w:eastAsia="es-419"/>
              </w:rPr>
              <w:t>574 066</w:t>
            </w:r>
          </w:p>
        </w:tc>
        <w:tc>
          <w:tcPr>
            <w:tcW w:w="950" w:type="dxa"/>
            <w:tcBorders>
              <w:top w:val="nil"/>
              <w:left w:val="nil"/>
              <w:bottom w:val="single" w:sz="4" w:space="0" w:color="auto"/>
              <w:right w:val="single" w:sz="4" w:space="0" w:color="auto"/>
            </w:tcBorders>
            <w:shd w:val="clear" w:color="auto" w:fill="auto"/>
            <w:noWrap/>
            <w:hideMark/>
          </w:tcPr>
          <w:p w14:paraId="107CBB7F" w14:textId="77777777" w:rsidR="006F0BB0" w:rsidRPr="006F0BB0" w:rsidRDefault="006F0BB0" w:rsidP="007D1DBA">
            <w:pPr>
              <w:jc w:val="right"/>
              <w:rPr>
                <w:sz w:val="18"/>
                <w:szCs w:val="18"/>
                <w:lang w:val="es-419" w:eastAsia="es-419"/>
              </w:rPr>
            </w:pPr>
            <w:r w:rsidRPr="006F0BB0">
              <w:rPr>
                <w:sz w:val="18"/>
                <w:szCs w:val="18"/>
                <w:lang w:val="es-419" w:eastAsia="es-419"/>
              </w:rPr>
              <w:t>585 547</w:t>
            </w:r>
          </w:p>
        </w:tc>
        <w:tc>
          <w:tcPr>
            <w:tcW w:w="950" w:type="dxa"/>
            <w:tcBorders>
              <w:top w:val="nil"/>
              <w:left w:val="nil"/>
              <w:bottom w:val="single" w:sz="4" w:space="0" w:color="auto"/>
              <w:right w:val="single" w:sz="4" w:space="0" w:color="auto"/>
            </w:tcBorders>
            <w:shd w:val="clear" w:color="auto" w:fill="auto"/>
            <w:noWrap/>
            <w:hideMark/>
          </w:tcPr>
          <w:p w14:paraId="1C31BFF8" w14:textId="77777777" w:rsidR="006F0BB0" w:rsidRPr="006F0BB0" w:rsidRDefault="006F0BB0" w:rsidP="007D1DBA">
            <w:pPr>
              <w:jc w:val="right"/>
              <w:rPr>
                <w:sz w:val="18"/>
                <w:szCs w:val="18"/>
                <w:lang w:val="es-419" w:eastAsia="es-419"/>
              </w:rPr>
            </w:pPr>
            <w:r w:rsidRPr="006F0BB0">
              <w:rPr>
                <w:sz w:val="18"/>
                <w:szCs w:val="18"/>
                <w:lang w:val="es-419" w:eastAsia="es-419"/>
              </w:rPr>
              <w:t>597 258</w:t>
            </w:r>
          </w:p>
        </w:tc>
        <w:tc>
          <w:tcPr>
            <w:tcW w:w="978" w:type="dxa"/>
            <w:tcBorders>
              <w:top w:val="nil"/>
              <w:left w:val="nil"/>
              <w:bottom w:val="single" w:sz="4" w:space="0" w:color="auto"/>
              <w:right w:val="single" w:sz="4" w:space="0" w:color="auto"/>
            </w:tcBorders>
            <w:shd w:val="clear" w:color="auto" w:fill="auto"/>
            <w:noWrap/>
            <w:hideMark/>
          </w:tcPr>
          <w:p w14:paraId="3B9E55DA" w14:textId="77777777" w:rsidR="006F0BB0" w:rsidRPr="006F0BB0" w:rsidRDefault="006F0BB0" w:rsidP="007D1DBA">
            <w:pPr>
              <w:jc w:val="right"/>
              <w:rPr>
                <w:sz w:val="18"/>
                <w:szCs w:val="18"/>
                <w:lang w:val="es-419" w:eastAsia="es-419"/>
              </w:rPr>
            </w:pPr>
            <w:r w:rsidRPr="006F0BB0">
              <w:rPr>
                <w:sz w:val="18"/>
                <w:szCs w:val="18"/>
                <w:lang w:val="es-419" w:eastAsia="es-419"/>
              </w:rPr>
              <w:t>609 203</w:t>
            </w:r>
          </w:p>
        </w:tc>
        <w:tc>
          <w:tcPr>
            <w:tcW w:w="950" w:type="dxa"/>
            <w:tcBorders>
              <w:top w:val="nil"/>
              <w:left w:val="nil"/>
              <w:bottom w:val="single" w:sz="4" w:space="0" w:color="auto"/>
              <w:right w:val="single" w:sz="4" w:space="0" w:color="auto"/>
            </w:tcBorders>
            <w:shd w:val="clear" w:color="auto" w:fill="auto"/>
            <w:noWrap/>
            <w:hideMark/>
          </w:tcPr>
          <w:p w14:paraId="44504DFB" w14:textId="77777777" w:rsidR="006F0BB0" w:rsidRPr="006F0BB0" w:rsidRDefault="006F0BB0" w:rsidP="007D1DBA">
            <w:pPr>
              <w:jc w:val="right"/>
              <w:rPr>
                <w:sz w:val="18"/>
                <w:szCs w:val="18"/>
                <w:lang w:val="es-419" w:eastAsia="es-419"/>
              </w:rPr>
            </w:pPr>
            <w:r w:rsidRPr="006F0BB0">
              <w:rPr>
                <w:sz w:val="18"/>
                <w:szCs w:val="18"/>
                <w:lang w:val="es-419" w:eastAsia="es-419"/>
              </w:rPr>
              <w:t>670 124</w:t>
            </w:r>
          </w:p>
        </w:tc>
        <w:tc>
          <w:tcPr>
            <w:tcW w:w="950" w:type="dxa"/>
            <w:tcBorders>
              <w:top w:val="nil"/>
              <w:left w:val="nil"/>
              <w:bottom w:val="single" w:sz="4" w:space="0" w:color="auto"/>
              <w:right w:val="single" w:sz="4" w:space="0" w:color="auto"/>
            </w:tcBorders>
            <w:shd w:val="clear" w:color="auto" w:fill="auto"/>
            <w:noWrap/>
            <w:hideMark/>
          </w:tcPr>
          <w:p w14:paraId="57CC8274" w14:textId="77777777" w:rsidR="006F0BB0" w:rsidRPr="006F0BB0" w:rsidRDefault="006F0BB0" w:rsidP="007D1DBA">
            <w:pPr>
              <w:jc w:val="right"/>
              <w:rPr>
                <w:sz w:val="18"/>
                <w:szCs w:val="18"/>
                <w:lang w:val="es-419" w:eastAsia="es-419"/>
              </w:rPr>
            </w:pPr>
            <w:r w:rsidRPr="006F0BB0">
              <w:rPr>
                <w:sz w:val="18"/>
                <w:szCs w:val="18"/>
                <w:lang w:val="es-419" w:eastAsia="es-419"/>
              </w:rPr>
              <w:t>737 136</w:t>
            </w:r>
          </w:p>
        </w:tc>
        <w:tc>
          <w:tcPr>
            <w:tcW w:w="1076" w:type="dxa"/>
            <w:tcBorders>
              <w:top w:val="nil"/>
              <w:left w:val="nil"/>
              <w:bottom w:val="single" w:sz="4" w:space="0" w:color="auto"/>
              <w:right w:val="single" w:sz="4" w:space="0" w:color="auto"/>
            </w:tcBorders>
            <w:shd w:val="clear" w:color="auto" w:fill="auto"/>
            <w:noWrap/>
            <w:hideMark/>
          </w:tcPr>
          <w:p w14:paraId="5BB58809" w14:textId="77777777" w:rsidR="006F0BB0" w:rsidRPr="006F0BB0" w:rsidRDefault="006F0BB0" w:rsidP="007D1DBA">
            <w:pPr>
              <w:jc w:val="right"/>
              <w:rPr>
                <w:sz w:val="18"/>
                <w:szCs w:val="18"/>
                <w:lang w:val="es-419" w:eastAsia="es-419"/>
              </w:rPr>
            </w:pPr>
            <w:r w:rsidRPr="006F0BB0">
              <w:rPr>
                <w:sz w:val="18"/>
                <w:szCs w:val="18"/>
                <w:lang w:val="es-419" w:eastAsia="es-419"/>
              </w:rPr>
              <w:t>597 336</w:t>
            </w:r>
          </w:p>
        </w:tc>
        <w:tc>
          <w:tcPr>
            <w:tcW w:w="1034" w:type="dxa"/>
            <w:tcBorders>
              <w:top w:val="nil"/>
              <w:left w:val="nil"/>
              <w:bottom w:val="single" w:sz="4" w:space="0" w:color="auto"/>
              <w:right w:val="single" w:sz="4" w:space="0" w:color="auto"/>
            </w:tcBorders>
            <w:shd w:val="clear" w:color="auto" w:fill="auto"/>
            <w:noWrap/>
            <w:hideMark/>
          </w:tcPr>
          <w:p w14:paraId="5E30B0B0" w14:textId="77777777" w:rsidR="006F0BB0" w:rsidRPr="006F0BB0" w:rsidRDefault="006F0BB0" w:rsidP="007D1DBA">
            <w:pPr>
              <w:jc w:val="right"/>
              <w:rPr>
                <w:sz w:val="18"/>
                <w:szCs w:val="18"/>
                <w:lang w:val="es-419" w:eastAsia="es-419"/>
              </w:rPr>
            </w:pPr>
            <w:r w:rsidRPr="006F0BB0">
              <w:rPr>
                <w:sz w:val="18"/>
                <w:szCs w:val="18"/>
                <w:lang w:val="es-419" w:eastAsia="es-419"/>
              </w:rPr>
              <w:t>832 683</w:t>
            </w:r>
          </w:p>
        </w:tc>
        <w:tc>
          <w:tcPr>
            <w:tcW w:w="1181" w:type="dxa"/>
            <w:tcBorders>
              <w:top w:val="nil"/>
              <w:left w:val="nil"/>
              <w:bottom w:val="single" w:sz="4" w:space="0" w:color="auto"/>
              <w:right w:val="single" w:sz="4" w:space="0" w:color="auto"/>
            </w:tcBorders>
            <w:shd w:val="clear" w:color="auto" w:fill="auto"/>
            <w:noWrap/>
            <w:hideMark/>
          </w:tcPr>
          <w:p w14:paraId="0CF72D9A" w14:textId="77777777" w:rsidR="006F0BB0" w:rsidRPr="006F0BB0" w:rsidRDefault="006F0BB0" w:rsidP="007D1DBA">
            <w:pPr>
              <w:jc w:val="right"/>
              <w:rPr>
                <w:sz w:val="18"/>
                <w:szCs w:val="18"/>
                <w:lang w:val="es-419" w:eastAsia="es-419"/>
              </w:rPr>
            </w:pPr>
            <w:r w:rsidRPr="006F0BB0">
              <w:rPr>
                <w:sz w:val="18"/>
                <w:szCs w:val="18"/>
                <w:lang w:val="es-419" w:eastAsia="es-419"/>
              </w:rPr>
              <w:t>88,5%</w:t>
            </w:r>
          </w:p>
        </w:tc>
      </w:tr>
      <w:tr w:rsidR="006F0BB0" w:rsidRPr="006F0BB0" w14:paraId="65CFF477"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43C5D8C" w14:textId="77777777" w:rsidR="006F0BB0" w:rsidRPr="006F0BB0" w:rsidRDefault="006F0BB0" w:rsidP="007D1DBA">
            <w:pPr>
              <w:jc w:val="left"/>
              <w:rPr>
                <w:sz w:val="18"/>
                <w:szCs w:val="18"/>
                <w:lang w:val="es-419" w:eastAsia="es-419"/>
              </w:rPr>
            </w:pPr>
            <w:r w:rsidRPr="006F0BB0">
              <w:rPr>
                <w:sz w:val="18"/>
                <w:szCs w:val="18"/>
                <w:lang w:val="es-419" w:eastAsia="es-419"/>
              </w:rPr>
              <w:t>Paraguay</w:t>
            </w:r>
          </w:p>
        </w:tc>
        <w:tc>
          <w:tcPr>
            <w:tcW w:w="950" w:type="dxa"/>
            <w:tcBorders>
              <w:top w:val="nil"/>
              <w:left w:val="nil"/>
              <w:bottom w:val="single" w:sz="4" w:space="0" w:color="auto"/>
              <w:right w:val="single" w:sz="4" w:space="0" w:color="auto"/>
            </w:tcBorders>
            <w:shd w:val="clear" w:color="auto" w:fill="auto"/>
            <w:noWrap/>
            <w:hideMark/>
          </w:tcPr>
          <w:p w14:paraId="1ADD7ED5" w14:textId="77777777" w:rsidR="006F0BB0" w:rsidRPr="006F0BB0" w:rsidRDefault="006F0BB0" w:rsidP="007D1DBA">
            <w:pPr>
              <w:jc w:val="right"/>
              <w:rPr>
                <w:sz w:val="18"/>
                <w:szCs w:val="18"/>
                <w:lang w:val="es-419" w:eastAsia="es-419"/>
              </w:rPr>
            </w:pPr>
            <w:r w:rsidRPr="006F0BB0">
              <w:rPr>
                <w:sz w:val="18"/>
                <w:szCs w:val="18"/>
                <w:lang w:val="es-419" w:eastAsia="es-419"/>
              </w:rPr>
              <w:t>934 649</w:t>
            </w:r>
          </w:p>
        </w:tc>
        <w:tc>
          <w:tcPr>
            <w:tcW w:w="950" w:type="dxa"/>
            <w:tcBorders>
              <w:top w:val="nil"/>
              <w:left w:val="nil"/>
              <w:bottom w:val="single" w:sz="4" w:space="0" w:color="auto"/>
              <w:right w:val="single" w:sz="4" w:space="0" w:color="auto"/>
            </w:tcBorders>
            <w:shd w:val="clear" w:color="auto" w:fill="auto"/>
            <w:noWrap/>
            <w:hideMark/>
          </w:tcPr>
          <w:p w14:paraId="3E576E7B" w14:textId="77777777" w:rsidR="006F0BB0" w:rsidRPr="006F0BB0" w:rsidRDefault="006F0BB0" w:rsidP="007D1DBA">
            <w:pPr>
              <w:jc w:val="right"/>
              <w:rPr>
                <w:sz w:val="18"/>
                <w:szCs w:val="18"/>
                <w:lang w:val="es-419" w:eastAsia="es-419"/>
              </w:rPr>
            </w:pPr>
            <w:r w:rsidRPr="006F0BB0">
              <w:rPr>
                <w:sz w:val="18"/>
                <w:szCs w:val="18"/>
                <w:lang w:val="es-419" w:eastAsia="es-419"/>
              </w:rPr>
              <w:t>953 342</w:t>
            </w:r>
          </w:p>
        </w:tc>
        <w:tc>
          <w:tcPr>
            <w:tcW w:w="950" w:type="dxa"/>
            <w:tcBorders>
              <w:top w:val="nil"/>
              <w:left w:val="nil"/>
              <w:bottom w:val="single" w:sz="4" w:space="0" w:color="auto"/>
              <w:right w:val="single" w:sz="4" w:space="0" w:color="auto"/>
            </w:tcBorders>
            <w:shd w:val="clear" w:color="auto" w:fill="auto"/>
            <w:noWrap/>
            <w:hideMark/>
          </w:tcPr>
          <w:p w14:paraId="3B36289B" w14:textId="77777777" w:rsidR="006F0BB0" w:rsidRPr="006F0BB0" w:rsidRDefault="006F0BB0" w:rsidP="007D1DBA">
            <w:pPr>
              <w:jc w:val="right"/>
              <w:rPr>
                <w:sz w:val="18"/>
                <w:szCs w:val="18"/>
                <w:lang w:val="es-419" w:eastAsia="es-419"/>
              </w:rPr>
            </w:pPr>
            <w:r w:rsidRPr="006F0BB0">
              <w:rPr>
                <w:sz w:val="18"/>
                <w:szCs w:val="18"/>
                <w:lang w:val="es-419" w:eastAsia="es-419"/>
              </w:rPr>
              <w:t>972 409</w:t>
            </w:r>
          </w:p>
        </w:tc>
        <w:tc>
          <w:tcPr>
            <w:tcW w:w="978" w:type="dxa"/>
            <w:tcBorders>
              <w:top w:val="nil"/>
              <w:left w:val="nil"/>
              <w:bottom w:val="single" w:sz="4" w:space="0" w:color="auto"/>
              <w:right w:val="single" w:sz="4" w:space="0" w:color="auto"/>
            </w:tcBorders>
            <w:shd w:val="clear" w:color="auto" w:fill="auto"/>
            <w:noWrap/>
            <w:hideMark/>
          </w:tcPr>
          <w:p w14:paraId="27C0A238" w14:textId="77777777" w:rsidR="006F0BB0" w:rsidRPr="006F0BB0" w:rsidRDefault="006F0BB0" w:rsidP="007D1DBA">
            <w:pPr>
              <w:jc w:val="right"/>
              <w:rPr>
                <w:sz w:val="18"/>
                <w:szCs w:val="18"/>
                <w:lang w:val="es-419" w:eastAsia="es-419"/>
              </w:rPr>
            </w:pPr>
            <w:r w:rsidRPr="006F0BB0">
              <w:rPr>
                <w:sz w:val="18"/>
                <w:szCs w:val="18"/>
                <w:lang w:val="es-419" w:eastAsia="es-419"/>
              </w:rPr>
              <w:t>991 857</w:t>
            </w:r>
          </w:p>
        </w:tc>
        <w:tc>
          <w:tcPr>
            <w:tcW w:w="950" w:type="dxa"/>
            <w:tcBorders>
              <w:top w:val="nil"/>
              <w:left w:val="nil"/>
              <w:bottom w:val="single" w:sz="4" w:space="0" w:color="auto"/>
              <w:right w:val="single" w:sz="4" w:space="0" w:color="auto"/>
            </w:tcBorders>
            <w:shd w:val="clear" w:color="auto" w:fill="auto"/>
            <w:noWrap/>
            <w:hideMark/>
          </w:tcPr>
          <w:p w14:paraId="241C0501" w14:textId="77777777" w:rsidR="006F0BB0" w:rsidRPr="006F0BB0" w:rsidRDefault="006F0BB0" w:rsidP="007D1DBA">
            <w:pPr>
              <w:jc w:val="right"/>
              <w:rPr>
                <w:sz w:val="18"/>
                <w:szCs w:val="18"/>
                <w:lang w:val="es-419" w:eastAsia="es-419"/>
              </w:rPr>
            </w:pPr>
            <w:r w:rsidRPr="006F0BB0">
              <w:rPr>
                <w:sz w:val="18"/>
                <w:szCs w:val="18"/>
                <w:lang w:val="es-419" w:eastAsia="es-419"/>
              </w:rPr>
              <w:t>1 091 043</w:t>
            </w:r>
          </w:p>
        </w:tc>
        <w:tc>
          <w:tcPr>
            <w:tcW w:w="950" w:type="dxa"/>
            <w:tcBorders>
              <w:top w:val="nil"/>
              <w:left w:val="nil"/>
              <w:bottom w:val="single" w:sz="4" w:space="0" w:color="auto"/>
              <w:right w:val="single" w:sz="4" w:space="0" w:color="auto"/>
            </w:tcBorders>
            <w:shd w:val="clear" w:color="auto" w:fill="auto"/>
            <w:noWrap/>
            <w:hideMark/>
          </w:tcPr>
          <w:p w14:paraId="61F8B5DA" w14:textId="77777777" w:rsidR="006F0BB0" w:rsidRPr="006F0BB0" w:rsidRDefault="006F0BB0" w:rsidP="007D1DBA">
            <w:pPr>
              <w:jc w:val="right"/>
              <w:rPr>
                <w:sz w:val="18"/>
                <w:szCs w:val="18"/>
                <w:lang w:val="es-419" w:eastAsia="es-419"/>
              </w:rPr>
            </w:pPr>
            <w:r w:rsidRPr="006F0BB0">
              <w:rPr>
                <w:sz w:val="18"/>
                <w:szCs w:val="18"/>
                <w:lang w:val="es-419" w:eastAsia="es-419"/>
              </w:rPr>
              <w:t>1 200 147</w:t>
            </w:r>
          </w:p>
        </w:tc>
        <w:tc>
          <w:tcPr>
            <w:tcW w:w="1076" w:type="dxa"/>
            <w:tcBorders>
              <w:top w:val="nil"/>
              <w:left w:val="nil"/>
              <w:bottom w:val="single" w:sz="4" w:space="0" w:color="auto"/>
              <w:right w:val="single" w:sz="4" w:space="0" w:color="auto"/>
            </w:tcBorders>
            <w:shd w:val="clear" w:color="auto" w:fill="auto"/>
            <w:noWrap/>
            <w:hideMark/>
          </w:tcPr>
          <w:p w14:paraId="1D6558C5" w14:textId="77777777" w:rsidR="006F0BB0" w:rsidRPr="006F0BB0" w:rsidRDefault="006F0BB0" w:rsidP="007D1DBA">
            <w:pPr>
              <w:jc w:val="right"/>
              <w:rPr>
                <w:sz w:val="18"/>
                <w:szCs w:val="18"/>
                <w:lang w:val="es-419" w:eastAsia="es-419"/>
              </w:rPr>
            </w:pPr>
            <w:r w:rsidRPr="006F0BB0">
              <w:rPr>
                <w:sz w:val="18"/>
                <w:szCs w:val="18"/>
                <w:lang w:val="es-419" w:eastAsia="es-419"/>
              </w:rPr>
              <w:t>972 536</w:t>
            </w:r>
          </w:p>
        </w:tc>
        <w:tc>
          <w:tcPr>
            <w:tcW w:w="1034" w:type="dxa"/>
            <w:tcBorders>
              <w:top w:val="nil"/>
              <w:left w:val="nil"/>
              <w:bottom w:val="single" w:sz="4" w:space="0" w:color="auto"/>
              <w:right w:val="single" w:sz="4" w:space="0" w:color="auto"/>
            </w:tcBorders>
            <w:shd w:val="clear" w:color="auto" w:fill="auto"/>
            <w:noWrap/>
            <w:hideMark/>
          </w:tcPr>
          <w:p w14:paraId="540B389C" w14:textId="77777777" w:rsidR="006F0BB0" w:rsidRPr="006F0BB0" w:rsidRDefault="006F0BB0" w:rsidP="007D1DBA">
            <w:pPr>
              <w:jc w:val="right"/>
              <w:rPr>
                <w:sz w:val="18"/>
                <w:szCs w:val="18"/>
                <w:lang w:val="es-419" w:eastAsia="es-419"/>
              </w:rPr>
            </w:pPr>
            <w:r w:rsidRPr="006F0BB0">
              <w:rPr>
                <w:sz w:val="18"/>
                <w:szCs w:val="18"/>
                <w:lang w:val="es-419" w:eastAsia="es-419"/>
              </w:rPr>
              <w:t>1 351 609</w:t>
            </w:r>
          </w:p>
        </w:tc>
        <w:tc>
          <w:tcPr>
            <w:tcW w:w="1181" w:type="dxa"/>
            <w:tcBorders>
              <w:top w:val="nil"/>
              <w:left w:val="nil"/>
              <w:bottom w:val="single" w:sz="4" w:space="0" w:color="auto"/>
              <w:right w:val="single" w:sz="4" w:space="0" w:color="auto"/>
            </w:tcBorders>
            <w:shd w:val="clear" w:color="auto" w:fill="auto"/>
            <w:noWrap/>
            <w:hideMark/>
          </w:tcPr>
          <w:p w14:paraId="4D87979B" w14:textId="77777777" w:rsidR="006F0BB0" w:rsidRPr="006F0BB0" w:rsidRDefault="006F0BB0" w:rsidP="007D1DBA">
            <w:pPr>
              <w:jc w:val="right"/>
              <w:rPr>
                <w:sz w:val="18"/>
                <w:szCs w:val="18"/>
                <w:lang w:val="es-419" w:eastAsia="es-419"/>
              </w:rPr>
            </w:pPr>
            <w:r w:rsidRPr="006F0BB0">
              <w:rPr>
                <w:sz w:val="18"/>
                <w:szCs w:val="18"/>
                <w:lang w:val="es-419" w:eastAsia="es-419"/>
              </w:rPr>
              <w:t>88,8%</w:t>
            </w:r>
          </w:p>
        </w:tc>
      </w:tr>
      <w:tr w:rsidR="006F0BB0" w:rsidRPr="006F0BB0" w14:paraId="5435235E"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E26D4B" w14:textId="77777777" w:rsidR="006F0BB0" w:rsidRPr="006F0BB0" w:rsidRDefault="006F0BB0" w:rsidP="007D1DBA">
            <w:pPr>
              <w:jc w:val="left"/>
              <w:rPr>
                <w:sz w:val="18"/>
                <w:szCs w:val="18"/>
                <w:lang w:val="es-419" w:eastAsia="es-419"/>
              </w:rPr>
            </w:pPr>
            <w:r w:rsidRPr="006F0BB0">
              <w:rPr>
                <w:sz w:val="18"/>
                <w:szCs w:val="18"/>
                <w:lang w:val="es-419" w:eastAsia="es-419"/>
              </w:rPr>
              <w:t>Pakistán</w:t>
            </w:r>
          </w:p>
        </w:tc>
        <w:tc>
          <w:tcPr>
            <w:tcW w:w="950" w:type="dxa"/>
            <w:tcBorders>
              <w:top w:val="nil"/>
              <w:left w:val="nil"/>
              <w:bottom w:val="single" w:sz="4" w:space="0" w:color="auto"/>
              <w:right w:val="single" w:sz="4" w:space="0" w:color="auto"/>
            </w:tcBorders>
            <w:shd w:val="clear" w:color="auto" w:fill="auto"/>
            <w:noWrap/>
            <w:hideMark/>
          </w:tcPr>
          <w:p w14:paraId="0A87BDF3" w14:textId="77777777" w:rsidR="006F0BB0" w:rsidRPr="006F0BB0" w:rsidRDefault="006F0BB0" w:rsidP="007D1DBA">
            <w:pPr>
              <w:jc w:val="right"/>
              <w:rPr>
                <w:sz w:val="18"/>
                <w:szCs w:val="18"/>
                <w:lang w:val="es-419" w:eastAsia="es-419"/>
              </w:rPr>
            </w:pPr>
            <w:r w:rsidRPr="006F0BB0">
              <w:rPr>
                <w:sz w:val="18"/>
                <w:szCs w:val="18"/>
                <w:lang w:val="es-419" w:eastAsia="es-419"/>
              </w:rPr>
              <w:t>7 435 247</w:t>
            </w:r>
          </w:p>
        </w:tc>
        <w:tc>
          <w:tcPr>
            <w:tcW w:w="950" w:type="dxa"/>
            <w:tcBorders>
              <w:top w:val="nil"/>
              <w:left w:val="nil"/>
              <w:bottom w:val="single" w:sz="4" w:space="0" w:color="auto"/>
              <w:right w:val="single" w:sz="4" w:space="0" w:color="auto"/>
            </w:tcBorders>
            <w:shd w:val="clear" w:color="auto" w:fill="auto"/>
            <w:noWrap/>
            <w:hideMark/>
          </w:tcPr>
          <w:p w14:paraId="148ED5BE" w14:textId="77777777" w:rsidR="006F0BB0" w:rsidRPr="006F0BB0" w:rsidRDefault="006F0BB0" w:rsidP="007D1DBA">
            <w:pPr>
              <w:jc w:val="right"/>
              <w:rPr>
                <w:sz w:val="18"/>
                <w:szCs w:val="18"/>
                <w:lang w:val="es-419" w:eastAsia="es-419"/>
              </w:rPr>
            </w:pPr>
            <w:r w:rsidRPr="006F0BB0">
              <w:rPr>
                <w:sz w:val="18"/>
                <w:szCs w:val="18"/>
                <w:lang w:val="es-419" w:eastAsia="es-419"/>
              </w:rPr>
              <w:t>7 583 952</w:t>
            </w:r>
          </w:p>
        </w:tc>
        <w:tc>
          <w:tcPr>
            <w:tcW w:w="950" w:type="dxa"/>
            <w:tcBorders>
              <w:top w:val="nil"/>
              <w:left w:val="nil"/>
              <w:bottom w:val="single" w:sz="4" w:space="0" w:color="auto"/>
              <w:right w:val="single" w:sz="4" w:space="0" w:color="auto"/>
            </w:tcBorders>
            <w:shd w:val="clear" w:color="auto" w:fill="auto"/>
            <w:noWrap/>
            <w:hideMark/>
          </w:tcPr>
          <w:p w14:paraId="46AA91EB" w14:textId="77777777" w:rsidR="006F0BB0" w:rsidRPr="006F0BB0" w:rsidRDefault="006F0BB0" w:rsidP="007D1DBA">
            <w:pPr>
              <w:jc w:val="right"/>
              <w:rPr>
                <w:sz w:val="18"/>
                <w:szCs w:val="18"/>
                <w:lang w:val="es-419" w:eastAsia="es-419"/>
              </w:rPr>
            </w:pPr>
            <w:r w:rsidRPr="006F0BB0">
              <w:rPr>
                <w:sz w:val="18"/>
                <w:szCs w:val="18"/>
                <w:lang w:val="es-419" w:eastAsia="es-419"/>
              </w:rPr>
              <w:t>7 735 631</w:t>
            </w:r>
          </w:p>
        </w:tc>
        <w:tc>
          <w:tcPr>
            <w:tcW w:w="978" w:type="dxa"/>
            <w:tcBorders>
              <w:top w:val="nil"/>
              <w:left w:val="nil"/>
              <w:bottom w:val="single" w:sz="4" w:space="0" w:color="auto"/>
              <w:right w:val="single" w:sz="4" w:space="0" w:color="auto"/>
            </w:tcBorders>
            <w:shd w:val="clear" w:color="auto" w:fill="auto"/>
            <w:noWrap/>
            <w:hideMark/>
          </w:tcPr>
          <w:p w14:paraId="18ACD18B" w14:textId="77777777" w:rsidR="006F0BB0" w:rsidRPr="006F0BB0" w:rsidRDefault="006F0BB0" w:rsidP="007D1DBA">
            <w:pPr>
              <w:jc w:val="right"/>
              <w:rPr>
                <w:sz w:val="18"/>
                <w:szCs w:val="18"/>
                <w:lang w:val="es-419" w:eastAsia="es-419"/>
              </w:rPr>
            </w:pPr>
            <w:r w:rsidRPr="006F0BB0">
              <w:rPr>
                <w:sz w:val="18"/>
                <w:szCs w:val="18"/>
                <w:lang w:val="es-419" w:eastAsia="es-419"/>
              </w:rPr>
              <w:t>7 890 344</w:t>
            </w:r>
          </w:p>
        </w:tc>
        <w:tc>
          <w:tcPr>
            <w:tcW w:w="950" w:type="dxa"/>
            <w:tcBorders>
              <w:top w:val="nil"/>
              <w:left w:val="nil"/>
              <w:bottom w:val="single" w:sz="4" w:space="0" w:color="auto"/>
              <w:right w:val="single" w:sz="4" w:space="0" w:color="auto"/>
            </w:tcBorders>
            <w:shd w:val="clear" w:color="auto" w:fill="auto"/>
            <w:noWrap/>
            <w:hideMark/>
          </w:tcPr>
          <w:p w14:paraId="38EF8DEC" w14:textId="77777777" w:rsidR="006F0BB0" w:rsidRPr="006F0BB0" w:rsidRDefault="006F0BB0" w:rsidP="007D1DBA">
            <w:pPr>
              <w:jc w:val="right"/>
              <w:rPr>
                <w:sz w:val="18"/>
                <w:szCs w:val="18"/>
                <w:lang w:val="es-419" w:eastAsia="es-419"/>
              </w:rPr>
            </w:pPr>
            <w:r w:rsidRPr="006F0BB0">
              <w:rPr>
                <w:sz w:val="18"/>
                <w:szCs w:val="18"/>
                <w:lang w:val="es-419" w:eastAsia="es-419"/>
              </w:rPr>
              <w:t>8 679 378</w:t>
            </w:r>
          </w:p>
        </w:tc>
        <w:tc>
          <w:tcPr>
            <w:tcW w:w="950" w:type="dxa"/>
            <w:tcBorders>
              <w:top w:val="nil"/>
              <w:left w:val="nil"/>
              <w:bottom w:val="single" w:sz="4" w:space="0" w:color="auto"/>
              <w:right w:val="single" w:sz="4" w:space="0" w:color="auto"/>
            </w:tcBorders>
            <w:shd w:val="clear" w:color="auto" w:fill="auto"/>
            <w:noWrap/>
            <w:hideMark/>
          </w:tcPr>
          <w:p w14:paraId="59247B10" w14:textId="77777777" w:rsidR="006F0BB0" w:rsidRPr="006F0BB0" w:rsidRDefault="006F0BB0" w:rsidP="007D1DBA">
            <w:pPr>
              <w:jc w:val="right"/>
              <w:rPr>
                <w:sz w:val="18"/>
                <w:szCs w:val="18"/>
                <w:lang w:val="es-419" w:eastAsia="es-419"/>
              </w:rPr>
            </w:pPr>
            <w:r w:rsidRPr="006F0BB0">
              <w:rPr>
                <w:sz w:val="18"/>
                <w:szCs w:val="18"/>
                <w:lang w:val="es-419" w:eastAsia="es-419"/>
              </w:rPr>
              <w:t>9 547 316</w:t>
            </w:r>
          </w:p>
        </w:tc>
        <w:tc>
          <w:tcPr>
            <w:tcW w:w="1076" w:type="dxa"/>
            <w:tcBorders>
              <w:top w:val="nil"/>
              <w:left w:val="nil"/>
              <w:bottom w:val="single" w:sz="4" w:space="0" w:color="auto"/>
              <w:right w:val="single" w:sz="4" w:space="0" w:color="auto"/>
            </w:tcBorders>
            <w:shd w:val="clear" w:color="auto" w:fill="auto"/>
            <w:noWrap/>
            <w:hideMark/>
          </w:tcPr>
          <w:p w14:paraId="6791F6F7" w14:textId="77777777" w:rsidR="006F0BB0" w:rsidRPr="006F0BB0" w:rsidRDefault="006F0BB0" w:rsidP="007D1DBA">
            <w:pPr>
              <w:jc w:val="right"/>
              <w:rPr>
                <w:sz w:val="18"/>
                <w:szCs w:val="18"/>
                <w:lang w:val="es-419" w:eastAsia="es-419"/>
              </w:rPr>
            </w:pPr>
            <w:r w:rsidRPr="006F0BB0">
              <w:rPr>
                <w:sz w:val="18"/>
                <w:szCs w:val="18"/>
                <w:lang w:val="es-419" w:eastAsia="es-419"/>
              </w:rPr>
              <w:t>7 736 642</w:t>
            </w:r>
          </w:p>
        </w:tc>
        <w:tc>
          <w:tcPr>
            <w:tcW w:w="1034" w:type="dxa"/>
            <w:tcBorders>
              <w:top w:val="nil"/>
              <w:left w:val="nil"/>
              <w:bottom w:val="single" w:sz="4" w:space="0" w:color="auto"/>
              <w:right w:val="single" w:sz="4" w:space="0" w:color="auto"/>
            </w:tcBorders>
            <w:shd w:val="clear" w:color="auto" w:fill="auto"/>
            <w:noWrap/>
            <w:hideMark/>
          </w:tcPr>
          <w:p w14:paraId="65BC5FFC" w14:textId="77777777" w:rsidR="006F0BB0" w:rsidRPr="006F0BB0" w:rsidRDefault="006F0BB0" w:rsidP="007D1DBA">
            <w:pPr>
              <w:jc w:val="right"/>
              <w:rPr>
                <w:sz w:val="18"/>
                <w:szCs w:val="18"/>
                <w:lang w:val="es-419" w:eastAsia="es-419"/>
              </w:rPr>
            </w:pPr>
            <w:r w:rsidRPr="006F0BB0">
              <w:rPr>
                <w:sz w:val="18"/>
                <w:szCs w:val="18"/>
                <w:lang w:val="es-419" w:eastAsia="es-419"/>
              </w:rPr>
              <w:t>10 682 481</w:t>
            </w:r>
          </w:p>
        </w:tc>
        <w:tc>
          <w:tcPr>
            <w:tcW w:w="1181" w:type="dxa"/>
            <w:tcBorders>
              <w:top w:val="nil"/>
              <w:left w:val="nil"/>
              <w:bottom w:val="single" w:sz="4" w:space="0" w:color="auto"/>
              <w:right w:val="single" w:sz="4" w:space="0" w:color="auto"/>
            </w:tcBorders>
            <w:shd w:val="clear" w:color="auto" w:fill="auto"/>
            <w:noWrap/>
            <w:hideMark/>
          </w:tcPr>
          <w:p w14:paraId="06BB22DD" w14:textId="77777777" w:rsidR="006F0BB0" w:rsidRPr="006F0BB0" w:rsidRDefault="006F0BB0" w:rsidP="007D1DBA">
            <w:pPr>
              <w:jc w:val="right"/>
              <w:rPr>
                <w:sz w:val="18"/>
                <w:szCs w:val="18"/>
                <w:lang w:val="es-419" w:eastAsia="es-419"/>
              </w:rPr>
            </w:pPr>
            <w:r w:rsidRPr="006F0BB0">
              <w:rPr>
                <w:sz w:val="18"/>
                <w:szCs w:val="18"/>
                <w:lang w:val="es-419" w:eastAsia="es-419"/>
              </w:rPr>
              <w:t>89,4%</w:t>
            </w:r>
          </w:p>
        </w:tc>
      </w:tr>
      <w:tr w:rsidR="006F0BB0" w:rsidRPr="006F0BB0" w14:paraId="3D4E0CF7"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9AB800" w14:textId="77777777" w:rsidR="006F0BB0" w:rsidRPr="006F0BB0" w:rsidRDefault="006F0BB0" w:rsidP="007D1DBA">
            <w:pPr>
              <w:jc w:val="left"/>
              <w:rPr>
                <w:sz w:val="18"/>
                <w:szCs w:val="18"/>
                <w:lang w:val="es-419" w:eastAsia="es-419"/>
              </w:rPr>
            </w:pPr>
            <w:r w:rsidRPr="006F0BB0">
              <w:rPr>
                <w:sz w:val="18"/>
                <w:szCs w:val="18"/>
                <w:lang w:val="es-419" w:eastAsia="es-419"/>
              </w:rPr>
              <w:t>Guyana</w:t>
            </w:r>
          </w:p>
        </w:tc>
        <w:tc>
          <w:tcPr>
            <w:tcW w:w="950" w:type="dxa"/>
            <w:tcBorders>
              <w:top w:val="nil"/>
              <w:left w:val="nil"/>
              <w:bottom w:val="single" w:sz="4" w:space="0" w:color="auto"/>
              <w:right w:val="single" w:sz="4" w:space="0" w:color="auto"/>
            </w:tcBorders>
            <w:shd w:val="clear" w:color="auto" w:fill="auto"/>
            <w:noWrap/>
            <w:hideMark/>
          </w:tcPr>
          <w:p w14:paraId="6B918C39" w14:textId="77777777" w:rsidR="006F0BB0" w:rsidRPr="006F0BB0" w:rsidRDefault="006F0BB0" w:rsidP="007D1DBA">
            <w:pPr>
              <w:jc w:val="right"/>
              <w:rPr>
                <w:sz w:val="18"/>
                <w:szCs w:val="18"/>
                <w:lang w:val="es-419" w:eastAsia="es-419"/>
              </w:rPr>
            </w:pPr>
            <w:r w:rsidRPr="006F0BB0">
              <w:rPr>
                <w:sz w:val="18"/>
                <w:szCs w:val="18"/>
                <w:lang w:val="es-419" w:eastAsia="es-419"/>
              </w:rPr>
              <w:t>92 782</w:t>
            </w:r>
          </w:p>
        </w:tc>
        <w:tc>
          <w:tcPr>
            <w:tcW w:w="950" w:type="dxa"/>
            <w:tcBorders>
              <w:top w:val="nil"/>
              <w:left w:val="nil"/>
              <w:bottom w:val="single" w:sz="4" w:space="0" w:color="auto"/>
              <w:right w:val="single" w:sz="4" w:space="0" w:color="auto"/>
            </w:tcBorders>
            <w:shd w:val="clear" w:color="auto" w:fill="auto"/>
            <w:noWrap/>
            <w:hideMark/>
          </w:tcPr>
          <w:p w14:paraId="49BD57B3" w14:textId="77777777" w:rsidR="006F0BB0" w:rsidRPr="006F0BB0" w:rsidRDefault="006F0BB0" w:rsidP="007D1DBA">
            <w:pPr>
              <w:jc w:val="right"/>
              <w:rPr>
                <w:sz w:val="18"/>
                <w:szCs w:val="18"/>
                <w:lang w:val="es-419" w:eastAsia="es-419"/>
              </w:rPr>
            </w:pPr>
            <w:r w:rsidRPr="006F0BB0">
              <w:rPr>
                <w:sz w:val="18"/>
                <w:szCs w:val="18"/>
                <w:lang w:val="es-419" w:eastAsia="es-419"/>
              </w:rPr>
              <w:t>94 638</w:t>
            </w:r>
          </w:p>
        </w:tc>
        <w:tc>
          <w:tcPr>
            <w:tcW w:w="950" w:type="dxa"/>
            <w:tcBorders>
              <w:top w:val="nil"/>
              <w:left w:val="nil"/>
              <w:bottom w:val="single" w:sz="4" w:space="0" w:color="auto"/>
              <w:right w:val="single" w:sz="4" w:space="0" w:color="auto"/>
            </w:tcBorders>
            <w:shd w:val="clear" w:color="auto" w:fill="auto"/>
            <w:noWrap/>
            <w:hideMark/>
          </w:tcPr>
          <w:p w14:paraId="7FDA4491" w14:textId="77777777" w:rsidR="006F0BB0" w:rsidRPr="006F0BB0" w:rsidRDefault="006F0BB0" w:rsidP="007D1DBA">
            <w:pPr>
              <w:jc w:val="right"/>
              <w:rPr>
                <w:sz w:val="18"/>
                <w:szCs w:val="18"/>
                <w:lang w:val="es-419" w:eastAsia="es-419"/>
              </w:rPr>
            </w:pPr>
            <w:r w:rsidRPr="006F0BB0">
              <w:rPr>
                <w:sz w:val="18"/>
                <w:szCs w:val="18"/>
                <w:lang w:val="es-419" w:eastAsia="es-419"/>
              </w:rPr>
              <w:t>96 530</w:t>
            </w:r>
          </w:p>
        </w:tc>
        <w:tc>
          <w:tcPr>
            <w:tcW w:w="978" w:type="dxa"/>
            <w:tcBorders>
              <w:top w:val="nil"/>
              <w:left w:val="nil"/>
              <w:bottom w:val="single" w:sz="4" w:space="0" w:color="auto"/>
              <w:right w:val="single" w:sz="4" w:space="0" w:color="auto"/>
            </w:tcBorders>
            <w:shd w:val="clear" w:color="auto" w:fill="auto"/>
            <w:noWrap/>
            <w:hideMark/>
          </w:tcPr>
          <w:p w14:paraId="73856702" w14:textId="77777777" w:rsidR="006F0BB0" w:rsidRPr="006F0BB0" w:rsidRDefault="006F0BB0" w:rsidP="007D1DBA">
            <w:pPr>
              <w:jc w:val="right"/>
              <w:rPr>
                <w:sz w:val="18"/>
                <w:szCs w:val="18"/>
                <w:lang w:val="es-419" w:eastAsia="es-419"/>
              </w:rPr>
            </w:pPr>
            <w:r w:rsidRPr="006F0BB0">
              <w:rPr>
                <w:sz w:val="18"/>
                <w:szCs w:val="18"/>
                <w:lang w:val="es-419" w:eastAsia="es-419"/>
              </w:rPr>
              <w:t>98 461</w:t>
            </w:r>
          </w:p>
        </w:tc>
        <w:tc>
          <w:tcPr>
            <w:tcW w:w="950" w:type="dxa"/>
            <w:tcBorders>
              <w:top w:val="nil"/>
              <w:left w:val="nil"/>
              <w:bottom w:val="single" w:sz="4" w:space="0" w:color="auto"/>
              <w:right w:val="single" w:sz="4" w:space="0" w:color="auto"/>
            </w:tcBorders>
            <w:shd w:val="clear" w:color="auto" w:fill="auto"/>
            <w:noWrap/>
            <w:hideMark/>
          </w:tcPr>
          <w:p w14:paraId="5FCDAD23" w14:textId="77777777" w:rsidR="006F0BB0" w:rsidRPr="006F0BB0" w:rsidRDefault="006F0BB0" w:rsidP="007D1DBA">
            <w:pPr>
              <w:jc w:val="right"/>
              <w:rPr>
                <w:sz w:val="18"/>
                <w:szCs w:val="18"/>
                <w:lang w:val="es-419" w:eastAsia="es-419"/>
              </w:rPr>
            </w:pPr>
            <w:r w:rsidRPr="006F0BB0">
              <w:rPr>
                <w:sz w:val="18"/>
                <w:szCs w:val="18"/>
                <w:lang w:val="es-419" w:eastAsia="es-419"/>
              </w:rPr>
              <w:t>108 307</w:t>
            </w:r>
          </w:p>
        </w:tc>
        <w:tc>
          <w:tcPr>
            <w:tcW w:w="950" w:type="dxa"/>
            <w:tcBorders>
              <w:top w:val="nil"/>
              <w:left w:val="nil"/>
              <w:bottom w:val="single" w:sz="4" w:space="0" w:color="auto"/>
              <w:right w:val="single" w:sz="4" w:space="0" w:color="auto"/>
            </w:tcBorders>
            <w:shd w:val="clear" w:color="auto" w:fill="auto"/>
            <w:noWrap/>
            <w:hideMark/>
          </w:tcPr>
          <w:p w14:paraId="707809D4" w14:textId="77777777" w:rsidR="006F0BB0" w:rsidRPr="006F0BB0" w:rsidRDefault="006F0BB0" w:rsidP="007D1DBA">
            <w:pPr>
              <w:jc w:val="right"/>
              <w:rPr>
                <w:sz w:val="18"/>
                <w:szCs w:val="18"/>
                <w:lang w:val="es-419" w:eastAsia="es-419"/>
              </w:rPr>
            </w:pPr>
            <w:r w:rsidRPr="006F0BB0">
              <w:rPr>
                <w:sz w:val="18"/>
                <w:szCs w:val="18"/>
                <w:lang w:val="es-419" w:eastAsia="es-419"/>
              </w:rPr>
              <w:t>119 138</w:t>
            </w:r>
          </w:p>
        </w:tc>
        <w:tc>
          <w:tcPr>
            <w:tcW w:w="1076" w:type="dxa"/>
            <w:tcBorders>
              <w:top w:val="nil"/>
              <w:left w:val="nil"/>
              <w:bottom w:val="single" w:sz="4" w:space="0" w:color="auto"/>
              <w:right w:val="single" w:sz="4" w:space="0" w:color="auto"/>
            </w:tcBorders>
            <w:shd w:val="clear" w:color="auto" w:fill="auto"/>
            <w:noWrap/>
            <w:hideMark/>
          </w:tcPr>
          <w:p w14:paraId="481DFC5B" w14:textId="77777777" w:rsidR="006F0BB0" w:rsidRPr="006F0BB0" w:rsidRDefault="006F0BB0" w:rsidP="007D1DBA">
            <w:pPr>
              <w:jc w:val="right"/>
              <w:rPr>
                <w:sz w:val="18"/>
                <w:szCs w:val="18"/>
                <w:lang w:val="es-419" w:eastAsia="es-419"/>
              </w:rPr>
            </w:pPr>
            <w:r w:rsidRPr="006F0BB0">
              <w:rPr>
                <w:sz w:val="18"/>
                <w:szCs w:val="18"/>
                <w:lang w:val="es-419" w:eastAsia="es-419"/>
              </w:rPr>
              <w:t>96 543</w:t>
            </w:r>
          </w:p>
        </w:tc>
        <w:tc>
          <w:tcPr>
            <w:tcW w:w="1034" w:type="dxa"/>
            <w:tcBorders>
              <w:top w:val="nil"/>
              <w:left w:val="nil"/>
              <w:bottom w:val="single" w:sz="4" w:space="0" w:color="auto"/>
              <w:right w:val="single" w:sz="4" w:space="0" w:color="auto"/>
            </w:tcBorders>
            <w:shd w:val="clear" w:color="auto" w:fill="auto"/>
            <w:noWrap/>
            <w:hideMark/>
          </w:tcPr>
          <w:p w14:paraId="41671017" w14:textId="77777777" w:rsidR="006F0BB0" w:rsidRPr="006F0BB0" w:rsidRDefault="006F0BB0" w:rsidP="007D1DBA">
            <w:pPr>
              <w:jc w:val="right"/>
              <w:rPr>
                <w:sz w:val="18"/>
                <w:szCs w:val="18"/>
                <w:lang w:val="es-419" w:eastAsia="es-419"/>
              </w:rPr>
            </w:pPr>
            <w:r w:rsidRPr="006F0BB0">
              <w:rPr>
                <w:sz w:val="18"/>
                <w:szCs w:val="18"/>
                <w:lang w:val="es-419" w:eastAsia="es-419"/>
              </w:rPr>
              <w:t>133 033</w:t>
            </w:r>
          </w:p>
        </w:tc>
        <w:tc>
          <w:tcPr>
            <w:tcW w:w="1181" w:type="dxa"/>
            <w:tcBorders>
              <w:top w:val="nil"/>
              <w:left w:val="nil"/>
              <w:bottom w:val="single" w:sz="4" w:space="0" w:color="auto"/>
              <w:right w:val="single" w:sz="4" w:space="0" w:color="auto"/>
            </w:tcBorders>
            <w:shd w:val="clear" w:color="auto" w:fill="auto"/>
            <w:noWrap/>
            <w:hideMark/>
          </w:tcPr>
          <w:p w14:paraId="29E124D0" w14:textId="77777777" w:rsidR="006F0BB0" w:rsidRPr="006F0BB0" w:rsidRDefault="006F0BB0" w:rsidP="007D1DBA">
            <w:pPr>
              <w:jc w:val="right"/>
              <w:rPr>
                <w:sz w:val="18"/>
                <w:szCs w:val="18"/>
                <w:lang w:val="es-419" w:eastAsia="es-419"/>
              </w:rPr>
            </w:pPr>
            <w:r w:rsidRPr="006F0BB0">
              <w:rPr>
                <w:sz w:val="18"/>
                <w:szCs w:val="18"/>
                <w:lang w:val="es-419" w:eastAsia="es-419"/>
              </w:rPr>
              <w:t>89,6%</w:t>
            </w:r>
          </w:p>
        </w:tc>
      </w:tr>
      <w:tr w:rsidR="006F0BB0" w:rsidRPr="006F0BB0" w14:paraId="5A5F5F5E"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542B8E"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lastRenderedPageBreak/>
              <w:t>Zimbabwe</w:t>
            </w:r>
            <w:proofErr w:type="spellEnd"/>
          </w:p>
        </w:tc>
        <w:tc>
          <w:tcPr>
            <w:tcW w:w="950" w:type="dxa"/>
            <w:tcBorders>
              <w:top w:val="nil"/>
              <w:left w:val="nil"/>
              <w:bottom w:val="single" w:sz="4" w:space="0" w:color="auto"/>
              <w:right w:val="single" w:sz="4" w:space="0" w:color="auto"/>
            </w:tcBorders>
            <w:shd w:val="clear" w:color="auto" w:fill="auto"/>
            <w:noWrap/>
            <w:hideMark/>
          </w:tcPr>
          <w:p w14:paraId="1617DFE6" w14:textId="77777777" w:rsidR="006F0BB0" w:rsidRPr="006F0BB0" w:rsidRDefault="006F0BB0" w:rsidP="007D1DBA">
            <w:pPr>
              <w:jc w:val="right"/>
              <w:rPr>
                <w:sz w:val="18"/>
                <w:szCs w:val="18"/>
                <w:lang w:val="es-419" w:eastAsia="es-419"/>
              </w:rPr>
            </w:pPr>
            <w:r w:rsidRPr="006F0BB0">
              <w:rPr>
                <w:sz w:val="18"/>
                <w:szCs w:val="18"/>
                <w:lang w:val="es-419" w:eastAsia="es-419"/>
              </w:rPr>
              <w:t>1 024 385</w:t>
            </w:r>
          </w:p>
        </w:tc>
        <w:tc>
          <w:tcPr>
            <w:tcW w:w="950" w:type="dxa"/>
            <w:tcBorders>
              <w:top w:val="nil"/>
              <w:left w:val="nil"/>
              <w:bottom w:val="single" w:sz="4" w:space="0" w:color="auto"/>
              <w:right w:val="single" w:sz="4" w:space="0" w:color="auto"/>
            </w:tcBorders>
            <w:shd w:val="clear" w:color="auto" w:fill="auto"/>
            <w:noWrap/>
            <w:hideMark/>
          </w:tcPr>
          <w:p w14:paraId="2CF53107" w14:textId="77777777" w:rsidR="006F0BB0" w:rsidRPr="006F0BB0" w:rsidRDefault="006F0BB0" w:rsidP="007D1DBA">
            <w:pPr>
              <w:jc w:val="right"/>
              <w:rPr>
                <w:sz w:val="18"/>
                <w:szCs w:val="18"/>
                <w:lang w:val="es-419" w:eastAsia="es-419"/>
              </w:rPr>
            </w:pPr>
            <w:r w:rsidRPr="006F0BB0">
              <w:rPr>
                <w:sz w:val="18"/>
                <w:szCs w:val="18"/>
                <w:lang w:val="es-419" w:eastAsia="es-419"/>
              </w:rPr>
              <w:t>1 044 873</w:t>
            </w:r>
          </w:p>
        </w:tc>
        <w:tc>
          <w:tcPr>
            <w:tcW w:w="950" w:type="dxa"/>
            <w:tcBorders>
              <w:top w:val="nil"/>
              <w:left w:val="nil"/>
              <w:bottom w:val="single" w:sz="4" w:space="0" w:color="auto"/>
              <w:right w:val="single" w:sz="4" w:space="0" w:color="auto"/>
            </w:tcBorders>
            <w:shd w:val="clear" w:color="auto" w:fill="auto"/>
            <w:noWrap/>
            <w:hideMark/>
          </w:tcPr>
          <w:p w14:paraId="5566B567" w14:textId="77777777" w:rsidR="006F0BB0" w:rsidRPr="006F0BB0" w:rsidRDefault="006F0BB0" w:rsidP="007D1DBA">
            <w:pPr>
              <w:jc w:val="right"/>
              <w:rPr>
                <w:sz w:val="18"/>
                <w:szCs w:val="18"/>
                <w:lang w:val="es-419" w:eastAsia="es-419"/>
              </w:rPr>
            </w:pPr>
            <w:r w:rsidRPr="006F0BB0">
              <w:rPr>
                <w:sz w:val="18"/>
                <w:szCs w:val="18"/>
                <w:lang w:val="es-419" w:eastAsia="es-419"/>
              </w:rPr>
              <w:t>1 065 770</w:t>
            </w:r>
          </w:p>
        </w:tc>
        <w:tc>
          <w:tcPr>
            <w:tcW w:w="978" w:type="dxa"/>
            <w:tcBorders>
              <w:top w:val="nil"/>
              <w:left w:val="nil"/>
              <w:bottom w:val="single" w:sz="4" w:space="0" w:color="auto"/>
              <w:right w:val="single" w:sz="4" w:space="0" w:color="auto"/>
            </w:tcBorders>
            <w:shd w:val="clear" w:color="auto" w:fill="auto"/>
            <w:noWrap/>
            <w:hideMark/>
          </w:tcPr>
          <w:p w14:paraId="604A24C8" w14:textId="77777777" w:rsidR="006F0BB0" w:rsidRPr="006F0BB0" w:rsidRDefault="006F0BB0" w:rsidP="007D1DBA">
            <w:pPr>
              <w:jc w:val="right"/>
              <w:rPr>
                <w:sz w:val="18"/>
                <w:szCs w:val="18"/>
                <w:lang w:val="es-419" w:eastAsia="es-419"/>
              </w:rPr>
            </w:pPr>
            <w:r w:rsidRPr="006F0BB0">
              <w:rPr>
                <w:sz w:val="18"/>
                <w:szCs w:val="18"/>
                <w:lang w:val="es-419" w:eastAsia="es-419"/>
              </w:rPr>
              <w:t>1 087 086</w:t>
            </w:r>
          </w:p>
        </w:tc>
        <w:tc>
          <w:tcPr>
            <w:tcW w:w="950" w:type="dxa"/>
            <w:tcBorders>
              <w:top w:val="nil"/>
              <w:left w:val="nil"/>
              <w:bottom w:val="single" w:sz="4" w:space="0" w:color="auto"/>
              <w:right w:val="single" w:sz="4" w:space="0" w:color="auto"/>
            </w:tcBorders>
            <w:shd w:val="clear" w:color="auto" w:fill="auto"/>
            <w:noWrap/>
            <w:hideMark/>
          </w:tcPr>
          <w:p w14:paraId="1771E9DF" w14:textId="77777777" w:rsidR="006F0BB0" w:rsidRPr="006F0BB0" w:rsidRDefault="006F0BB0" w:rsidP="007D1DBA">
            <w:pPr>
              <w:jc w:val="right"/>
              <w:rPr>
                <w:sz w:val="18"/>
                <w:szCs w:val="18"/>
                <w:lang w:val="es-419" w:eastAsia="es-419"/>
              </w:rPr>
            </w:pPr>
            <w:r w:rsidRPr="006F0BB0">
              <w:rPr>
                <w:sz w:val="18"/>
                <w:szCs w:val="18"/>
                <w:lang w:val="es-419" w:eastAsia="es-419"/>
              </w:rPr>
              <w:t>1 195 794</w:t>
            </w:r>
          </w:p>
        </w:tc>
        <w:tc>
          <w:tcPr>
            <w:tcW w:w="950" w:type="dxa"/>
            <w:tcBorders>
              <w:top w:val="nil"/>
              <w:left w:val="nil"/>
              <w:bottom w:val="single" w:sz="4" w:space="0" w:color="auto"/>
              <w:right w:val="single" w:sz="4" w:space="0" w:color="auto"/>
            </w:tcBorders>
            <w:shd w:val="clear" w:color="auto" w:fill="auto"/>
            <w:noWrap/>
            <w:hideMark/>
          </w:tcPr>
          <w:p w14:paraId="0825C1FE" w14:textId="77777777" w:rsidR="006F0BB0" w:rsidRPr="006F0BB0" w:rsidRDefault="006F0BB0" w:rsidP="007D1DBA">
            <w:pPr>
              <w:jc w:val="right"/>
              <w:rPr>
                <w:sz w:val="18"/>
                <w:szCs w:val="18"/>
                <w:lang w:val="es-419" w:eastAsia="es-419"/>
              </w:rPr>
            </w:pPr>
            <w:r w:rsidRPr="006F0BB0">
              <w:rPr>
                <w:sz w:val="18"/>
                <w:szCs w:val="18"/>
                <w:lang w:val="es-419" w:eastAsia="es-419"/>
              </w:rPr>
              <w:t>1 315 374</w:t>
            </w:r>
          </w:p>
        </w:tc>
        <w:tc>
          <w:tcPr>
            <w:tcW w:w="1076" w:type="dxa"/>
            <w:tcBorders>
              <w:top w:val="nil"/>
              <w:left w:val="nil"/>
              <w:bottom w:val="single" w:sz="4" w:space="0" w:color="auto"/>
              <w:right w:val="single" w:sz="4" w:space="0" w:color="auto"/>
            </w:tcBorders>
            <w:shd w:val="clear" w:color="auto" w:fill="auto"/>
            <w:noWrap/>
            <w:hideMark/>
          </w:tcPr>
          <w:p w14:paraId="2B8FE6AC" w14:textId="77777777" w:rsidR="006F0BB0" w:rsidRPr="006F0BB0" w:rsidRDefault="006F0BB0" w:rsidP="007D1DBA">
            <w:pPr>
              <w:jc w:val="right"/>
              <w:rPr>
                <w:sz w:val="18"/>
                <w:szCs w:val="18"/>
                <w:lang w:val="es-419" w:eastAsia="es-419"/>
              </w:rPr>
            </w:pPr>
            <w:r w:rsidRPr="006F0BB0">
              <w:rPr>
                <w:sz w:val="18"/>
                <w:szCs w:val="18"/>
                <w:lang w:val="es-419" w:eastAsia="es-419"/>
              </w:rPr>
              <w:t>1 065 909</w:t>
            </w:r>
          </w:p>
        </w:tc>
        <w:tc>
          <w:tcPr>
            <w:tcW w:w="1034" w:type="dxa"/>
            <w:tcBorders>
              <w:top w:val="nil"/>
              <w:left w:val="nil"/>
              <w:bottom w:val="single" w:sz="4" w:space="0" w:color="auto"/>
              <w:right w:val="single" w:sz="4" w:space="0" w:color="auto"/>
            </w:tcBorders>
            <w:shd w:val="clear" w:color="auto" w:fill="auto"/>
            <w:noWrap/>
            <w:hideMark/>
          </w:tcPr>
          <w:p w14:paraId="4A910D34" w14:textId="77777777" w:rsidR="006F0BB0" w:rsidRPr="006F0BB0" w:rsidRDefault="006F0BB0" w:rsidP="007D1DBA">
            <w:pPr>
              <w:jc w:val="right"/>
              <w:rPr>
                <w:sz w:val="18"/>
                <w:szCs w:val="18"/>
                <w:lang w:val="es-419" w:eastAsia="es-419"/>
              </w:rPr>
            </w:pPr>
            <w:r w:rsidRPr="006F0BB0">
              <w:rPr>
                <w:sz w:val="18"/>
                <w:szCs w:val="18"/>
                <w:lang w:val="es-419" w:eastAsia="es-419"/>
              </w:rPr>
              <w:t>1 430 411</w:t>
            </w:r>
          </w:p>
        </w:tc>
        <w:tc>
          <w:tcPr>
            <w:tcW w:w="1181" w:type="dxa"/>
            <w:tcBorders>
              <w:top w:val="nil"/>
              <w:left w:val="nil"/>
              <w:bottom w:val="single" w:sz="4" w:space="0" w:color="auto"/>
              <w:right w:val="single" w:sz="4" w:space="0" w:color="auto"/>
            </w:tcBorders>
            <w:shd w:val="clear" w:color="auto" w:fill="auto"/>
            <w:noWrap/>
            <w:hideMark/>
          </w:tcPr>
          <w:p w14:paraId="39B470FD" w14:textId="77777777" w:rsidR="006F0BB0" w:rsidRPr="006F0BB0" w:rsidRDefault="006F0BB0" w:rsidP="007D1DBA">
            <w:pPr>
              <w:jc w:val="right"/>
              <w:rPr>
                <w:sz w:val="18"/>
                <w:szCs w:val="18"/>
                <w:lang w:val="es-419" w:eastAsia="es-419"/>
              </w:rPr>
            </w:pPr>
            <w:r w:rsidRPr="006F0BB0">
              <w:rPr>
                <w:sz w:val="18"/>
                <w:szCs w:val="18"/>
                <w:lang w:val="es-419" w:eastAsia="es-419"/>
              </w:rPr>
              <w:t>92,0%</w:t>
            </w:r>
          </w:p>
        </w:tc>
      </w:tr>
      <w:tr w:rsidR="006F0BB0" w:rsidRPr="006F0BB0" w14:paraId="7DB767E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DA819A" w14:textId="77777777" w:rsidR="006F0BB0" w:rsidRPr="006F0BB0" w:rsidRDefault="006F0BB0" w:rsidP="007D1DBA">
            <w:pPr>
              <w:jc w:val="left"/>
              <w:rPr>
                <w:sz w:val="18"/>
                <w:szCs w:val="18"/>
                <w:lang w:val="es-419" w:eastAsia="es-419"/>
              </w:rPr>
            </w:pPr>
            <w:r w:rsidRPr="006F0BB0">
              <w:rPr>
                <w:sz w:val="18"/>
                <w:szCs w:val="18"/>
                <w:lang w:val="es-419" w:eastAsia="es-419"/>
              </w:rPr>
              <w:t>Guinea</w:t>
            </w:r>
          </w:p>
        </w:tc>
        <w:tc>
          <w:tcPr>
            <w:tcW w:w="950" w:type="dxa"/>
            <w:tcBorders>
              <w:top w:val="nil"/>
              <w:left w:val="nil"/>
              <w:bottom w:val="single" w:sz="4" w:space="0" w:color="auto"/>
              <w:right w:val="single" w:sz="4" w:space="0" w:color="auto"/>
            </w:tcBorders>
            <w:shd w:val="clear" w:color="auto" w:fill="auto"/>
            <w:noWrap/>
            <w:hideMark/>
          </w:tcPr>
          <w:p w14:paraId="34AAAC5D" w14:textId="77777777" w:rsidR="006F0BB0" w:rsidRPr="006F0BB0" w:rsidRDefault="006F0BB0" w:rsidP="007D1DBA">
            <w:pPr>
              <w:jc w:val="right"/>
              <w:rPr>
                <w:sz w:val="18"/>
                <w:szCs w:val="18"/>
                <w:lang w:val="es-419" w:eastAsia="es-419"/>
              </w:rPr>
            </w:pPr>
            <w:r w:rsidRPr="006F0BB0">
              <w:rPr>
                <w:sz w:val="18"/>
                <w:szCs w:val="18"/>
                <w:lang w:val="es-419" w:eastAsia="es-419"/>
              </w:rPr>
              <w:t>1 391 166</w:t>
            </w:r>
          </w:p>
        </w:tc>
        <w:tc>
          <w:tcPr>
            <w:tcW w:w="950" w:type="dxa"/>
            <w:tcBorders>
              <w:top w:val="nil"/>
              <w:left w:val="nil"/>
              <w:bottom w:val="single" w:sz="4" w:space="0" w:color="auto"/>
              <w:right w:val="single" w:sz="4" w:space="0" w:color="auto"/>
            </w:tcBorders>
            <w:shd w:val="clear" w:color="auto" w:fill="auto"/>
            <w:noWrap/>
            <w:hideMark/>
          </w:tcPr>
          <w:p w14:paraId="12A34733" w14:textId="77777777" w:rsidR="006F0BB0" w:rsidRPr="006F0BB0" w:rsidRDefault="006F0BB0" w:rsidP="007D1DBA">
            <w:pPr>
              <w:jc w:val="right"/>
              <w:rPr>
                <w:sz w:val="18"/>
                <w:szCs w:val="18"/>
                <w:lang w:val="es-419" w:eastAsia="es-419"/>
              </w:rPr>
            </w:pPr>
            <w:r w:rsidRPr="006F0BB0">
              <w:rPr>
                <w:sz w:val="18"/>
                <w:szCs w:val="18"/>
                <w:lang w:val="es-419" w:eastAsia="es-419"/>
              </w:rPr>
              <w:t>1 418 989</w:t>
            </w:r>
          </w:p>
        </w:tc>
        <w:tc>
          <w:tcPr>
            <w:tcW w:w="950" w:type="dxa"/>
            <w:tcBorders>
              <w:top w:val="nil"/>
              <w:left w:val="nil"/>
              <w:bottom w:val="single" w:sz="4" w:space="0" w:color="auto"/>
              <w:right w:val="single" w:sz="4" w:space="0" w:color="auto"/>
            </w:tcBorders>
            <w:shd w:val="clear" w:color="auto" w:fill="auto"/>
            <w:noWrap/>
            <w:hideMark/>
          </w:tcPr>
          <w:p w14:paraId="1CEF3A15" w14:textId="77777777" w:rsidR="006F0BB0" w:rsidRPr="006F0BB0" w:rsidRDefault="006F0BB0" w:rsidP="007D1DBA">
            <w:pPr>
              <w:jc w:val="right"/>
              <w:rPr>
                <w:sz w:val="18"/>
                <w:szCs w:val="18"/>
                <w:lang w:val="es-419" w:eastAsia="es-419"/>
              </w:rPr>
            </w:pPr>
            <w:r w:rsidRPr="006F0BB0">
              <w:rPr>
                <w:sz w:val="18"/>
                <w:szCs w:val="18"/>
                <w:lang w:val="es-419" w:eastAsia="es-419"/>
              </w:rPr>
              <w:t>1 447 369</w:t>
            </w:r>
          </w:p>
        </w:tc>
        <w:tc>
          <w:tcPr>
            <w:tcW w:w="978" w:type="dxa"/>
            <w:tcBorders>
              <w:top w:val="nil"/>
              <w:left w:val="nil"/>
              <w:bottom w:val="single" w:sz="4" w:space="0" w:color="auto"/>
              <w:right w:val="single" w:sz="4" w:space="0" w:color="auto"/>
            </w:tcBorders>
            <w:shd w:val="clear" w:color="auto" w:fill="auto"/>
            <w:noWrap/>
            <w:hideMark/>
          </w:tcPr>
          <w:p w14:paraId="20940734" w14:textId="77777777" w:rsidR="006F0BB0" w:rsidRPr="006F0BB0" w:rsidRDefault="006F0BB0" w:rsidP="007D1DBA">
            <w:pPr>
              <w:jc w:val="right"/>
              <w:rPr>
                <w:sz w:val="18"/>
                <w:szCs w:val="18"/>
                <w:lang w:val="es-419" w:eastAsia="es-419"/>
              </w:rPr>
            </w:pPr>
            <w:r w:rsidRPr="006F0BB0">
              <w:rPr>
                <w:sz w:val="18"/>
                <w:szCs w:val="18"/>
                <w:lang w:val="es-419" w:eastAsia="es-419"/>
              </w:rPr>
              <w:t>1 476 316</w:t>
            </w:r>
          </w:p>
        </w:tc>
        <w:tc>
          <w:tcPr>
            <w:tcW w:w="950" w:type="dxa"/>
            <w:tcBorders>
              <w:top w:val="nil"/>
              <w:left w:val="nil"/>
              <w:bottom w:val="single" w:sz="4" w:space="0" w:color="auto"/>
              <w:right w:val="single" w:sz="4" w:space="0" w:color="auto"/>
            </w:tcBorders>
            <w:shd w:val="clear" w:color="auto" w:fill="auto"/>
            <w:noWrap/>
            <w:hideMark/>
          </w:tcPr>
          <w:p w14:paraId="69E52BFB" w14:textId="77777777" w:rsidR="006F0BB0" w:rsidRPr="006F0BB0" w:rsidRDefault="006F0BB0" w:rsidP="007D1DBA">
            <w:pPr>
              <w:jc w:val="right"/>
              <w:rPr>
                <w:sz w:val="18"/>
                <w:szCs w:val="18"/>
                <w:lang w:val="es-419" w:eastAsia="es-419"/>
              </w:rPr>
            </w:pPr>
            <w:r w:rsidRPr="006F0BB0">
              <w:rPr>
                <w:sz w:val="18"/>
                <w:szCs w:val="18"/>
                <w:lang w:val="es-419" w:eastAsia="es-419"/>
              </w:rPr>
              <w:t>1 623 948</w:t>
            </w:r>
          </w:p>
        </w:tc>
        <w:tc>
          <w:tcPr>
            <w:tcW w:w="950" w:type="dxa"/>
            <w:tcBorders>
              <w:top w:val="nil"/>
              <w:left w:val="nil"/>
              <w:bottom w:val="single" w:sz="4" w:space="0" w:color="auto"/>
              <w:right w:val="single" w:sz="4" w:space="0" w:color="auto"/>
            </w:tcBorders>
            <w:shd w:val="clear" w:color="auto" w:fill="auto"/>
            <w:noWrap/>
            <w:hideMark/>
          </w:tcPr>
          <w:p w14:paraId="17D53113" w14:textId="77777777" w:rsidR="006F0BB0" w:rsidRPr="006F0BB0" w:rsidRDefault="006F0BB0" w:rsidP="007D1DBA">
            <w:pPr>
              <w:jc w:val="right"/>
              <w:rPr>
                <w:sz w:val="18"/>
                <w:szCs w:val="18"/>
                <w:lang w:val="es-419" w:eastAsia="es-419"/>
              </w:rPr>
            </w:pPr>
            <w:r w:rsidRPr="006F0BB0">
              <w:rPr>
                <w:sz w:val="18"/>
                <w:szCs w:val="18"/>
                <w:lang w:val="es-419" w:eastAsia="es-419"/>
              </w:rPr>
              <w:t>1 786 342</w:t>
            </w:r>
          </w:p>
        </w:tc>
        <w:tc>
          <w:tcPr>
            <w:tcW w:w="1076" w:type="dxa"/>
            <w:tcBorders>
              <w:top w:val="nil"/>
              <w:left w:val="nil"/>
              <w:bottom w:val="single" w:sz="4" w:space="0" w:color="auto"/>
              <w:right w:val="single" w:sz="4" w:space="0" w:color="auto"/>
            </w:tcBorders>
            <w:shd w:val="clear" w:color="auto" w:fill="auto"/>
            <w:noWrap/>
            <w:hideMark/>
          </w:tcPr>
          <w:p w14:paraId="68C8672A" w14:textId="77777777" w:rsidR="006F0BB0" w:rsidRPr="006F0BB0" w:rsidRDefault="006F0BB0" w:rsidP="007D1DBA">
            <w:pPr>
              <w:jc w:val="right"/>
              <w:rPr>
                <w:sz w:val="18"/>
                <w:szCs w:val="18"/>
                <w:lang w:val="es-419" w:eastAsia="es-419"/>
              </w:rPr>
            </w:pPr>
            <w:r w:rsidRPr="006F0BB0">
              <w:rPr>
                <w:sz w:val="18"/>
                <w:szCs w:val="18"/>
                <w:lang w:val="es-419" w:eastAsia="es-419"/>
              </w:rPr>
              <w:t>1 447 558</w:t>
            </w:r>
          </w:p>
        </w:tc>
        <w:tc>
          <w:tcPr>
            <w:tcW w:w="1034" w:type="dxa"/>
            <w:tcBorders>
              <w:top w:val="nil"/>
              <w:left w:val="nil"/>
              <w:bottom w:val="single" w:sz="4" w:space="0" w:color="auto"/>
              <w:right w:val="single" w:sz="4" w:space="0" w:color="auto"/>
            </w:tcBorders>
            <w:shd w:val="clear" w:color="auto" w:fill="auto"/>
            <w:noWrap/>
            <w:hideMark/>
          </w:tcPr>
          <w:p w14:paraId="6B2A981D" w14:textId="77777777" w:rsidR="006F0BB0" w:rsidRPr="006F0BB0" w:rsidRDefault="006F0BB0" w:rsidP="007D1DBA">
            <w:pPr>
              <w:jc w:val="right"/>
              <w:rPr>
                <w:sz w:val="18"/>
                <w:szCs w:val="18"/>
                <w:lang w:val="es-419" w:eastAsia="es-419"/>
              </w:rPr>
            </w:pPr>
            <w:r w:rsidRPr="006F0BB0">
              <w:rPr>
                <w:sz w:val="18"/>
                <w:szCs w:val="18"/>
                <w:lang w:val="es-419" w:eastAsia="es-419"/>
              </w:rPr>
              <w:t>1 931 205</w:t>
            </w:r>
          </w:p>
        </w:tc>
        <w:tc>
          <w:tcPr>
            <w:tcW w:w="1181" w:type="dxa"/>
            <w:tcBorders>
              <w:top w:val="nil"/>
              <w:left w:val="nil"/>
              <w:bottom w:val="single" w:sz="4" w:space="0" w:color="auto"/>
              <w:right w:val="single" w:sz="4" w:space="0" w:color="auto"/>
            </w:tcBorders>
            <w:shd w:val="clear" w:color="auto" w:fill="auto"/>
            <w:noWrap/>
            <w:hideMark/>
          </w:tcPr>
          <w:p w14:paraId="5C1A72EA" w14:textId="77777777" w:rsidR="006F0BB0" w:rsidRPr="006F0BB0" w:rsidRDefault="006F0BB0" w:rsidP="007D1DBA">
            <w:pPr>
              <w:jc w:val="right"/>
              <w:rPr>
                <w:sz w:val="18"/>
                <w:szCs w:val="18"/>
                <w:lang w:val="es-419" w:eastAsia="es-419"/>
              </w:rPr>
            </w:pPr>
            <w:r w:rsidRPr="006F0BB0">
              <w:rPr>
                <w:sz w:val="18"/>
                <w:szCs w:val="18"/>
                <w:lang w:val="es-419" w:eastAsia="es-419"/>
              </w:rPr>
              <w:t>92,5%</w:t>
            </w:r>
          </w:p>
        </w:tc>
      </w:tr>
      <w:tr w:rsidR="006F0BB0" w:rsidRPr="006F0BB0" w14:paraId="618F6DB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018F9A9" w14:textId="77777777" w:rsidR="006F0BB0" w:rsidRPr="006F0BB0" w:rsidRDefault="006F0BB0" w:rsidP="007D1DBA">
            <w:pPr>
              <w:jc w:val="left"/>
              <w:rPr>
                <w:sz w:val="18"/>
                <w:szCs w:val="18"/>
                <w:lang w:val="es-419" w:eastAsia="es-419"/>
              </w:rPr>
            </w:pPr>
            <w:r w:rsidRPr="006F0BB0">
              <w:rPr>
                <w:sz w:val="18"/>
                <w:szCs w:val="18"/>
                <w:lang w:val="es-419" w:eastAsia="es-419"/>
              </w:rPr>
              <w:t>Madagascar</w:t>
            </w:r>
          </w:p>
        </w:tc>
        <w:tc>
          <w:tcPr>
            <w:tcW w:w="950" w:type="dxa"/>
            <w:tcBorders>
              <w:top w:val="nil"/>
              <w:left w:val="nil"/>
              <w:bottom w:val="single" w:sz="4" w:space="0" w:color="auto"/>
              <w:right w:val="single" w:sz="4" w:space="0" w:color="auto"/>
            </w:tcBorders>
            <w:shd w:val="clear" w:color="auto" w:fill="auto"/>
            <w:noWrap/>
            <w:hideMark/>
          </w:tcPr>
          <w:p w14:paraId="592E707B" w14:textId="77777777" w:rsidR="006F0BB0" w:rsidRPr="006F0BB0" w:rsidRDefault="006F0BB0" w:rsidP="007D1DBA">
            <w:pPr>
              <w:jc w:val="right"/>
              <w:rPr>
                <w:sz w:val="18"/>
                <w:szCs w:val="18"/>
                <w:lang w:val="es-419" w:eastAsia="es-419"/>
              </w:rPr>
            </w:pPr>
            <w:r w:rsidRPr="006F0BB0">
              <w:rPr>
                <w:sz w:val="18"/>
                <w:szCs w:val="18"/>
                <w:lang w:val="es-419" w:eastAsia="es-419"/>
              </w:rPr>
              <w:t>1 558 144</w:t>
            </w:r>
          </w:p>
        </w:tc>
        <w:tc>
          <w:tcPr>
            <w:tcW w:w="950" w:type="dxa"/>
            <w:tcBorders>
              <w:top w:val="nil"/>
              <w:left w:val="nil"/>
              <w:bottom w:val="single" w:sz="4" w:space="0" w:color="auto"/>
              <w:right w:val="single" w:sz="4" w:space="0" w:color="auto"/>
            </w:tcBorders>
            <w:shd w:val="clear" w:color="auto" w:fill="auto"/>
            <w:noWrap/>
            <w:hideMark/>
          </w:tcPr>
          <w:p w14:paraId="659DFF57" w14:textId="77777777" w:rsidR="006F0BB0" w:rsidRPr="006F0BB0" w:rsidRDefault="006F0BB0" w:rsidP="007D1DBA">
            <w:pPr>
              <w:jc w:val="right"/>
              <w:rPr>
                <w:sz w:val="18"/>
                <w:szCs w:val="18"/>
                <w:lang w:val="es-419" w:eastAsia="es-419"/>
              </w:rPr>
            </w:pPr>
            <w:r w:rsidRPr="006F0BB0">
              <w:rPr>
                <w:sz w:val="18"/>
                <w:szCs w:val="18"/>
                <w:lang w:val="es-419" w:eastAsia="es-419"/>
              </w:rPr>
              <w:t>1 589 306</w:t>
            </w:r>
          </w:p>
        </w:tc>
        <w:tc>
          <w:tcPr>
            <w:tcW w:w="950" w:type="dxa"/>
            <w:tcBorders>
              <w:top w:val="nil"/>
              <w:left w:val="nil"/>
              <w:bottom w:val="single" w:sz="4" w:space="0" w:color="auto"/>
              <w:right w:val="single" w:sz="4" w:space="0" w:color="auto"/>
            </w:tcBorders>
            <w:shd w:val="clear" w:color="auto" w:fill="auto"/>
            <w:noWrap/>
            <w:hideMark/>
          </w:tcPr>
          <w:p w14:paraId="7959A037" w14:textId="77777777" w:rsidR="006F0BB0" w:rsidRPr="006F0BB0" w:rsidRDefault="006F0BB0" w:rsidP="007D1DBA">
            <w:pPr>
              <w:jc w:val="right"/>
              <w:rPr>
                <w:sz w:val="18"/>
                <w:szCs w:val="18"/>
                <w:lang w:val="es-419" w:eastAsia="es-419"/>
              </w:rPr>
            </w:pPr>
            <w:r w:rsidRPr="006F0BB0">
              <w:rPr>
                <w:sz w:val="18"/>
                <w:szCs w:val="18"/>
                <w:lang w:val="es-419" w:eastAsia="es-419"/>
              </w:rPr>
              <w:t>1 621 093</w:t>
            </w:r>
          </w:p>
        </w:tc>
        <w:tc>
          <w:tcPr>
            <w:tcW w:w="978" w:type="dxa"/>
            <w:tcBorders>
              <w:top w:val="nil"/>
              <w:left w:val="nil"/>
              <w:bottom w:val="single" w:sz="4" w:space="0" w:color="auto"/>
              <w:right w:val="single" w:sz="4" w:space="0" w:color="auto"/>
            </w:tcBorders>
            <w:shd w:val="clear" w:color="auto" w:fill="auto"/>
            <w:noWrap/>
            <w:hideMark/>
          </w:tcPr>
          <w:p w14:paraId="7E646898" w14:textId="77777777" w:rsidR="006F0BB0" w:rsidRPr="006F0BB0" w:rsidRDefault="006F0BB0" w:rsidP="007D1DBA">
            <w:pPr>
              <w:jc w:val="right"/>
              <w:rPr>
                <w:sz w:val="18"/>
                <w:szCs w:val="18"/>
                <w:lang w:val="es-419" w:eastAsia="es-419"/>
              </w:rPr>
            </w:pPr>
            <w:r w:rsidRPr="006F0BB0">
              <w:rPr>
                <w:sz w:val="18"/>
                <w:szCs w:val="18"/>
                <w:lang w:val="es-419" w:eastAsia="es-419"/>
              </w:rPr>
              <w:t>1 653 514</w:t>
            </w:r>
          </w:p>
        </w:tc>
        <w:tc>
          <w:tcPr>
            <w:tcW w:w="950" w:type="dxa"/>
            <w:tcBorders>
              <w:top w:val="nil"/>
              <w:left w:val="nil"/>
              <w:bottom w:val="single" w:sz="4" w:space="0" w:color="auto"/>
              <w:right w:val="single" w:sz="4" w:space="0" w:color="auto"/>
            </w:tcBorders>
            <w:shd w:val="clear" w:color="auto" w:fill="auto"/>
            <w:noWrap/>
            <w:hideMark/>
          </w:tcPr>
          <w:p w14:paraId="6D0D90EB" w14:textId="77777777" w:rsidR="006F0BB0" w:rsidRPr="006F0BB0" w:rsidRDefault="006F0BB0" w:rsidP="007D1DBA">
            <w:pPr>
              <w:jc w:val="right"/>
              <w:rPr>
                <w:sz w:val="18"/>
                <w:szCs w:val="18"/>
                <w:lang w:val="es-419" w:eastAsia="es-419"/>
              </w:rPr>
            </w:pPr>
            <w:r w:rsidRPr="006F0BB0">
              <w:rPr>
                <w:sz w:val="18"/>
                <w:szCs w:val="18"/>
                <w:lang w:val="es-419" w:eastAsia="es-419"/>
              </w:rPr>
              <w:t>1 818 866</w:t>
            </w:r>
          </w:p>
        </w:tc>
        <w:tc>
          <w:tcPr>
            <w:tcW w:w="950" w:type="dxa"/>
            <w:tcBorders>
              <w:top w:val="nil"/>
              <w:left w:val="nil"/>
              <w:bottom w:val="single" w:sz="4" w:space="0" w:color="auto"/>
              <w:right w:val="single" w:sz="4" w:space="0" w:color="auto"/>
            </w:tcBorders>
            <w:shd w:val="clear" w:color="auto" w:fill="auto"/>
            <w:noWrap/>
            <w:hideMark/>
          </w:tcPr>
          <w:p w14:paraId="3C7D7165" w14:textId="77777777" w:rsidR="006F0BB0" w:rsidRPr="006F0BB0" w:rsidRDefault="006F0BB0" w:rsidP="007D1DBA">
            <w:pPr>
              <w:jc w:val="right"/>
              <w:rPr>
                <w:sz w:val="18"/>
                <w:szCs w:val="18"/>
                <w:lang w:val="es-419" w:eastAsia="es-419"/>
              </w:rPr>
            </w:pPr>
            <w:r w:rsidRPr="006F0BB0">
              <w:rPr>
                <w:sz w:val="18"/>
                <w:szCs w:val="18"/>
                <w:lang w:val="es-419" w:eastAsia="es-419"/>
              </w:rPr>
              <w:t>2 000 752</w:t>
            </w:r>
          </w:p>
        </w:tc>
        <w:tc>
          <w:tcPr>
            <w:tcW w:w="1076" w:type="dxa"/>
            <w:tcBorders>
              <w:top w:val="nil"/>
              <w:left w:val="nil"/>
              <w:bottom w:val="single" w:sz="4" w:space="0" w:color="auto"/>
              <w:right w:val="single" w:sz="4" w:space="0" w:color="auto"/>
            </w:tcBorders>
            <w:shd w:val="clear" w:color="auto" w:fill="auto"/>
            <w:noWrap/>
            <w:hideMark/>
          </w:tcPr>
          <w:p w14:paraId="33740A6E" w14:textId="77777777" w:rsidR="006F0BB0" w:rsidRPr="006F0BB0" w:rsidRDefault="006F0BB0" w:rsidP="007D1DBA">
            <w:pPr>
              <w:jc w:val="right"/>
              <w:rPr>
                <w:sz w:val="18"/>
                <w:szCs w:val="18"/>
                <w:lang w:val="es-419" w:eastAsia="es-419"/>
              </w:rPr>
            </w:pPr>
            <w:r w:rsidRPr="006F0BB0">
              <w:rPr>
                <w:sz w:val="18"/>
                <w:szCs w:val="18"/>
                <w:lang w:val="es-419" w:eastAsia="es-419"/>
              </w:rPr>
              <w:t>1 621 305</w:t>
            </w:r>
          </w:p>
        </w:tc>
        <w:tc>
          <w:tcPr>
            <w:tcW w:w="1034" w:type="dxa"/>
            <w:tcBorders>
              <w:top w:val="nil"/>
              <w:left w:val="nil"/>
              <w:bottom w:val="single" w:sz="4" w:space="0" w:color="auto"/>
              <w:right w:val="single" w:sz="4" w:space="0" w:color="auto"/>
            </w:tcBorders>
            <w:shd w:val="clear" w:color="auto" w:fill="auto"/>
            <w:noWrap/>
            <w:hideMark/>
          </w:tcPr>
          <w:p w14:paraId="05C0F688" w14:textId="77777777" w:rsidR="006F0BB0" w:rsidRPr="006F0BB0" w:rsidRDefault="006F0BB0" w:rsidP="007D1DBA">
            <w:pPr>
              <w:jc w:val="right"/>
              <w:rPr>
                <w:sz w:val="18"/>
                <w:szCs w:val="18"/>
                <w:lang w:val="es-419" w:eastAsia="es-419"/>
              </w:rPr>
            </w:pPr>
            <w:r w:rsidRPr="006F0BB0">
              <w:rPr>
                <w:sz w:val="18"/>
                <w:szCs w:val="18"/>
                <w:lang w:val="es-419" w:eastAsia="es-419"/>
              </w:rPr>
              <w:t>2 154 118</w:t>
            </w:r>
          </w:p>
        </w:tc>
        <w:tc>
          <w:tcPr>
            <w:tcW w:w="1181" w:type="dxa"/>
            <w:tcBorders>
              <w:top w:val="nil"/>
              <w:left w:val="nil"/>
              <w:bottom w:val="single" w:sz="4" w:space="0" w:color="auto"/>
              <w:right w:val="single" w:sz="4" w:space="0" w:color="auto"/>
            </w:tcBorders>
            <w:shd w:val="clear" w:color="auto" w:fill="auto"/>
            <w:noWrap/>
            <w:hideMark/>
          </w:tcPr>
          <w:p w14:paraId="56BE6758" w14:textId="77777777" w:rsidR="006F0BB0" w:rsidRPr="006F0BB0" w:rsidRDefault="006F0BB0" w:rsidP="007D1DBA">
            <w:pPr>
              <w:jc w:val="right"/>
              <w:rPr>
                <w:sz w:val="18"/>
                <w:szCs w:val="18"/>
                <w:lang w:val="es-419" w:eastAsia="es-419"/>
              </w:rPr>
            </w:pPr>
            <w:r w:rsidRPr="006F0BB0">
              <w:rPr>
                <w:sz w:val="18"/>
                <w:szCs w:val="18"/>
                <w:lang w:val="es-419" w:eastAsia="es-419"/>
              </w:rPr>
              <w:t>92,9%</w:t>
            </w:r>
          </w:p>
        </w:tc>
      </w:tr>
      <w:tr w:rsidR="006F0BB0" w:rsidRPr="006F0BB0" w14:paraId="4BB07809"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6FE728"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Trinidad y </w:t>
            </w:r>
            <w:proofErr w:type="spellStart"/>
            <w:r w:rsidRPr="006F0BB0">
              <w:rPr>
                <w:sz w:val="18"/>
                <w:szCs w:val="18"/>
                <w:lang w:val="es-419" w:eastAsia="es-419"/>
              </w:rPr>
              <w:t>Tabago</w:t>
            </w:r>
            <w:proofErr w:type="spellEnd"/>
          </w:p>
        </w:tc>
        <w:tc>
          <w:tcPr>
            <w:tcW w:w="950" w:type="dxa"/>
            <w:tcBorders>
              <w:top w:val="nil"/>
              <w:left w:val="nil"/>
              <w:bottom w:val="single" w:sz="4" w:space="0" w:color="auto"/>
              <w:right w:val="single" w:sz="4" w:space="0" w:color="auto"/>
            </w:tcBorders>
            <w:shd w:val="clear" w:color="auto" w:fill="auto"/>
            <w:noWrap/>
            <w:hideMark/>
          </w:tcPr>
          <w:p w14:paraId="1E03CACA" w14:textId="77777777" w:rsidR="006F0BB0" w:rsidRPr="006F0BB0" w:rsidRDefault="006F0BB0" w:rsidP="007D1DBA">
            <w:pPr>
              <w:jc w:val="right"/>
              <w:rPr>
                <w:sz w:val="18"/>
                <w:szCs w:val="18"/>
                <w:lang w:val="es-419" w:eastAsia="es-419"/>
              </w:rPr>
            </w:pPr>
            <w:r w:rsidRPr="006F0BB0">
              <w:rPr>
                <w:sz w:val="18"/>
                <w:szCs w:val="18"/>
                <w:lang w:val="es-419" w:eastAsia="es-419"/>
              </w:rPr>
              <w:t>2 755 910</w:t>
            </w:r>
          </w:p>
        </w:tc>
        <w:tc>
          <w:tcPr>
            <w:tcW w:w="950" w:type="dxa"/>
            <w:tcBorders>
              <w:top w:val="nil"/>
              <w:left w:val="nil"/>
              <w:bottom w:val="single" w:sz="4" w:space="0" w:color="auto"/>
              <w:right w:val="single" w:sz="4" w:space="0" w:color="auto"/>
            </w:tcBorders>
            <w:shd w:val="clear" w:color="auto" w:fill="auto"/>
            <w:noWrap/>
            <w:hideMark/>
          </w:tcPr>
          <w:p w14:paraId="12877862" w14:textId="77777777" w:rsidR="006F0BB0" w:rsidRPr="006F0BB0" w:rsidRDefault="006F0BB0" w:rsidP="007D1DBA">
            <w:pPr>
              <w:jc w:val="right"/>
              <w:rPr>
                <w:sz w:val="18"/>
                <w:szCs w:val="18"/>
                <w:lang w:val="es-419" w:eastAsia="es-419"/>
              </w:rPr>
            </w:pPr>
            <w:r w:rsidRPr="006F0BB0">
              <w:rPr>
                <w:sz w:val="18"/>
                <w:szCs w:val="18"/>
                <w:lang w:val="es-419" w:eastAsia="es-419"/>
              </w:rPr>
              <w:t>2 811 028</w:t>
            </w:r>
          </w:p>
        </w:tc>
        <w:tc>
          <w:tcPr>
            <w:tcW w:w="950" w:type="dxa"/>
            <w:tcBorders>
              <w:top w:val="nil"/>
              <w:left w:val="nil"/>
              <w:bottom w:val="single" w:sz="4" w:space="0" w:color="auto"/>
              <w:right w:val="single" w:sz="4" w:space="0" w:color="auto"/>
            </w:tcBorders>
            <w:shd w:val="clear" w:color="auto" w:fill="auto"/>
            <w:noWrap/>
            <w:hideMark/>
          </w:tcPr>
          <w:p w14:paraId="722208A3" w14:textId="77777777" w:rsidR="006F0BB0" w:rsidRPr="006F0BB0" w:rsidRDefault="006F0BB0" w:rsidP="007D1DBA">
            <w:pPr>
              <w:jc w:val="right"/>
              <w:rPr>
                <w:sz w:val="18"/>
                <w:szCs w:val="18"/>
                <w:lang w:val="es-419" w:eastAsia="es-419"/>
              </w:rPr>
            </w:pPr>
            <w:r w:rsidRPr="006F0BB0">
              <w:rPr>
                <w:sz w:val="18"/>
                <w:szCs w:val="18"/>
                <w:lang w:val="es-419" w:eastAsia="es-419"/>
              </w:rPr>
              <w:t>2 867 249</w:t>
            </w:r>
          </w:p>
        </w:tc>
        <w:tc>
          <w:tcPr>
            <w:tcW w:w="978" w:type="dxa"/>
            <w:tcBorders>
              <w:top w:val="nil"/>
              <w:left w:val="nil"/>
              <w:bottom w:val="single" w:sz="4" w:space="0" w:color="auto"/>
              <w:right w:val="single" w:sz="4" w:space="0" w:color="auto"/>
            </w:tcBorders>
            <w:shd w:val="clear" w:color="auto" w:fill="auto"/>
            <w:noWrap/>
            <w:hideMark/>
          </w:tcPr>
          <w:p w14:paraId="1EB24888" w14:textId="77777777" w:rsidR="006F0BB0" w:rsidRPr="006F0BB0" w:rsidRDefault="006F0BB0" w:rsidP="007D1DBA">
            <w:pPr>
              <w:jc w:val="right"/>
              <w:rPr>
                <w:sz w:val="18"/>
                <w:szCs w:val="18"/>
                <w:lang w:val="es-419" w:eastAsia="es-419"/>
              </w:rPr>
            </w:pPr>
            <w:r w:rsidRPr="006F0BB0">
              <w:rPr>
                <w:sz w:val="18"/>
                <w:szCs w:val="18"/>
                <w:lang w:val="es-419" w:eastAsia="es-419"/>
              </w:rPr>
              <w:t>2 924 594</w:t>
            </w:r>
          </w:p>
        </w:tc>
        <w:tc>
          <w:tcPr>
            <w:tcW w:w="950" w:type="dxa"/>
            <w:tcBorders>
              <w:top w:val="nil"/>
              <w:left w:val="nil"/>
              <w:bottom w:val="single" w:sz="4" w:space="0" w:color="auto"/>
              <w:right w:val="single" w:sz="4" w:space="0" w:color="auto"/>
            </w:tcBorders>
            <w:shd w:val="clear" w:color="auto" w:fill="auto"/>
            <w:noWrap/>
            <w:hideMark/>
          </w:tcPr>
          <w:p w14:paraId="389551DD" w14:textId="77777777" w:rsidR="006F0BB0" w:rsidRPr="006F0BB0" w:rsidRDefault="006F0BB0" w:rsidP="007D1DBA">
            <w:pPr>
              <w:jc w:val="right"/>
              <w:rPr>
                <w:sz w:val="18"/>
                <w:szCs w:val="18"/>
                <w:lang w:val="es-419" w:eastAsia="es-419"/>
              </w:rPr>
            </w:pPr>
            <w:r w:rsidRPr="006F0BB0">
              <w:rPr>
                <w:sz w:val="18"/>
                <w:szCs w:val="18"/>
                <w:lang w:val="es-419" w:eastAsia="es-419"/>
              </w:rPr>
              <w:t>3 217 053</w:t>
            </w:r>
          </w:p>
        </w:tc>
        <w:tc>
          <w:tcPr>
            <w:tcW w:w="950" w:type="dxa"/>
            <w:tcBorders>
              <w:top w:val="nil"/>
              <w:left w:val="nil"/>
              <w:bottom w:val="single" w:sz="4" w:space="0" w:color="auto"/>
              <w:right w:val="single" w:sz="4" w:space="0" w:color="auto"/>
            </w:tcBorders>
            <w:shd w:val="clear" w:color="auto" w:fill="auto"/>
            <w:noWrap/>
            <w:hideMark/>
          </w:tcPr>
          <w:p w14:paraId="53725790" w14:textId="77777777" w:rsidR="006F0BB0" w:rsidRPr="006F0BB0" w:rsidRDefault="006F0BB0" w:rsidP="007D1DBA">
            <w:pPr>
              <w:jc w:val="right"/>
              <w:rPr>
                <w:sz w:val="18"/>
                <w:szCs w:val="18"/>
                <w:lang w:val="es-419" w:eastAsia="es-419"/>
              </w:rPr>
            </w:pPr>
            <w:r w:rsidRPr="006F0BB0">
              <w:rPr>
                <w:sz w:val="18"/>
                <w:szCs w:val="18"/>
                <w:lang w:val="es-419" w:eastAsia="es-419"/>
              </w:rPr>
              <w:t>3 538 758</w:t>
            </w:r>
          </w:p>
        </w:tc>
        <w:tc>
          <w:tcPr>
            <w:tcW w:w="1076" w:type="dxa"/>
            <w:tcBorders>
              <w:top w:val="nil"/>
              <w:left w:val="nil"/>
              <w:bottom w:val="single" w:sz="4" w:space="0" w:color="auto"/>
              <w:right w:val="single" w:sz="4" w:space="0" w:color="auto"/>
            </w:tcBorders>
            <w:shd w:val="clear" w:color="auto" w:fill="auto"/>
            <w:noWrap/>
            <w:hideMark/>
          </w:tcPr>
          <w:p w14:paraId="649605B4" w14:textId="77777777" w:rsidR="006F0BB0" w:rsidRPr="006F0BB0" w:rsidRDefault="006F0BB0" w:rsidP="007D1DBA">
            <w:pPr>
              <w:jc w:val="right"/>
              <w:rPr>
                <w:sz w:val="18"/>
                <w:szCs w:val="18"/>
                <w:lang w:val="es-419" w:eastAsia="es-419"/>
              </w:rPr>
            </w:pPr>
            <w:r w:rsidRPr="006F0BB0">
              <w:rPr>
                <w:sz w:val="18"/>
                <w:szCs w:val="18"/>
                <w:lang w:val="es-419" w:eastAsia="es-419"/>
              </w:rPr>
              <w:t>2 867 624</w:t>
            </w:r>
          </w:p>
        </w:tc>
        <w:tc>
          <w:tcPr>
            <w:tcW w:w="1034" w:type="dxa"/>
            <w:tcBorders>
              <w:top w:val="nil"/>
              <w:left w:val="nil"/>
              <w:bottom w:val="single" w:sz="4" w:space="0" w:color="auto"/>
              <w:right w:val="single" w:sz="4" w:space="0" w:color="auto"/>
            </w:tcBorders>
            <w:shd w:val="clear" w:color="auto" w:fill="auto"/>
            <w:noWrap/>
            <w:hideMark/>
          </w:tcPr>
          <w:p w14:paraId="6A65B4C9" w14:textId="77777777" w:rsidR="006F0BB0" w:rsidRPr="006F0BB0" w:rsidRDefault="006F0BB0" w:rsidP="007D1DBA">
            <w:pPr>
              <w:jc w:val="right"/>
              <w:rPr>
                <w:sz w:val="18"/>
                <w:szCs w:val="18"/>
                <w:lang w:val="es-419" w:eastAsia="es-419"/>
              </w:rPr>
            </w:pPr>
            <w:r w:rsidRPr="006F0BB0">
              <w:rPr>
                <w:sz w:val="18"/>
                <w:szCs w:val="18"/>
                <w:lang w:val="es-419" w:eastAsia="es-419"/>
              </w:rPr>
              <w:t>3 798 334</w:t>
            </w:r>
          </w:p>
        </w:tc>
        <w:tc>
          <w:tcPr>
            <w:tcW w:w="1181" w:type="dxa"/>
            <w:tcBorders>
              <w:top w:val="nil"/>
              <w:left w:val="nil"/>
              <w:bottom w:val="single" w:sz="4" w:space="0" w:color="auto"/>
              <w:right w:val="single" w:sz="4" w:space="0" w:color="auto"/>
            </w:tcBorders>
            <w:shd w:val="clear" w:color="auto" w:fill="auto"/>
            <w:noWrap/>
            <w:hideMark/>
          </w:tcPr>
          <w:p w14:paraId="5AD58086" w14:textId="77777777" w:rsidR="006F0BB0" w:rsidRPr="006F0BB0" w:rsidRDefault="006F0BB0" w:rsidP="007D1DBA">
            <w:pPr>
              <w:jc w:val="right"/>
              <w:rPr>
                <w:sz w:val="18"/>
                <w:szCs w:val="18"/>
                <w:lang w:val="es-419" w:eastAsia="es-419"/>
              </w:rPr>
            </w:pPr>
            <w:r w:rsidRPr="006F0BB0">
              <w:rPr>
                <w:sz w:val="18"/>
                <w:szCs w:val="18"/>
                <w:lang w:val="es-419" w:eastAsia="es-419"/>
              </w:rPr>
              <w:t>93,2%</w:t>
            </w:r>
          </w:p>
        </w:tc>
      </w:tr>
      <w:tr w:rsidR="006F0BB0" w:rsidRPr="006F0BB0" w14:paraId="69AB89F1"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F9C590" w14:textId="77777777" w:rsidR="006F0BB0" w:rsidRPr="006F0BB0" w:rsidRDefault="006F0BB0" w:rsidP="007D1DBA">
            <w:pPr>
              <w:jc w:val="left"/>
              <w:rPr>
                <w:sz w:val="18"/>
                <w:szCs w:val="18"/>
                <w:lang w:val="es-419" w:eastAsia="es-419"/>
              </w:rPr>
            </w:pPr>
            <w:r w:rsidRPr="006F0BB0">
              <w:rPr>
                <w:sz w:val="18"/>
                <w:szCs w:val="18"/>
                <w:lang w:val="es-419" w:eastAsia="es-419"/>
              </w:rPr>
              <w:t>Benín</w:t>
            </w:r>
          </w:p>
        </w:tc>
        <w:tc>
          <w:tcPr>
            <w:tcW w:w="950" w:type="dxa"/>
            <w:tcBorders>
              <w:top w:val="nil"/>
              <w:left w:val="nil"/>
              <w:bottom w:val="single" w:sz="4" w:space="0" w:color="auto"/>
              <w:right w:val="single" w:sz="4" w:space="0" w:color="auto"/>
            </w:tcBorders>
            <w:shd w:val="clear" w:color="auto" w:fill="auto"/>
            <w:noWrap/>
            <w:hideMark/>
          </w:tcPr>
          <w:p w14:paraId="481D0C6A" w14:textId="77777777" w:rsidR="006F0BB0" w:rsidRPr="006F0BB0" w:rsidRDefault="006F0BB0" w:rsidP="007D1DBA">
            <w:pPr>
              <w:jc w:val="right"/>
              <w:rPr>
                <w:sz w:val="18"/>
                <w:szCs w:val="18"/>
                <w:lang w:val="es-419" w:eastAsia="es-419"/>
              </w:rPr>
            </w:pPr>
            <w:r w:rsidRPr="006F0BB0">
              <w:rPr>
                <w:sz w:val="18"/>
                <w:szCs w:val="18"/>
                <w:lang w:val="es-419" w:eastAsia="es-419"/>
              </w:rPr>
              <w:t>1 507 956</w:t>
            </w:r>
          </w:p>
        </w:tc>
        <w:tc>
          <w:tcPr>
            <w:tcW w:w="950" w:type="dxa"/>
            <w:tcBorders>
              <w:top w:val="nil"/>
              <w:left w:val="nil"/>
              <w:bottom w:val="single" w:sz="4" w:space="0" w:color="auto"/>
              <w:right w:val="single" w:sz="4" w:space="0" w:color="auto"/>
            </w:tcBorders>
            <w:shd w:val="clear" w:color="auto" w:fill="auto"/>
            <w:noWrap/>
            <w:hideMark/>
          </w:tcPr>
          <w:p w14:paraId="1D7215F4" w14:textId="77777777" w:rsidR="006F0BB0" w:rsidRPr="006F0BB0" w:rsidRDefault="006F0BB0" w:rsidP="007D1DBA">
            <w:pPr>
              <w:jc w:val="right"/>
              <w:rPr>
                <w:sz w:val="18"/>
                <w:szCs w:val="18"/>
                <w:lang w:val="es-419" w:eastAsia="es-419"/>
              </w:rPr>
            </w:pPr>
            <w:r w:rsidRPr="006F0BB0">
              <w:rPr>
                <w:sz w:val="18"/>
                <w:szCs w:val="18"/>
                <w:lang w:val="es-419" w:eastAsia="es-419"/>
              </w:rPr>
              <w:t>1 538 115</w:t>
            </w:r>
          </w:p>
        </w:tc>
        <w:tc>
          <w:tcPr>
            <w:tcW w:w="950" w:type="dxa"/>
            <w:tcBorders>
              <w:top w:val="nil"/>
              <w:left w:val="nil"/>
              <w:bottom w:val="single" w:sz="4" w:space="0" w:color="auto"/>
              <w:right w:val="single" w:sz="4" w:space="0" w:color="auto"/>
            </w:tcBorders>
            <w:shd w:val="clear" w:color="auto" w:fill="auto"/>
            <w:noWrap/>
            <w:hideMark/>
          </w:tcPr>
          <w:p w14:paraId="3CC0E425" w14:textId="77777777" w:rsidR="006F0BB0" w:rsidRPr="006F0BB0" w:rsidRDefault="006F0BB0" w:rsidP="007D1DBA">
            <w:pPr>
              <w:jc w:val="right"/>
              <w:rPr>
                <w:sz w:val="18"/>
                <w:szCs w:val="18"/>
                <w:lang w:val="es-419" w:eastAsia="es-419"/>
              </w:rPr>
            </w:pPr>
            <w:r w:rsidRPr="006F0BB0">
              <w:rPr>
                <w:sz w:val="18"/>
                <w:szCs w:val="18"/>
                <w:lang w:val="es-419" w:eastAsia="es-419"/>
              </w:rPr>
              <w:t>1 568 877</w:t>
            </w:r>
          </w:p>
        </w:tc>
        <w:tc>
          <w:tcPr>
            <w:tcW w:w="978" w:type="dxa"/>
            <w:tcBorders>
              <w:top w:val="nil"/>
              <w:left w:val="nil"/>
              <w:bottom w:val="single" w:sz="4" w:space="0" w:color="auto"/>
              <w:right w:val="single" w:sz="4" w:space="0" w:color="auto"/>
            </w:tcBorders>
            <w:shd w:val="clear" w:color="auto" w:fill="auto"/>
            <w:noWrap/>
            <w:hideMark/>
          </w:tcPr>
          <w:p w14:paraId="4EFD2340" w14:textId="77777777" w:rsidR="006F0BB0" w:rsidRPr="006F0BB0" w:rsidRDefault="006F0BB0" w:rsidP="007D1DBA">
            <w:pPr>
              <w:jc w:val="right"/>
              <w:rPr>
                <w:sz w:val="18"/>
                <w:szCs w:val="18"/>
                <w:lang w:val="es-419" w:eastAsia="es-419"/>
              </w:rPr>
            </w:pPr>
            <w:r w:rsidRPr="006F0BB0">
              <w:rPr>
                <w:sz w:val="18"/>
                <w:szCs w:val="18"/>
                <w:lang w:val="es-419" w:eastAsia="es-419"/>
              </w:rPr>
              <w:t>1 600 255</w:t>
            </w:r>
          </w:p>
        </w:tc>
        <w:tc>
          <w:tcPr>
            <w:tcW w:w="950" w:type="dxa"/>
            <w:tcBorders>
              <w:top w:val="nil"/>
              <w:left w:val="nil"/>
              <w:bottom w:val="single" w:sz="4" w:space="0" w:color="auto"/>
              <w:right w:val="single" w:sz="4" w:space="0" w:color="auto"/>
            </w:tcBorders>
            <w:shd w:val="clear" w:color="auto" w:fill="auto"/>
            <w:noWrap/>
            <w:hideMark/>
          </w:tcPr>
          <w:p w14:paraId="603E36D9" w14:textId="77777777" w:rsidR="006F0BB0" w:rsidRPr="006F0BB0" w:rsidRDefault="006F0BB0" w:rsidP="007D1DBA">
            <w:pPr>
              <w:jc w:val="right"/>
              <w:rPr>
                <w:sz w:val="18"/>
                <w:szCs w:val="18"/>
                <w:lang w:val="es-419" w:eastAsia="es-419"/>
              </w:rPr>
            </w:pPr>
            <w:r w:rsidRPr="006F0BB0">
              <w:rPr>
                <w:sz w:val="18"/>
                <w:szCs w:val="18"/>
                <w:lang w:val="es-419" w:eastAsia="es-419"/>
              </w:rPr>
              <w:t>1 760 280</w:t>
            </w:r>
          </w:p>
        </w:tc>
        <w:tc>
          <w:tcPr>
            <w:tcW w:w="950" w:type="dxa"/>
            <w:tcBorders>
              <w:top w:val="nil"/>
              <w:left w:val="nil"/>
              <w:bottom w:val="single" w:sz="4" w:space="0" w:color="auto"/>
              <w:right w:val="single" w:sz="4" w:space="0" w:color="auto"/>
            </w:tcBorders>
            <w:shd w:val="clear" w:color="auto" w:fill="auto"/>
            <w:noWrap/>
            <w:hideMark/>
          </w:tcPr>
          <w:p w14:paraId="4DCB128D" w14:textId="77777777" w:rsidR="006F0BB0" w:rsidRPr="006F0BB0" w:rsidRDefault="006F0BB0" w:rsidP="007D1DBA">
            <w:pPr>
              <w:jc w:val="right"/>
              <w:rPr>
                <w:sz w:val="18"/>
                <w:szCs w:val="18"/>
                <w:lang w:val="es-419" w:eastAsia="es-419"/>
              </w:rPr>
            </w:pPr>
            <w:r w:rsidRPr="006F0BB0">
              <w:rPr>
                <w:sz w:val="18"/>
                <w:szCs w:val="18"/>
                <w:lang w:val="es-419" w:eastAsia="es-419"/>
              </w:rPr>
              <w:t>1 936 309</w:t>
            </w:r>
          </w:p>
        </w:tc>
        <w:tc>
          <w:tcPr>
            <w:tcW w:w="1076" w:type="dxa"/>
            <w:tcBorders>
              <w:top w:val="nil"/>
              <w:left w:val="nil"/>
              <w:bottom w:val="single" w:sz="4" w:space="0" w:color="auto"/>
              <w:right w:val="single" w:sz="4" w:space="0" w:color="auto"/>
            </w:tcBorders>
            <w:shd w:val="clear" w:color="auto" w:fill="auto"/>
            <w:noWrap/>
            <w:hideMark/>
          </w:tcPr>
          <w:p w14:paraId="02937E66" w14:textId="77777777" w:rsidR="006F0BB0" w:rsidRPr="006F0BB0" w:rsidRDefault="006F0BB0" w:rsidP="007D1DBA">
            <w:pPr>
              <w:jc w:val="right"/>
              <w:rPr>
                <w:sz w:val="18"/>
                <w:szCs w:val="18"/>
                <w:lang w:val="es-419" w:eastAsia="es-419"/>
              </w:rPr>
            </w:pPr>
            <w:r w:rsidRPr="006F0BB0">
              <w:rPr>
                <w:sz w:val="18"/>
                <w:szCs w:val="18"/>
                <w:lang w:val="es-419" w:eastAsia="es-419"/>
              </w:rPr>
              <w:t>1 569 083</w:t>
            </w:r>
          </w:p>
        </w:tc>
        <w:tc>
          <w:tcPr>
            <w:tcW w:w="1034" w:type="dxa"/>
            <w:tcBorders>
              <w:top w:val="nil"/>
              <w:left w:val="nil"/>
              <w:bottom w:val="single" w:sz="4" w:space="0" w:color="auto"/>
              <w:right w:val="single" w:sz="4" w:space="0" w:color="auto"/>
            </w:tcBorders>
            <w:shd w:val="clear" w:color="auto" w:fill="auto"/>
            <w:noWrap/>
            <w:hideMark/>
          </w:tcPr>
          <w:p w14:paraId="6F64B3FE" w14:textId="77777777" w:rsidR="006F0BB0" w:rsidRPr="006F0BB0" w:rsidRDefault="006F0BB0" w:rsidP="007D1DBA">
            <w:pPr>
              <w:jc w:val="right"/>
              <w:rPr>
                <w:sz w:val="18"/>
                <w:szCs w:val="18"/>
                <w:lang w:val="es-419" w:eastAsia="es-419"/>
              </w:rPr>
            </w:pPr>
            <w:r w:rsidRPr="006F0BB0">
              <w:rPr>
                <w:sz w:val="18"/>
                <w:szCs w:val="18"/>
                <w:lang w:val="es-419" w:eastAsia="es-419"/>
              </w:rPr>
              <w:t>2 077 931</w:t>
            </w:r>
          </w:p>
        </w:tc>
        <w:tc>
          <w:tcPr>
            <w:tcW w:w="1181" w:type="dxa"/>
            <w:tcBorders>
              <w:top w:val="nil"/>
              <w:left w:val="nil"/>
              <w:bottom w:val="single" w:sz="4" w:space="0" w:color="auto"/>
              <w:right w:val="single" w:sz="4" w:space="0" w:color="auto"/>
            </w:tcBorders>
            <w:shd w:val="clear" w:color="auto" w:fill="auto"/>
            <w:noWrap/>
            <w:hideMark/>
          </w:tcPr>
          <w:p w14:paraId="055A062C" w14:textId="77777777" w:rsidR="006F0BB0" w:rsidRPr="006F0BB0" w:rsidRDefault="006F0BB0" w:rsidP="007D1DBA">
            <w:pPr>
              <w:jc w:val="right"/>
              <w:rPr>
                <w:sz w:val="18"/>
                <w:szCs w:val="18"/>
                <w:lang w:val="es-419" w:eastAsia="es-419"/>
              </w:rPr>
            </w:pPr>
            <w:r w:rsidRPr="006F0BB0">
              <w:rPr>
                <w:sz w:val="18"/>
                <w:szCs w:val="18"/>
                <w:lang w:val="es-419" w:eastAsia="es-419"/>
              </w:rPr>
              <w:t>93,2%</w:t>
            </w:r>
          </w:p>
        </w:tc>
      </w:tr>
      <w:tr w:rsidR="006F0BB0" w:rsidRPr="006F0BB0" w14:paraId="26818B27"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D7D916" w14:textId="77777777" w:rsidR="006F0BB0" w:rsidRPr="006F0BB0" w:rsidRDefault="006F0BB0" w:rsidP="007D1DBA">
            <w:pPr>
              <w:jc w:val="left"/>
              <w:rPr>
                <w:sz w:val="18"/>
                <w:szCs w:val="18"/>
                <w:lang w:val="es-419" w:eastAsia="es-419"/>
              </w:rPr>
            </w:pPr>
            <w:r w:rsidRPr="006F0BB0">
              <w:rPr>
                <w:sz w:val="18"/>
                <w:szCs w:val="18"/>
                <w:lang w:val="es-419" w:eastAsia="es-419"/>
              </w:rPr>
              <w:t>Omán</w:t>
            </w:r>
          </w:p>
        </w:tc>
        <w:tc>
          <w:tcPr>
            <w:tcW w:w="950" w:type="dxa"/>
            <w:tcBorders>
              <w:top w:val="nil"/>
              <w:left w:val="nil"/>
              <w:bottom w:val="single" w:sz="4" w:space="0" w:color="auto"/>
              <w:right w:val="single" w:sz="4" w:space="0" w:color="auto"/>
            </w:tcBorders>
            <w:shd w:val="clear" w:color="auto" w:fill="auto"/>
            <w:noWrap/>
            <w:hideMark/>
          </w:tcPr>
          <w:p w14:paraId="17B00879" w14:textId="77777777" w:rsidR="006F0BB0" w:rsidRPr="006F0BB0" w:rsidRDefault="006F0BB0" w:rsidP="007D1DBA">
            <w:pPr>
              <w:jc w:val="right"/>
              <w:rPr>
                <w:sz w:val="18"/>
                <w:szCs w:val="18"/>
                <w:lang w:val="es-419" w:eastAsia="es-419"/>
              </w:rPr>
            </w:pPr>
            <w:r w:rsidRPr="006F0BB0">
              <w:rPr>
                <w:sz w:val="18"/>
                <w:szCs w:val="18"/>
                <w:lang w:val="es-419" w:eastAsia="es-419"/>
              </w:rPr>
              <w:t>1 988 072</w:t>
            </w:r>
          </w:p>
        </w:tc>
        <w:tc>
          <w:tcPr>
            <w:tcW w:w="950" w:type="dxa"/>
            <w:tcBorders>
              <w:top w:val="nil"/>
              <w:left w:val="nil"/>
              <w:bottom w:val="single" w:sz="4" w:space="0" w:color="auto"/>
              <w:right w:val="single" w:sz="4" w:space="0" w:color="auto"/>
            </w:tcBorders>
            <w:shd w:val="clear" w:color="auto" w:fill="auto"/>
            <w:noWrap/>
            <w:hideMark/>
          </w:tcPr>
          <w:p w14:paraId="5741B796" w14:textId="77777777" w:rsidR="006F0BB0" w:rsidRPr="006F0BB0" w:rsidRDefault="006F0BB0" w:rsidP="007D1DBA">
            <w:pPr>
              <w:jc w:val="right"/>
              <w:rPr>
                <w:sz w:val="18"/>
                <w:szCs w:val="18"/>
                <w:lang w:val="es-419" w:eastAsia="es-419"/>
              </w:rPr>
            </w:pPr>
            <w:r w:rsidRPr="006F0BB0">
              <w:rPr>
                <w:sz w:val="18"/>
                <w:szCs w:val="18"/>
                <w:lang w:val="es-419" w:eastAsia="es-419"/>
              </w:rPr>
              <w:t>2 027 833</w:t>
            </w:r>
          </w:p>
        </w:tc>
        <w:tc>
          <w:tcPr>
            <w:tcW w:w="950" w:type="dxa"/>
            <w:tcBorders>
              <w:top w:val="nil"/>
              <w:left w:val="nil"/>
              <w:bottom w:val="single" w:sz="4" w:space="0" w:color="auto"/>
              <w:right w:val="single" w:sz="4" w:space="0" w:color="auto"/>
            </w:tcBorders>
            <w:shd w:val="clear" w:color="auto" w:fill="auto"/>
            <w:noWrap/>
            <w:hideMark/>
          </w:tcPr>
          <w:p w14:paraId="0F2CE716" w14:textId="77777777" w:rsidR="006F0BB0" w:rsidRPr="006F0BB0" w:rsidRDefault="006F0BB0" w:rsidP="007D1DBA">
            <w:pPr>
              <w:jc w:val="right"/>
              <w:rPr>
                <w:sz w:val="18"/>
                <w:szCs w:val="18"/>
                <w:lang w:val="es-419" w:eastAsia="es-419"/>
              </w:rPr>
            </w:pPr>
            <w:r w:rsidRPr="006F0BB0">
              <w:rPr>
                <w:sz w:val="18"/>
                <w:szCs w:val="18"/>
                <w:lang w:val="es-419" w:eastAsia="es-419"/>
              </w:rPr>
              <w:t>2 068 390</w:t>
            </w:r>
          </w:p>
        </w:tc>
        <w:tc>
          <w:tcPr>
            <w:tcW w:w="978" w:type="dxa"/>
            <w:tcBorders>
              <w:top w:val="nil"/>
              <w:left w:val="nil"/>
              <w:bottom w:val="single" w:sz="4" w:space="0" w:color="auto"/>
              <w:right w:val="single" w:sz="4" w:space="0" w:color="auto"/>
            </w:tcBorders>
            <w:shd w:val="clear" w:color="auto" w:fill="auto"/>
            <w:noWrap/>
            <w:hideMark/>
          </w:tcPr>
          <w:p w14:paraId="48A9F88E" w14:textId="77777777" w:rsidR="006F0BB0" w:rsidRPr="006F0BB0" w:rsidRDefault="006F0BB0" w:rsidP="007D1DBA">
            <w:pPr>
              <w:jc w:val="right"/>
              <w:rPr>
                <w:sz w:val="18"/>
                <w:szCs w:val="18"/>
                <w:lang w:val="es-419" w:eastAsia="es-419"/>
              </w:rPr>
            </w:pPr>
            <w:r w:rsidRPr="006F0BB0">
              <w:rPr>
                <w:sz w:val="18"/>
                <w:szCs w:val="18"/>
                <w:lang w:val="es-419" w:eastAsia="es-419"/>
              </w:rPr>
              <w:t>2 109 758</w:t>
            </w:r>
          </w:p>
        </w:tc>
        <w:tc>
          <w:tcPr>
            <w:tcW w:w="950" w:type="dxa"/>
            <w:tcBorders>
              <w:top w:val="nil"/>
              <w:left w:val="nil"/>
              <w:bottom w:val="single" w:sz="4" w:space="0" w:color="auto"/>
              <w:right w:val="single" w:sz="4" w:space="0" w:color="auto"/>
            </w:tcBorders>
            <w:shd w:val="clear" w:color="auto" w:fill="auto"/>
            <w:noWrap/>
            <w:hideMark/>
          </w:tcPr>
          <w:p w14:paraId="3BB136F4" w14:textId="77777777" w:rsidR="006F0BB0" w:rsidRPr="006F0BB0" w:rsidRDefault="006F0BB0" w:rsidP="007D1DBA">
            <w:pPr>
              <w:jc w:val="right"/>
              <w:rPr>
                <w:sz w:val="18"/>
                <w:szCs w:val="18"/>
                <w:lang w:val="es-419" w:eastAsia="es-419"/>
              </w:rPr>
            </w:pPr>
            <w:r w:rsidRPr="006F0BB0">
              <w:rPr>
                <w:sz w:val="18"/>
                <w:szCs w:val="18"/>
                <w:lang w:val="es-419" w:eastAsia="es-419"/>
              </w:rPr>
              <w:t>2 320 734</w:t>
            </w:r>
          </w:p>
        </w:tc>
        <w:tc>
          <w:tcPr>
            <w:tcW w:w="950" w:type="dxa"/>
            <w:tcBorders>
              <w:top w:val="nil"/>
              <w:left w:val="nil"/>
              <w:bottom w:val="single" w:sz="4" w:space="0" w:color="auto"/>
              <w:right w:val="single" w:sz="4" w:space="0" w:color="auto"/>
            </w:tcBorders>
            <w:shd w:val="clear" w:color="auto" w:fill="auto"/>
            <w:noWrap/>
            <w:hideMark/>
          </w:tcPr>
          <w:p w14:paraId="1896008A" w14:textId="77777777" w:rsidR="006F0BB0" w:rsidRPr="006F0BB0" w:rsidRDefault="006F0BB0" w:rsidP="007D1DBA">
            <w:pPr>
              <w:jc w:val="right"/>
              <w:rPr>
                <w:sz w:val="18"/>
                <w:szCs w:val="18"/>
                <w:lang w:val="es-419" w:eastAsia="es-419"/>
              </w:rPr>
            </w:pPr>
            <w:r w:rsidRPr="006F0BB0">
              <w:rPr>
                <w:sz w:val="18"/>
                <w:szCs w:val="18"/>
                <w:lang w:val="es-419" w:eastAsia="es-419"/>
              </w:rPr>
              <w:t>2 552 807</w:t>
            </w:r>
          </w:p>
        </w:tc>
        <w:tc>
          <w:tcPr>
            <w:tcW w:w="1076" w:type="dxa"/>
            <w:tcBorders>
              <w:top w:val="nil"/>
              <w:left w:val="nil"/>
              <w:bottom w:val="single" w:sz="4" w:space="0" w:color="auto"/>
              <w:right w:val="single" w:sz="4" w:space="0" w:color="auto"/>
            </w:tcBorders>
            <w:shd w:val="clear" w:color="auto" w:fill="auto"/>
            <w:noWrap/>
            <w:hideMark/>
          </w:tcPr>
          <w:p w14:paraId="4D9F7610" w14:textId="77777777" w:rsidR="006F0BB0" w:rsidRPr="006F0BB0" w:rsidRDefault="006F0BB0" w:rsidP="007D1DBA">
            <w:pPr>
              <w:jc w:val="right"/>
              <w:rPr>
                <w:sz w:val="18"/>
                <w:szCs w:val="18"/>
                <w:lang w:val="es-419" w:eastAsia="es-419"/>
              </w:rPr>
            </w:pPr>
            <w:r w:rsidRPr="006F0BB0">
              <w:rPr>
                <w:sz w:val="18"/>
                <w:szCs w:val="18"/>
                <w:lang w:val="es-419" w:eastAsia="es-419"/>
              </w:rPr>
              <w:t>2 068 660</w:t>
            </w:r>
          </w:p>
        </w:tc>
        <w:tc>
          <w:tcPr>
            <w:tcW w:w="1034" w:type="dxa"/>
            <w:tcBorders>
              <w:top w:val="nil"/>
              <w:left w:val="nil"/>
              <w:bottom w:val="single" w:sz="4" w:space="0" w:color="auto"/>
              <w:right w:val="single" w:sz="4" w:space="0" w:color="auto"/>
            </w:tcBorders>
            <w:shd w:val="clear" w:color="auto" w:fill="auto"/>
            <w:noWrap/>
            <w:hideMark/>
          </w:tcPr>
          <w:p w14:paraId="79812C09" w14:textId="77777777" w:rsidR="006F0BB0" w:rsidRPr="006F0BB0" w:rsidRDefault="006F0BB0" w:rsidP="007D1DBA">
            <w:pPr>
              <w:jc w:val="right"/>
              <w:rPr>
                <w:sz w:val="18"/>
                <w:szCs w:val="18"/>
                <w:lang w:val="es-419" w:eastAsia="es-419"/>
              </w:rPr>
            </w:pPr>
            <w:r w:rsidRPr="006F0BB0">
              <w:rPr>
                <w:sz w:val="18"/>
                <w:szCs w:val="18"/>
                <w:lang w:val="es-419" w:eastAsia="es-419"/>
              </w:rPr>
              <w:t>2 723 984</w:t>
            </w:r>
          </w:p>
        </w:tc>
        <w:tc>
          <w:tcPr>
            <w:tcW w:w="1181" w:type="dxa"/>
            <w:tcBorders>
              <w:top w:val="nil"/>
              <w:left w:val="nil"/>
              <w:bottom w:val="single" w:sz="4" w:space="0" w:color="auto"/>
              <w:right w:val="single" w:sz="4" w:space="0" w:color="auto"/>
            </w:tcBorders>
            <w:shd w:val="clear" w:color="auto" w:fill="auto"/>
            <w:noWrap/>
            <w:hideMark/>
          </w:tcPr>
          <w:p w14:paraId="6B834882" w14:textId="77777777" w:rsidR="006F0BB0" w:rsidRPr="006F0BB0" w:rsidRDefault="006F0BB0" w:rsidP="007D1DBA">
            <w:pPr>
              <w:jc w:val="right"/>
              <w:rPr>
                <w:sz w:val="18"/>
                <w:szCs w:val="18"/>
                <w:lang w:val="es-419" w:eastAsia="es-419"/>
              </w:rPr>
            </w:pPr>
            <w:r w:rsidRPr="006F0BB0">
              <w:rPr>
                <w:sz w:val="18"/>
                <w:szCs w:val="18"/>
                <w:lang w:val="es-419" w:eastAsia="es-419"/>
              </w:rPr>
              <w:t>93,7%</w:t>
            </w:r>
          </w:p>
        </w:tc>
      </w:tr>
      <w:tr w:rsidR="006F0BB0" w:rsidRPr="006F0BB0" w14:paraId="2A652A76"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2C42E9C"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Suriname</w:t>
            </w:r>
            <w:proofErr w:type="spellEnd"/>
          </w:p>
        </w:tc>
        <w:tc>
          <w:tcPr>
            <w:tcW w:w="950" w:type="dxa"/>
            <w:tcBorders>
              <w:top w:val="nil"/>
              <w:left w:val="nil"/>
              <w:bottom w:val="single" w:sz="4" w:space="0" w:color="auto"/>
              <w:right w:val="single" w:sz="4" w:space="0" w:color="auto"/>
            </w:tcBorders>
            <w:shd w:val="clear" w:color="auto" w:fill="auto"/>
            <w:noWrap/>
            <w:hideMark/>
          </w:tcPr>
          <w:p w14:paraId="4B3CEF89" w14:textId="77777777" w:rsidR="006F0BB0" w:rsidRPr="006F0BB0" w:rsidRDefault="006F0BB0" w:rsidP="007D1DBA">
            <w:pPr>
              <w:jc w:val="right"/>
              <w:rPr>
                <w:sz w:val="18"/>
                <w:szCs w:val="18"/>
                <w:lang w:val="es-419" w:eastAsia="es-419"/>
              </w:rPr>
            </w:pPr>
            <w:r w:rsidRPr="006F0BB0">
              <w:rPr>
                <w:sz w:val="18"/>
                <w:szCs w:val="18"/>
                <w:lang w:val="es-419" w:eastAsia="es-419"/>
              </w:rPr>
              <w:t>132 696</w:t>
            </w:r>
          </w:p>
        </w:tc>
        <w:tc>
          <w:tcPr>
            <w:tcW w:w="950" w:type="dxa"/>
            <w:tcBorders>
              <w:top w:val="nil"/>
              <w:left w:val="nil"/>
              <w:bottom w:val="single" w:sz="4" w:space="0" w:color="auto"/>
              <w:right w:val="single" w:sz="4" w:space="0" w:color="auto"/>
            </w:tcBorders>
            <w:shd w:val="clear" w:color="auto" w:fill="auto"/>
            <w:noWrap/>
            <w:hideMark/>
          </w:tcPr>
          <w:p w14:paraId="7BBE44F1" w14:textId="77777777" w:rsidR="006F0BB0" w:rsidRPr="006F0BB0" w:rsidRDefault="006F0BB0" w:rsidP="007D1DBA">
            <w:pPr>
              <w:jc w:val="right"/>
              <w:rPr>
                <w:sz w:val="18"/>
                <w:szCs w:val="18"/>
                <w:lang w:val="es-419" w:eastAsia="es-419"/>
              </w:rPr>
            </w:pPr>
            <w:r w:rsidRPr="006F0BB0">
              <w:rPr>
                <w:sz w:val="18"/>
                <w:szCs w:val="18"/>
                <w:lang w:val="es-419" w:eastAsia="es-419"/>
              </w:rPr>
              <w:t>135 350</w:t>
            </w:r>
          </w:p>
        </w:tc>
        <w:tc>
          <w:tcPr>
            <w:tcW w:w="950" w:type="dxa"/>
            <w:tcBorders>
              <w:top w:val="nil"/>
              <w:left w:val="nil"/>
              <w:bottom w:val="single" w:sz="4" w:space="0" w:color="auto"/>
              <w:right w:val="single" w:sz="4" w:space="0" w:color="auto"/>
            </w:tcBorders>
            <w:shd w:val="clear" w:color="auto" w:fill="auto"/>
            <w:noWrap/>
            <w:hideMark/>
          </w:tcPr>
          <w:p w14:paraId="4D67BA26" w14:textId="77777777" w:rsidR="006F0BB0" w:rsidRPr="006F0BB0" w:rsidRDefault="006F0BB0" w:rsidP="007D1DBA">
            <w:pPr>
              <w:jc w:val="right"/>
              <w:rPr>
                <w:sz w:val="18"/>
                <w:szCs w:val="18"/>
                <w:lang w:val="es-419" w:eastAsia="es-419"/>
              </w:rPr>
            </w:pPr>
            <w:r w:rsidRPr="006F0BB0">
              <w:rPr>
                <w:sz w:val="18"/>
                <w:szCs w:val="18"/>
                <w:lang w:val="es-419" w:eastAsia="es-419"/>
              </w:rPr>
              <w:t>138 057</w:t>
            </w:r>
          </w:p>
        </w:tc>
        <w:tc>
          <w:tcPr>
            <w:tcW w:w="978" w:type="dxa"/>
            <w:tcBorders>
              <w:top w:val="nil"/>
              <w:left w:val="nil"/>
              <w:bottom w:val="single" w:sz="4" w:space="0" w:color="auto"/>
              <w:right w:val="single" w:sz="4" w:space="0" w:color="auto"/>
            </w:tcBorders>
            <w:shd w:val="clear" w:color="auto" w:fill="auto"/>
            <w:noWrap/>
            <w:hideMark/>
          </w:tcPr>
          <w:p w14:paraId="1F5D3386" w14:textId="77777777" w:rsidR="006F0BB0" w:rsidRPr="006F0BB0" w:rsidRDefault="006F0BB0" w:rsidP="007D1DBA">
            <w:pPr>
              <w:jc w:val="right"/>
              <w:rPr>
                <w:sz w:val="18"/>
                <w:szCs w:val="18"/>
                <w:lang w:val="es-419" w:eastAsia="es-419"/>
              </w:rPr>
            </w:pPr>
            <w:r w:rsidRPr="006F0BB0">
              <w:rPr>
                <w:sz w:val="18"/>
                <w:szCs w:val="18"/>
                <w:lang w:val="es-419" w:eastAsia="es-419"/>
              </w:rPr>
              <w:t>140 818</w:t>
            </w:r>
          </w:p>
        </w:tc>
        <w:tc>
          <w:tcPr>
            <w:tcW w:w="950" w:type="dxa"/>
            <w:tcBorders>
              <w:top w:val="nil"/>
              <w:left w:val="nil"/>
              <w:bottom w:val="single" w:sz="4" w:space="0" w:color="auto"/>
              <w:right w:val="single" w:sz="4" w:space="0" w:color="auto"/>
            </w:tcBorders>
            <w:shd w:val="clear" w:color="auto" w:fill="auto"/>
            <w:noWrap/>
            <w:hideMark/>
          </w:tcPr>
          <w:p w14:paraId="558E6ED9" w14:textId="77777777" w:rsidR="006F0BB0" w:rsidRPr="006F0BB0" w:rsidRDefault="006F0BB0" w:rsidP="007D1DBA">
            <w:pPr>
              <w:jc w:val="right"/>
              <w:rPr>
                <w:sz w:val="18"/>
                <w:szCs w:val="18"/>
                <w:lang w:val="es-419" w:eastAsia="es-419"/>
              </w:rPr>
            </w:pPr>
            <w:r w:rsidRPr="006F0BB0">
              <w:rPr>
                <w:sz w:val="18"/>
                <w:szCs w:val="18"/>
                <w:lang w:val="es-419" w:eastAsia="es-419"/>
              </w:rPr>
              <w:t>154 900</w:t>
            </w:r>
          </w:p>
        </w:tc>
        <w:tc>
          <w:tcPr>
            <w:tcW w:w="950" w:type="dxa"/>
            <w:tcBorders>
              <w:top w:val="nil"/>
              <w:left w:val="nil"/>
              <w:bottom w:val="single" w:sz="4" w:space="0" w:color="auto"/>
              <w:right w:val="single" w:sz="4" w:space="0" w:color="auto"/>
            </w:tcBorders>
            <w:shd w:val="clear" w:color="auto" w:fill="auto"/>
            <w:noWrap/>
            <w:hideMark/>
          </w:tcPr>
          <w:p w14:paraId="543F6C7F" w14:textId="77777777" w:rsidR="006F0BB0" w:rsidRPr="006F0BB0" w:rsidRDefault="006F0BB0" w:rsidP="007D1DBA">
            <w:pPr>
              <w:jc w:val="right"/>
              <w:rPr>
                <w:sz w:val="18"/>
                <w:szCs w:val="18"/>
                <w:lang w:val="es-419" w:eastAsia="es-419"/>
              </w:rPr>
            </w:pPr>
            <w:r w:rsidRPr="006F0BB0">
              <w:rPr>
                <w:sz w:val="18"/>
                <w:szCs w:val="18"/>
                <w:lang w:val="es-419" w:eastAsia="es-419"/>
              </w:rPr>
              <w:t>170 390</w:t>
            </w:r>
          </w:p>
        </w:tc>
        <w:tc>
          <w:tcPr>
            <w:tcW w:w="1076" w:type="dxa"/>
            <w:tcBorders>
              <w:top w:val="nil"/>
              <w:left w:val="nil"/>
              <w:bottom w:val="single" w:sz="4" w:space="0" w:color="auto"/>
              <w:right w:val="single" w:sz="4" w:space="0" w:color="auto"/>
            </w:tcBorders>
            <w:shd w:val="clear" w:color="auto" w:fill="auto"/>
            <w:noWrap/>
            <w:hideMark/>
          </w:tcPr>
          <w:p w14:paraId="20323308" w14:textId="77777777" w:rsidR="006F0BB0" w:rsidRPr="006F0BB0" w:rsidRDefault="006F0BB0" w:rsidP="007D1DBA">
            <w:pPr>
              <w:jc w:val="right"/>
              <w:rPr>
                <w:sz w:val="18"/>
                <w:szCs w:val="18"/>
                <w:lang w:val="es-419" w:eastAsia="es-419"/>
              </w:rPr>
            </w:pPr>
            <w:r w:rsidRPr="006F0BB0">
              <w:rPr>
                <w:sz w:val="18"/>
                <w:szCs w:val="18"/>
                <w:lang w:val="es-419" w:eastAsia="es-419"/>
              </w:rPr>
              <w:t>138 075</w:t>
            </w:r>
          </w:p>
        </w:tc>
        <w:tc>
          <w:tcPr>
            <w:tcW w:w="1034" w:type="dxa"/>
            <w:tcBorders>
              <w:top w:val="nil"/>
              <w:left w:val="nil"/>
              <w:bottom w:val="single" w:sz="4" w:space="0" w:color="auto"/>
              <w:right w:val="single" w:sz="4" w:space="0" w:color="auto"/>
            </w:tcBorders>
            <w:shd w:val="clear" w:color="auto" w:fill="auto"/>
            <w:noWrap/>
            <w:hideMark/>
          </w:tcPr>
          <w:p w14:paraId="40DC8D27" w14:textId="77777777" w:rsidR="006F0BB0" w:rsidRPr="006F0BB0" w:rsidRDefault="006F0BB0" w:rsidP="007D1DBA">
            <w:pPr>
              <w:jc w:val="right"/>
              <w:rPr>
                <w:sz w:val="18"/>
                <w:szCs w:val="18"/>
                <w:lang w:val="es-419" w:eastAsia="es-419"/>
              </w:rPr>
            </w:pPr>
            <w:r w:rsidRPr="006F0BB0">
              <w:rPr>
                <w:sz w:val="18"/>
                <w:szCs w:val="18"/>
                <w:lang w:val="es-419" w:eastAsia="es-419"/>
              </w:rPr>
              <w:t>180 468</w:t>
            </w:r>
          </w:p>
        </w:tc>
        <w:tc>
          <w:tcPr>
            <w:tcW w:w="1181" w:type="dxa"/>
            <w:tcBorders>
              <w:top w:val="nil"/>
              <w:left w:val="nil"/>
              <w:bottom w:val="single" w:sz="4" w:space="0" w:color="auto"/>
              <w:right w:val="single" w:sz="4" w:space="0" w:color="auto"/>
            </w:tcBorders>
            <w:shd w:val="clear" w:color="auto" w:fill="auto"/>
            <w:noWrap/>
            <w:hideMark/>
          </w:tcPr>
          <w:p w14:paraId="681FE370" w14:textId="77777777" w:rsidR="006F0BB0" w:rsidRPr="006F0BB0" w:rsidRDefault="006F0BB0" w:rsidP="007D1DBA">
            <w:pPr>
              <w:jc w:val="right"/>
              <w:rPr>
                <w:sz w:val="18"/>
                <w:szCs w:val="18"/>
                <w:lang w:val="es-419" w:eastAsia="es-419"/>
              </w:rPr>
            </w:pPr>
            <w:r w:rsidRPr="006F0BB0">
              <w:rPr>
                <w:sz w:val="18"/>
                <w:szCs w:val="18"/>
                <w:lang w:val="es-419" w:eastAsia="es-419"/>
              </w:rPr>
              <w:t>94,4%</w:t>
            </w:r>
          </w:p>
        </w:tc>
      </w:tr>
      <w:tr w:rsidR="006F0BB0" w:rsidRPr="006F0BB0" w14:paraId="533D72EC"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1AC47E" w14:textId="77777777" w:rsidR="006F0BB0" w:rsidRPr="006F0BB0" w:rsidRDefault="006F0BB0" w:rsidP="007D1DBA">
            <w:pPr>
              <w:jc w:val="left"/>
              <w:rPr>
                <w:sz w:val="18"/>
                <w:szCs w:val="18"/>
                <w:lang w:val="es-419" w:eastAsia="es-419"/>
              </w:rPr>
            </w:pPr>
            <w:r w:rsidRPr="006F0BB0">
              <w:rPr>
                <w:sz w:val="18"/>
                <w:szCs w:val="18"/>
                <w:lang w:val="es-419" w:eastAsia="es-419"/>
              </w:rPr>
              <w:t>Etiopía</w:t>
            </w:r>
          </w:p>
        </w:tc>
        <w:tc>
          <w:tcPr>
            <w:tcW w:w="950" w:type="dxa"/>
            <w:tcBorders>
              <w:top w:val="nil"/>
              <w:left w:val="nil"/>
              <w:bottom w:val="single" w:sz="4" w:space="0" w:color="auto"/>
              <w:right w:val="single" w:sz="4" w:space="0" w:color="auto"/>
            </w:tcBorders>
            <w:shd w:val="clear" w:color="auto" w:fill="auto"/>
            <w:noWrap/>
            <w:hideMark/>
          </w:tcPr>
          <w:p w14:paraId="4BF0BE29" w14:textId="77777777" w:rsidR="006F0BB0" w:rsidRPr="006F0BB0" w:rsidRDefault="006F0BB0" w:rsidP="007D1DBA">
            <w:pPr>
              <w:jc w:val="right"/>
              <w:rPr>
                <w:sz w:val="18"/>
                <w:szCs w:val="18"/>
                <w:lang w:val="es-419" w:eastAsia="es-419"/>
              </w:rPr>
            </w:pPr>
            <w:r w:rsidRPr="006F0BB0">
              <w:rPr>
                <w:sz w:val="18"/>
                <w:szCs w:val="18"/>
                <w:lang w:val="es-419" w:eastAsia="es-419"/>
              </w:rPr>
              <w:t>369 744</w:t>
            </w:r>
          </w:p>
        </w:tc>
        <w:tc>
          <w:tcPr>
            <w:tcW w:w="950" w:type="dxa"/>
            <w:tcBorders>
              <w:top w:val="nil"/>
              <w:left w:val="nil"/>
              <w:bottom w:val="single" w:sz="4" w:space="0" w:color="auto"/>
              <w:right w:val="single" w:sz="4" w:space="0" w:color="auto"/>
            </w:tcBorders>
            <w:shd w:val="clear" w:color="auto" w:fill="auto"/>
            <w:noWrap/>
            <w:hideMark/>
          </w:tcPr>
          <w:p w14:paraId="6DBC010F" w14:textId="77777777" w:rsidR="006F0BB0" w:rsidRPr="006F0BB0" w:rsidRDefault="006F0BB0" w:rsidP="007D1DBA">
            <w:pPr>
              <w:jc w:val="right"/>
              <w:rPr>
                <w:sz w:val="18"/>
                <w:szCs w:val="18"/>
                <w:lang w:val="es-419" w:eastAsia="es-419"/>
              </w:rPr>
            </w:pPr>
            <w:r w:rsidRPr="006F0BB0">
              <w:rPr>
                <w:sz w:val="18"/>
                <w:szCs w:val="18"/>
                <w:lang w:val="es-419" w:eastAsia="es-419"/>
              </w:rPr>
              <w:t>377 139</w:t>
            </w:r>
          </w:p>
        </w:tc>
        <w:tc>
          <w:tcPr>
            <w:tcW w:w="950" w:type="dxa"/>
            <w:tcBorders>
              <w:top w:val="nil"/>
              <w:left w:val="nil"/>
              <w:bottom w:val="single" w:sz="4" w:space="0" w:color="auto"/>
              <w:right w:val="single" w:sz="4" w:space="0" w:color="auto"/>
            </w:tcBorders>
            <w:shd w:val="clear" w:color="auto" w:fill="auto"/>
            <w:noWrap/>
            <w:hideMark/>
          </w:tcPr>
          <w:p w14:paraId="6081984E" w14:textId="77777777" w:rsidR="006F0BB0" w:rsidRPr="006F0BB0" w:rsidRDefault="006F0BB0" w:rsidP="007D1DBA">
            <w:pPr>
              <w:jc w:val="right"/>
              <w:rPr>
                <w:sz w:val="18"/>
                <w:szCs w:val="18"/>
                <w:lang w:val="es-419" w:eastAsia="es-419"/>
              </w:rPr>
            </w:pPr>
            <w:r w:rsidRPr="006F0BB0">
              <w:rPr>
                <w:sz w:val="18"/>
                <w:szCs w:val="18"/>
                <w:lang w:val="es-419" w:eastAsia="es-419"/>
              </w:rPr>
              <w:t>384 682</w:t>
            </w:r>
          </w:p>
        </w:tc>
        <w:tc>
          <w:tcPr>
            <w:tcW w:w="978" w:type="dxa"/>
            <w:tcBorders>
              <w:top w:val="nil"/>
              <w:left w:val="nil"/>
              <w:bottom w:val="single" w:sz="4" w:space="0" w:color="auto"/>
              <w:right w:val="single" w:sz="4" w:space="0" w:color="auto"/>
            </w:tcBorders>
            <w:shd w:val="clear" w:color="auto" w:fill="auto"/>
            <w:noWrap/>
            <w:hideMark/>
          </w:tcPr>
          <w:p w14:paraId="66BCCBEA" w14:textId="77777777" w:rsidR="006F0BB0" w:rsidRPr="006F0BB0" w:rsidRDefault="006F0BB0" w:rsidP="007D1DBA">
            <w:pPr>
              <w:jc w:val="right"/>
              <w:rPr>
                <w:sz w:val="18"/>
                <w:szCs w:val="18"/>
                <w:lang w:val="es-419" w:eastAsia="es-419"/>
              </w:rPr>
            </w:pPr>
            <w:r w:rsidRPr="006F0BB0">
              <w:rPr>
                <w:sz w:val="18"/>
                <w:szCs w:val="18"/>
                <w:lang w:val="es-419" w:eastAsia="es-419"/>
              </w:rPr>
              <w:t>392 375</w:t>
            </w:r>
          </w:p>
        </w:tc>
        <w:tc>
          <w:tcPr>
            <w:tcW w:w="950" w:type="dxa"/>
            <w:tcBorders>
              <w:top w:val="nil"/>
              <w:left w:val="nil"/>
              <w:bottom w:val="single" w:sz="4" w:space="0" w:color="auto"/>
              <w:right w:val="single" w:sz="4" w:space="0" w:color="auto"/>
            </w:tcBorders>
            <w:shd w:val="clear" w:color="auto" w:fill="auto"/>
            <w:noWrap/>
            <w:hideMark/>
          </w:tcPr>
          <w:p w14:paraId="73E7B934" w14:textId="77777777" w:rsidR="006F0BB0" w:rsidRPr="006F0BB0" w:rsidRDefault="006F0BB0" w:rsidP="007D1DBA">
            <w:pPr>
              <w:jc w:val="right"/>
              <w:rPr>
                <w:sz w:val="18"/>
                <w:szCs w:val="18"/>
                <w:lang w:val="es-419" w:eastAsia="es-419"/>
              </w:rPr>
            </w:pPr>
            <w:r w:rsidRPr="006F0BB0">
              <w:rPr>
                <w:sz w:val="18"/>
                <w:szCs w:val="18"/>
                <w:lang w:val="es-419" w:eastAsia="es-419"/>
              </w:rPr>
              <w:t>431 613</w:t>
            </w:r>
          </w:p>
        </w:tc>
        <w:tc>
          <w:tcPr>
            <w:tcW w:w="950" w:type="dxa"/>
            <w:tcBorders>
              <w:top w:val="nil"/>
              <w:left w:val="nil"/>
              <w:bottom w:val="single" w:sz="4" w:space="0" w:color="auto"/>
              <w:right w:val="single" w:sz="4" w:space="0" w:color="auto"/>
            </w:tcBorders>
            <w:shd w:val="clear" w:color="auto" w:fill="auto"/>
            <w:noWrap/>
            <w:hideMark/>
          </w:tcPr>
          <w:p w14:paraId="1BB900FF" w14:textId="77777777" w:rsidR="006F0BB0" w:rsidRPr="006F0BB0" w:rsidRDefault="006F0BB0" w:rsidP="007D1DBA">
            <w:pPr>
              <w:jc w:val="right"/>
              <w:rPr>
                <w:sz w:val="18"/>
                <w:szCs w:val="18"/>
                <w:lang w:val="es-419" w:eastAsia="es-419"/>
              </w:rPr>
            </w:pPr>
            <w:r w:rsidRPr="006F0BB0">
              <w:rPr>
                <w:sz w:val="18"/>
                <w:szCs w:val="18"/>
                <w:lang w:val="es-419" w:eastAsia="es-419"/>
              </w:rPr>
              <w:t>474 774</w:t>
            </w:r>
          </w:p>
        </w:tc>
        <w:tc>
          <w:tcPr>
            <w:tcW w:w="1076" w:type="dxa"/>
            <w:tcBorders>
              <w:top w:val="nil"/>
              <w:left w:val="nil"/>
              <w:bottom w:val="single" w:sz="4" w:space="0" w:color="auto"/>
              <w:right w:val="single" w:sz="4" w:space="0" w:color="auto"/>
            </w:tcBorders>
            <w:shd w:val="clear" w:color="auto" w:fill="auto"/>
            <w:noWrap/>
            <w:hideMark/>
          </w:tcPr>
          <w:p w14:paraId="2367E8EA" w14:textId="77777777" w:rsidR="006F0BB0" w:rsidRPr="006F0BB0" w:rsidRDefault="006F0BB0" w:rsidP="007D1DBA">
            <w:pPr>
              <w:jc w:val="right"/>
              <w:rPr>
                <w:sz w:val="18"/>
                <w:szCs w:val="18"/>
                <w:lang w:val="es-419" w:eastAsia="es-419"/>
              </w:rPr>
            </w:pPr>
            <w:r w:rsidRPr="006F0BB0">
              <w:rPr>
                <w:sz w:val="18"/>
                <w:szCs w:val="18"/>
                <w:lang w:val="es-419" w:eastAsia="es-419"/>
              </w:rPr>
              <w:t>384 732</w:t>
            </w:r>
          </w:p>
        </w:tc>
        <w:tc>
          <w:tcPr>
            <w:tcW w:w="1034" w:type="dxa"/>
            <w:tcBorders>
              <w:top w:val="nil"/>
              <w:left w:val="nil"/>
              <w:bottom w:val="single" w:sz="4" w:space="0" w:color="auto"/>
              <w:right w:val="single" w:sz="4" w:space="0" w:color="auto"/>
            </w:tcBorders>
            <w:shd w:val="clear" w:color="auto" w:fill="auto"/>
            <w:noWrap/>
            <w:hideMark/>
          </w:tcPr>
          <w:p w14:paraId="645F2E46" w14:textId="77777777" w:rsidR="006F0BB0" w:rsidRPr="006F0BB0" w:rsidRDefault="006F0BB0" w:rsidP="007D1DBA">
            <w:pPr>
              <w:jc w:val="right"/>
              <w:rPr>
                <w:sz w:val="18"/>
                <w:szCs w:val="18"/>
                <w:lang w:val="es-419" w:eastAsia="es-419"/>
              </w:rPr>
            </w:pPr>
            <w:r w:rsidRPr="006F0BB0">
              <w:rPr>
                <w:sz w:val="18"/>
                <w:szCs w:val="18"/>
                <w:lang w:val="es-419" w:eastAsia="es-419"/>
              </w:rPr>
              <w:t>502 382</w:t>
            </w:r>
          </w:p>
        </w:tc>
        <w:tc>
          <w:tcPr>
            <w:tcW w:w="1181" w:type="dxa"/>
            <w:tcBorders>
              <w:top w:val="nil"/>
              <w:left w:val="nil"/>
              <w:bottom w:val="single" w:sz="4" w:space="0" w:color="auto"/>
              <w:right w:val="single" w:sz="4" w:space="0" w:color="auto"/>
            </w:tcBorders>
            <w:shd w:val="clear" w:color="auto" w:fill="auto"/>
            <w:noWrap/>
            <w:hideMark/>
          </w:tcPr>
          <w:p w14:paraId="327F2865" w14:textId="77777777" w:rsidR="006F0BB0" w:rsidRPr="006F0BB0" w:rsidRDefault="006F0BB0" w:rsidP="007D1DBA">
            <w:pPr>
              <w:jc w:val="right"/>
              <w:rPr>
                <w:sz w:val="18"/>
                <w:szCs w:val="18"/>
                <w:lang w:val="es-419" w:eastAsia="es-419"/>
              </w:rPr>
            </w:pPr>
            <w:r w:rsidRPr="006F0BB0">
              <w:rPr>
                <w:sz w:val="18"/>
                <w:szCs w:val="18"/>
                <w:lang w:val="es-419" w:eastAsia="es-419"/>
              </w:rPr>
              <w:t>94,5%</w:t>
            </w:r>
          </w:p>
        </w:tc>
      </w:tr>
      <w:tr w:rsidR="006F0BB0" w:rsidRPr="006F0BB0" w14:paraId="52E765B5"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6EA577" w14:textId="77777777" w:rsidR="006F0BB0" w:rsidRPr="006F0BB0" w:rsidRDefault="006F0BB0" w:rsidP="007D1DBA">
            <w:pPr>
              <w:jc w:val="left"/>
              <w:rPr>
                <w:sz w:val="18"/>
                <w:szCs w:val="18"/>
                <w:lang w:val="es-419" w:eastAsia="es-419"/>
              </w:rPr>
            </w:pPr>
            <w:r w:rsidRPr="006F0BB0">
              <w:rPr>
                <w:sz w:val="18"/>
                <w:szCs w:val="18"/>
                <w:lang w:val="es-419" w:eastAsia="es-419"/>
              </w:rPr>
              <w:t>Panamá</w:t>
            </w:r>
          </w:p>
        </w:tc>
        <w:tc>
          <w:tcPr>
            <w:tcW w:w="950" w:type="dxa"/>
            <w:tcBorders>
              <w:top w:val="nil"/>
              <w:left w:val="nil"/>
              <w:bottom w:val="single" w:sz="4" w:space="0" w:color="auto"/>
              <w:right w:val="single" w:sz="4" w:space="0" w:color="auto"/>
            </w:tcBorders>
            <w:shd w:val="clear" w:color="auto" w:fill="auto"/>
            <w:noWrap/>
            <w:hideMark/>
          </w:tcPr>
          <w:p w14:paraId="6ACECF59" w14:textId="77777777" w:rsidR="006F0BB0" w:rsidRPr="006F0BB0" w:rsidRDefault="006F0BB0" w:rsidP="007D1DBA">
            <w:pPr>
              <w:jc w:val="right"/>
              <w:rPr>
                <w:sz w:val="18"/>
                <w:szCs w:val="18"/>
                <w:lang w:val="es-419" w:eastAsia="es-419"/>
              </w:rPr>
            </w:pPr>
            <w:r w:rsidRPr="006F0BB0">
              <w:rPr>
                <w:sz w:val="18"/>
                <w:szCs w:val="18"/>
                <w:lang w:val="es-419" w:eastAsia="es-419"/>
              </w:rPr>
              <w:t>1 565 901</w:t>
            </w:r>
          </w:p>
        </w:tc>
        <w:tc>
          <w:tcPr>
            <w:tcW w:w="950" w:type="dxa"/>
            <w:tcBorders>
              <w:top w:val="nil"/>
              <w:left w:val="nil"/>
              <w:bottom w:val="single" w:sz="4" w:space="0" w:color="auto"/>
              <w:right w:val="single" w:sz="4" w:space="0" w:color="auto"/>
            </w:tcBorders>
            <w:shd w:val="clear" w:color="auto" w:fill="auto"/>
            <w:noWrap/>
            <w:hideMark/>
          </w:tcPr>
          <w:p w14:paraId="1AF572C2" w14:textId="77777777" w:rsidR="006F0BB0" w:rsidRPr="006F0BB0" w:rsidRDefault="006F0BB0" w:rsidP="007D1DBA">
            <w:pPr>
              <w:jc w:val="right"/>
              <w:rPr>
                <w:sz w:val="18"/>
                <w:szCs w:val="18"/>
                <w:lang w:val="es-419" w:eastAsia="es-419"/>
              </w:rPr>
            </w:pPr>
            <w:r w:rsidRPr="006F0BB0">
              <w:rPr>
                <w:sz w:val="18"/>
                <w:szCs w:val="18"/>
                <w:lang w:val="es-419" w:eastAsia="es-419"/>
              </w:rPr>
              <w:t>1 597 219</w:t>
            </w:r>
          </w:p>
        </w:tc>
        <w:tc>
          <w:tcPr>
            <w:tcW w:w="950" w:type="dxa"/>
            <w:tcBorders>
              <w:top w:val="nil"/>
              <w:left w:val="nil"/>
              <w:bottom w:val="single" w:sz="4" w:space="0" w:color="auto"/>
              <w:right w:val="single" w:sz="4" w:space="0" w:color="auto"/>
            </w:tcBorders>
            <w:shd w:val="clear" w:color="auto" w:fill="auto"/>
            <w:noWrap/>
            <w:hideMark/>
          </w:tcPr>
          <w:p w14:paraId="554045D5" w14:textId="77777777" w:rsidR="006F0BB0" w:rsidRPr="006F0BB0" w:rsidRDefault="006F0BB0" w:rsidP="007D1DBA">
            <w:pPr>
              <w:jc w:val="right"/>
              <w:rPr>
                <w:sz w:val="18"/>
                <w:szCs w:val="18"/>
                <w:lang w:val="es-419" w:eastAsia="es-419"/>
              </w:rPr>
            </w:pPr>
            <w:r w:rsidRPr="006F0BB0">
              <w:rPr>
                <w:sz w:val="18"/>
                <w:szCs w:val="18"/>
                <w:lang w:val="es-419" w:eastAsia="es-419"/>
              </w:rPr>
              <w:t>1 629 163</w:t>
            </w:r>
          </w:p>
        </w:tc>
        <w:tc>
          <w:tcPr>
            <w:tcW w:w="978" w:type="dxa"/>
            <w:tcBorders>
              <w:top w:val="nil"/>
              <w:left w:val="nil"/>
              <w:bottom w:val="single" w:sz="4" w:space="0" w:color="auto"/>
              <w:right w:val="single" w:sz="4" w:space="0" w:color="auto"/>
            </w:tcBorders>
            <w:shd w:val="clear" w:color="auto" w:fill="auto"/>
            <w:noWrap/>
            <w:hideMark/>
          </w:tcPr>
          <w:p w14:paraId="1DC3CF8D" w14:textId="77777777" w:rsidR="006F0BB0" w:rsidRPr="006F0BB0" w:rsidRDefault="006F0BB0" w:rsidP="007D1DBA">
            <w:pPr>
              <w:jc w:val="right"/>
              <w:rPr>
                <w:sz w:val="18"/>
                <w:szCs w:val="18"/>
                <w:lang w:val="es-419" w:eastAsia="es-419"/>
              </w:rPr>
            </w:pPr>
            <w:r w:rsidRPr="006F0BB0">
              <w:rPr>
                <w:sz w:val="18"/>
                <w:szCs w:val="18"/>
                <w:lang w:val="es-419" w:eastAsia="es-419"/>
              </w:rPr>
              <w:t>1 661 747</w:t>
            </w:r>
          </w:p>
        </w:tc>
        <w:tc>
          <w:tcPr>
            <w:tcW w:w="950" w:type="dxa"/>
            <w:tcBorders>
              <w:top w:val="nil"/>
              <w:left w:val="nil"/>
              <w:bottom w:val="single" w:sz="4" w:space="0" w:color="auto"/>
              <w:right w:val="single" w:sz="4" w:space="0" w:color="auto"/>
            </w:tcBorders>
            <w:shd w:val="clear" w:color="auto" w:fill="auto"/>
            <w:noWrap/>
            <w:hideMark/>
          </w:tcPr>
          <w:p w14:paraId="7BFE1F86" w14:textId="77777777" w:rsidR="006F0BB0" w:rsidRPr="006F0BB0" w:rsidRDefault="006F0BB0" w:rsidP="007D1DBA">
            <w:pPr>
              <w:jc w:val="right"/>
              <w:rPr>
                <w:sz w:val="18"/>
                <w:szCs w:val="18"/>
                <w:lang w:val="es-419" w:eastAsia="es-419"/>
              </w:rPr>
            </w:pPr>
            <w:r w:rsidRPr="006F0BB0">
              <w:rPr>
                <w:sz w:val="18"/>
                <w:szCs w:val="18"/>
                <w:lang w:val="es-419" w:eastAsia="es-419"/>
              </w:rPr>
              <w:t>1 827 921</w:t>
            </w:r>
          </w:p>
        </w:tc>
        <w:tc>
          <w:tcPr>
            <w:tcW w:w="950" w:type="dxa"/>
            <w:tcBorders>
              <w:top w:val="nil"/>
              <w:left w:val="nil"/>
              <w:bottom w:val="single" w:sz="4" w:space="0" w:color="auto"/>
              <w:right w:val="single" w:sz="4" w:space="0" w:color="auto"/>
            </w:tcBorders>
            <w:shd w:val="clear" w:color="auto" w:fill="auto"/>
            <w:noWrap/>
            <w:hideMark/>
          </w:tcPr>
          <w:p w14:paraId="5F0C4692" w14:textId="77777777" w:rsidR="006F0BB0" w:rsidRPr="006F0BB0" w:rsidRDefault="006F0BB0" w:rsidP="007D1DBA">
            <w:pPr>
              <w:jc w:val="right"/>
              <w:rPr>
                <w:sz w:val="18"/>
                <w:szCs w:val="18"/>
                <w:lang w:val="es-419" w:eastAsia="es-419"/>
              </w:rPr>
            </w:pPr>
            <w:r w:rsidRPr="006F0BB0">
              <w:rPr>
                <w:sz w:val="18"/>
                <w:szCs w:val="18"/>
                <w:lang w:val="es-419" w:eastAsia="es-419"/>
              </w:rPr>
              <w:t>2 010 713</w:t>
            </w:r>
          </w:p>
        </w:tc>
        <w:tc>
          <w:tcPr>
            <w:tcW w:w="1076" w:type="dxa"/>
            <w:tcBorders>
              <w:top w:val="nil"/>
              <w:left w:val="nil"/>
              <w:bottom w:val="single" w:sz="4" w:space="0" w:color="auto"/>
              <w:right w:val="single" w:sz="4" w:space="0" w:color="auto"/>
            </w:tcBorders>
            <w:shd w:val="clear" w:color="auto" w:fill="auto"/>
            <w:noWrap/>
            <w:hideMark/>
          </w:tcPr>
          <w:p w14:paraId="74FC48A5" w14:textId="77777777" w:rsidR="006F0BB0" w:rsidRPr="006F0BB0" w:rsidRDefault="006F0BB0" w:rsidP="007D1DBA">
            <w:pPr>
              <w:jc w:val="right"/>
              <w:rPr>
                <w:sz w:val="18"/>
                <w:szCs w:val="18"/>
                <w:lang w:val="es-419" w:eastAsia="es-419"/>
              </w:rPr>
            </w:pPr>
            <w:r w:rsidRPr="006F0BB0">
              <w:rPr>
                <w:sz w:val="18"/>
                <w:szCs w:val="18"/>
                <w:lang w:val="es-419" w:eastAsia="es-419"/>
              </w:rPr>
              <w:t>1 629 376</w:t>
            </w:r>
          </w:p>
        </w:tc>
        <w:tc>
          <w:tcPr>
            <w:tcW w:w="1034" w:type="dxa"/>
            <w:tcBorders>
              <w:top w:val="nil"/>
              <w:left w:val="nil"/>
              <w:bottom w:val="single" w:sz="4" w:space="0" w:color="auto"/>
              <w:right w:val="single" w:sz="4" w:space="0" w:color="auto"/>
            </w:tcBorders>
            <w:shd w:val="clear" w:color="auto" w:fill="auto"/>
            <w:noWrap/>
            <w:hideMark/>
          </w:tcPr>
          <w:p w14:paraId="0D7BDA94" w14:textId="77777777" w:rsidR="006F0BB0" w:rsidRPr="006F0BB0" w:rsidRDefault="006F0BB0" w:rsidP="007D1DBA">
            <w:pPr>
              <w:jc w:val="right"/>
              <w:rPr>
                <w:sz w:val="18"/>
                <w:szCs w:val="18"/>
                <w:lang w:val="es-419" w:eastAsia="es-419"/>
              </w:rPr>
            </w:pPr>
            <w:r w:rsidRPr="006F0BB0">
              <w:rPr>
                <w:sz w:val="18"/>
                <w:szCs w:val="18"/>
                <w:lang w:val="es-419" w:eastAsia="es-419"/>
              </w:rPr>
              <w:t>2 118 968</w:t>
            </w:r>
          </w:p>
        </w:tc>
        <w:tc>
          <w:tcPr>
            <w:tcW w:w="1181" w:type="dxa"/>
            <w:tcBorders>
              <w:top w:val="nil"/>
              <w:left w:val="nil"/>
              <w:bottom w:val="single" w:sz="4" w:space="0" w:color="auto"/>
              <w:right w:val="single" w:sz="4" w:space="0" w:color="auto"/>
            </w:tcBorders>
            <w:shd w:val="clear" w:color="auto" w:fill="auto"/>
            <w:noWrap/>
            <w:hideMark/>
          </w:tcPr>
          <w:p w14:paraId="637D2453" w14:textId="77777777" w:rsidR="006F0BB0" w:rsidRPr="006F0BB0" w:rsidRDefault="006F0BB0" w:rsidP="007D1DBA">
            <w:pPr>
              <w:jc w:val="right"/>
              <w:rPr>
                <w:sz w:val="18"/>
                <w:szCs w:val="18"/>
                <w:lang w:val="es-419" w:eastAsia="es-419"/>
              </w:rPr>
            </w:pPr>
            <w:r w:rsidRPr="006F0BB0">
              <w:rPr>
                <w:sz w:val="18"/>
                <w:szCs w:val="18"/>
                <w:lang w:val="es-419" w:eastAsia="es-419"/>
              </w:rPr>
              <w:t>94,9%</w:t>
            </w:r>
          </w:p>
        </w:tc>
      </w:tr>
      <w:tr w:rsidR="006F0BB0" w:rsidRPr="006F0BB0" w14:paraId="497E411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235BDA1" w14:textId="77777777" w:rsidR="006F0BB0" w:rsidRPr="006F0BB0" w:rsidRDefault="006F0BB0" w:rsidP="007D1DBA">
            <w:pPr>
              <w:jc w:val="left"/>
              <w:rPr>
                <w:sz w:val="18"/>
                <w:szCs w:val="18"/>
                <w:lang w:val="es-419" w:eastAsia="es-419"/>
              </w:rPr>
            </w:pPr>
            <w:r w:rsidRPr="006F0BB0">
              <w:rPr>
                <w:sz w:val="18"/>
                <w:szCs w:val="18"/>
                <w:lang w:val="es-419" w:eastAsia="es-419"/>
              </w:rPr>
              <w:t>Filipinas</w:t>
            </w:r>
          </w:p>
        </w:tc>
        <w:tc>
          <w:tcPr>
            <w:tcW w:w="950" w:type="dxa"/>
            <w:tcBorders>
              <w:top w:val="nil"/>
              <w:left w:val="nil"/>
              <w:bottom w:val="single" w:sz="4" w:space="0" w:color="auto"/>
              <w:right w:val="single" w:sz="4" w:space="0" w:color="auto"/>
            </w:tcBorders>
            <w:shd w:val="clear" w:color="auto" w:fill="auto"/>
            <w:noWrap/>
            <w:hideMark/>
          </w:tcPr>
          <w:p w14:paraId="32B87A0B" w14:textId="77777777" w:rsidR="006F0BB0" w:rsidRPr="006F0BB0" w:rsidRDefault="006F0BB0" w:rsidP="007D1DBA">
            <w:pPr>
              <w:jc w:val="right"/>
              <w:rPr>
                <w:sz w:val="18"/>
                <w:szCs w:val="18"/>
                <w:lang w:val="es-419" w:eastAsia="es-419"/>
              </w:rPr>
            </w:pPr>
            <w:r w:rsidRPr="006F0BB0">
              <w:rPr>
                <w:sz w:val="18"/>
                <w:szCs w:val="18"/>
                <w:lang w:val="es-419" w:eastAsia="es-419"/>
              </w:rPr>
              <w:t>8 143 976</w:t>
            </w:r>
          </w:p>
        </w:tc>
        <w:tc>
          <w:tcPr>
            <w:tcW w:w="950" w:type="dxa"/>
            <w:tcBorders>
              <w:top w:val="nil"/>
              <w:left w:val="nil"/>
              <w:bottom w:val="single" w:sz="4" w:space="0" w:color="auto"/>
              <w:right w:val="single" w:sz="4" w:space="0" w:color="auto"/>
            </w:tcBorders>
            <w:shd w:val="clear" w:color="auto" w:fill="auto"/>
            <w:noWrap/>
            <w:hideMark/>
          </w:tcPr>
          <w:p w14:paraId="6A2EC672" w14:textId="77777777" w:rsidR="006F0BB0" w:rsidRPr="006F0BB0" w:rsidRDefault="006F0BB0" w:rsidP="007D1DBA">
            <w:pPr>
              <w:jc w:val="right"/>
              <w:rPr>
                <w:sz w:val="18"/>
                <w:szCs w:val="18"/>
                <w:lang w:val="es-419" w:eastAsia="es-419"/>
              </w:rPr>
            </w:pPr>
            <w:r w:rsidRPr="006F0BB0">
              <w:rPr>
                <w:sz w:val="18"/>
                <w:szCs w:val="18"/>
                <w:lang w:val="es-419" w:eastAsia="es-419"/>
              </w:rPr>
              <w:t>8 306 856</w:t>
            </w:r>
          </w:p>
        </w:tc>
        <w:tc>
          <w:tcPr>
            <w:tcW w:w="950" w:type="dxa"/>
            <w:tcBorders>
              <w:top w:val="nil"/>
              <w:left w:val="nil"/>
              <w:bottom w:val="single" w:sz="4" w:space="0" w:color="auto"/>
              <w:right w:val="single" w:sz="4" w:space="0" w:color="auto"/>
            </w:tcBorders>
            <w:shd w:val="clear" w:color="auto" w:fill="auto"/>
            <w:noWrap/>
            <w:hideMark/>
          </w:tcPr>
          <w:p w14:paraId="1F7FE413" w14:textId="77777777" w:rsidR="006F0BB0" w:rsidRPr="006F0BB0" w:rsidRDefault="006F0BB0" w:rsidP="007D1DBA">
            <w:pPr>
              <w:jc w:val="right"/>
              <w:rPr>
                <w:sz w:val="18"/>
                <w:szCs w:val="18"/>
                <w:lang w:val="es-419" w:eastAsia="es-419"/>
              </w:rPr>
            </w:pPr>
            <w:r w:rsidRPr="006F0BB0">
              <w:rPr>
                <w:sz w:val="18"/>
                <w:szCs w:val="18"/>
                <w:lang w:val="es-419" w:eastAsia="es-419"/>
              </w:rPr>
              <w:t>8 472 993</w:t>
            </w:r>
          </w:p>
        </w:tc>
        <w:tc>
          <w:tcPr>
            <w:tcW w:w="978" w:type="dxa"/>
            <w:tcBorders>
              <w:top w:val="nil"/>
              <w:left w:val="nil"/>
              <w:bottom w:val="single" w:sz="4" w:space="0" w:color="auto"/>
              <w:right w:val="single" w:sz="4" w:space="0" w:color="auto"/>
            </w:tcBorders>
            <w:shd w:val="clear" w:color="auto" w:fill="auto"/>
            <w:noWrap/>
            <w:hideMark/>
          </w:tcPr>
          <w:p w14:paraId="085D6C85" w14:textId="77777777" w:rsidR="006F0BB0" w:rsidRPr="006F0BB0" w:rsidRDefault="006F0BB0" w:rsidP="007D1DBA">
            <w:pPr>
              <w:jc w:val="right"/>
              <w:rPr>
                <w:sz w:val="18"/>
                <w:szCs w:val="18"/>
                <w:lang w:val="es-419" w:eastAsia="es-419"/>
              </w:rPr>
            </w:pPr>
            <w:r w:rsidRPr="006F0BB0">
              <w:rPr>
                <w:sz w:val="18"/>
                <w:szCs w:val="18"/>
                <w:lang w:val="es-419" w:eastAsia="es-419"/>
              </w:rPr>
              <w:t>8 642 452</w:t>
            </w:r>
          </w:p>
        </w:tc>
        <w:tc>
          <w:tcPr>
            <w:tcW w:w="950" w:type="dxa"/>
            <w:tcBorders>
              <w:top w:val="nil"/>
              <w:left w:val="nil"/>
              <w:bottom w:val="single" w:sz="4" w:space="0" w:color="auto"/>
              <w:right w:val="single" w:sz="4" w:space="0" w:color="auto"/>
            </w:tcBorders>
            <w:shd w:val="clear" w:color="auto" w:fill="auto"/>
            <w:noWrap/>
            <w:hideMark/>
          </w:tcPr>
          <w:p w14:paraId="0318E5F7" w14:textId="77777777" w:rsidR="006F0BB0" w:rsidRPr="006F0BB0" w:rsidRDefault="006F0BB0" w:rsidP="007D1DBA">
            <w:pPr>
              <w:jc w:val="right"/>
              <w:rPr>
                <w:sz w:val="18"/>
                <w:szCs w:val="18"/>
                <w:lang w:val="es-419" w:eastAsia="es-419"/>
              </w:rPr>
            </w:pPr>
            <w:r w:rsidRPr="006F0BB0">
              <w:rPr>
                <w:sz w:val="18"/>
                <w:szCs w:val="18"/>
                <w:lang w:val="es-419" w:eastAsia="es-419"/>
              </w:rPr>
              <w:t>9 506 698</w:t>
            </w:r>
          </w:p>
        </w:tc>
        <w:tc>
          <w:tcPr>
            <w:tcW w:w="950" w:type="dxa"/>
            <w:tcBorders>
              <w:top w:val="nil"/>
              <w:left w:val="nil"/>
              <w:bottom w:val="single" w:sz="4" w:space="0" w:color="auto"/>
              <w:right w:val="single" w:sz="4" w:space="0" w:color="auto"/>
            </w:tcBorders>
            <w:shd w:val="clear" w:color="auto" w:fill="auto"/>
            <w:noWrap/>
            <w:hideMark/>
          </w:tcPr>
          <w:p w14:paraId="6D3AD852" w14:textId="77777777" w:rsidR="006F0BB0" w:rsidRPr="006F0BB0" w:rsidRDefault="006F0BB0" w:rsidP="007D1DBA">
            <w:pPr>
              <w:jc w:val="right"/>
              <w:rPr>
                <w:sz w:val="18"/>
                <w:szCs w:val="18"/>
                <w:lang w:val="es-419" w:eastAsia="es-419"/>
              </w:rPr>
            </w:pPr>
            <w:r w:rsidRPr="006F0BB0">
              <w:rPr>
                <w:sz w:val="18"/>
                <w:szCs w:val="18"/>
                <w:lang w:val="es-419" w:eastAsia="es-419"/>
              </w:rPr>
              <w:t>10 457 368</w:t>
            </w:r>
          </w:p>
        </w:tc>
        <w:tc>
          <w:tcPr>
            <w:tcW w:w="1076" w:type="dxa"/>
            <w:tcBorders>
              <w:top w:val="nil"/>
              <w:left w:val="nil"/>
              <w:bottom w:val="single" w:sz="4" w:space="0" w:color="auto"/>
              <w:right w:val="single" w:sz="4" w:space="0" w:color="auto"/>
            </w:tcBorders>
            <w:shd w:val="clear" w:color="auto" w:fill="auto"/>
            <w:noWrap/>
            <w:hideMark/>
          </w:tcPr>
          <w:p w14:paraId="0589A659" w14:textId="77777777" w:rsidR="006F0BB0" w:rsidRPr="006F0BB0" w:rsidRDefault="006F0BB0" w:rsidP="007D1DBA">
            <w:pPr>
              <w:jc w:val="right"/>
              <w:rPr>
                <w:sz w:val="18"/>
                <w:szCs w:val="18"/>
                <w:lang w:val="es-419" w:eastAsia="es-419"/>
              </w:rPr>
            </w:pPr>
            <w:r w:rsidRPr="006F0BB0">
              <w:rPr>
                <w:sz w:val="18"/>
                <w:szCs w:val="18"/>
                <w:lang w:val="es-419" w:eastAsia="es-419"/>
              </w:rPr>
              <w:t>8 474 100</w:t>
            </w:r>
          </w:p>
        </w:tc>
        <w:tc>
          <w:tcPr>
            <w:tcW w:w="1034" w:type="dxa"/>
            <w:tcBorders>
              <w:top w:val="nil"/>
              <w:left w:val="nil"/>
              <w:bottom w:val="single" w:sz="4" w:space="0" w:color="auto"/>
              <w:right w:val="single" w:sz="4" w:space="0" w:color="auto"/>
            </w:tcBorders>
            <w:shd w:val="clear" w:color="auto" w:fill="auto"/>
            <w:noWrap/>
            <w:hideMark/>
          </w:tcPr>
          <w:p w14:paraId="0CBF65BF" w14:textId="77777777" w:rsidR="006F0BB0" w:rsidRPr="006F0BB0" w:rsidRDefault="006F0BB0" w:rsidP="007D1DBA">
            <w:pPr>
              <w:jc w:val="right"/>
              <w:rPr>
                <w:sz w:val="18"/>
                <w:szCs w:val="18"/>
                <w:lang w:val="es-419" w:eastAsia="es-419"/>
              </w:rPr>
            </w:pPr>
            <w:r w:rsidRPr="006F0BB0">
              <w:rPr>
                <w:sz w:val="18"/>
                <w:szCs w:val="18"/>
                <w:lang w:val="es-419" w:eastAsia="es-419"/>
              </w:rPr>
              <w:t>11 003 341</w:t>
            </w:r>
          </w:p>
        </w:tc>
        <w:tc>
          <w:tcPr>
            <w:tcW w:w="1181" w:type="dxa"/>
            <w:tcBorders>
              <w:top w:val="nil"/>
              <w:left w:val="nil"/>
              <w:bottom w:val="single" w:sz="4" w:space="0" w:color="auto"/>
              <w:right w:val="single" w:sz="4" w:space="0" w:color="auto"/>
            </w:tcBorders>
            <w:shd w:val="clear" w:color="auto" w:fill="auto"/>
            <w:noWrap/>
            <w:hideMark/>
          </w:tcPr>
          <w:p w14:paraId="25AF19D2" w14:textId="77777777" w:rsidR="006F0BB0" w:rsidRPr="006F0BB0" w:rsidRDefault="006F0BB0" w:rsidP="007D1DBA">
            <w:pPr>
              <w:jc w:val="right"/>
              <w:rPr>
                <w:sz w:val="18"/>
                <w:szCs w:val="18"/>
                <w:lang w:val="es-419" w:eastAsia="es-419"/>
              </w:rPr>
            </w:pPr>
            <w:r w:rsidRPr="006F0BB0">
              <w:rPr>
                <w:sz w:val="18"/>
                <w:szCs w:val="18"/>
                <w:lang w:val="es-419" w:eastAsia="es-419"/>
              </w:rPr>
              <w:t>95,0%</w:t>
            </w:r>
          </w:p>
        </w:tc>
      </w:tr>
      <w:tr w:rsidR="006F0BB0" w:rsidRPr="006F0BB0" w14:paraId="2D3AC0F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92F05C" w14:textId="77777777" w:rsidR="006F0BB0" w:rsidRPr="006F0BB0" w:rsidRDefault="006F0BB0" w:rsidP="007D1DBA">
            <w:pPr>
              <w:jc w:val="left"/>
              <w:rPr>
                <w:sz w:val="18"/>
                <w:szCs w:val="18"/>
                <w:lang w:val="es-419" w:eastAsia="es-419"/>
              </w:rPr>
            </w:pPr>
            <w:r w:rsidRPr="006F0BB0">
              <w:rPr>
                <w:sz w:val="18"/>
                <w:szCs w:val="18"/>
                <w:lang w:val="es-419" w:eastAsia="es-419"/>
              </w:rPr>
              <w:t>República Democrática Popular Lao</w:t>
            </w:r>
          </w:p>
        </w:tc>
        <w:tc>
          <w:tcPr>
            <w:tcW w:w="950" w:type="dxa"/>
            <w:tcBorders>
              <w:top w:val="nil"/>
              <w:left w:val="nil"/>
              <w:bottom w:val="single" w:sz="4" w:space="0" w:color="auto"/>
              <w:right w:val="single" w:sz="4" w:space="0" w:color="auto"/>
            </w:tcBorders>
            <w:shd w:val="clear" w:color="auto" w:fill="auto"/>
            <w:noWrap/>
            <w:hideMark/>
          </w:tcPr>
          <w:p w14:paraId="1F1BC254" w14:textId="77777777" w:rsidR="006F0BB0" w:rsidRPr="006F0BB0" w:rsidRDefault="006F0BB0" w:rsidP="007D1DBA">
            <w:pPr>
              <w:jc w:val="right"/>
              <w:rPr>
                <w:sz w:val="18"/>
                <w:szCs w:val="18"/>
                <w:lang w:val="es-419" w:eastAsia="es-419"/>
              </w:rPr>
            </w:pPr>
            <w:r w:rsidRPr="006F0BB0">
              <w:rPr>
                <w:sz w:val="18"/>
                <w:szCs w:val="18"/>
                <w:lang w:val="es-419" w:eastAsia="es-419"/>
              </w:rPr>
              <w:t>159 041</w:t>
            </w:r>
          </w:p>
        </w:tc>
        <w:tc>
          <w:tcPr>
            <w:tcW w:w="950" w:type="dxa"/>
            <w:tcBorders>
              <w:top w:val="nil"/>
              <w:left w:val="nil"/>
              <w:bottom w:val="single" w:sz="4" w:space="0" w:color="auto"/>
              <w:right w:val="single" w:sz="4" w:space="0" w:color="auto"/>
            </w:tcBorders>
            <w:shd w:val="clear" w:color="auto" w:fill="auto"/>
            <w:noWrap/>
            <w:hideMark/>
          </w:tcPr>
          <w:p w14:paraId="06FAE03E" w14:textId="77777777" w:rsidR="006F0BB0" w:rsidRPr="006F0BB0" w:rsidRDefault="006F0BB0" w:rsidP="007D1DBA">
            <w:pPr>
              <w:jc w:val="right"/>
              <w:rPr>
                <w:sz w:val="18"/>
                <w:szCs w:val="18"/>
                <w:lang w:val="es-419" w:eastAsia="es-419"/>
              </w:rPr>
            </w:pPr>
            <w:r w:rsidRPr="006F0BB0">
              <w:rPr>
                <w:sz w:val="18"/>
                <w:szCs w:val="18"/>
                <w:lang w:val="es-419" w:eastAsia="es-419"/>
              </w:rPr>
              <w:t>162 222</w:t>
            </w:r>
          </w:p>
        </w:tc>
        <w:tc>
          <w:tcPr>
            <w:tcW w:w="950" w:type="dxa"/>
            <w:tcBorders>
              <w:top w:val="nil"/>
              <w:left w:val="nil"/>
              <w:bottom w:val="single" w:sz="4" w:space="0" w:color="auto"/>
              <w:right w:val="single" w:sz="4" w:space="0" w:color="auto"/>
            </w:tcBorders>
            <w:shd w:val="clear" w:color="auto" w:fill="auto"/>
            <w:noWrap/>
            <w:hideMark/>
          </w:tcPr>
          <w:p w14:paraId="61796830" w14:textId="77777777" w:rsidR="006F0BB0" w:rsidRPr="006F0BB0" w:rsidRDefault="006F0BB0" w:rsidP="007D1DBA">
            <w:pPr>
              <w:jc w:val="right"/>
              <w:rPr>
                <w:sz w:val="18"/>
                <w:szCs w:val="18"/>
                <w:lang w:val="es-419" w:eastAsia="es-419"/>
              </w:rPr>
            </w:pPr>
            <w:r w:rsidRPr="006F0BB0">
              <w:rPr>
                <w:sz w:val="18"/>
                <w:szCs w:val="18"/>
                <w:lang w:val="es-419" w:eastAsia="es-419"/>
              </w:rPr>
              <w:t>165 466</w:t>
            </w:r>
          </w:p>
        </w:tc>
        <w:tc>
          <w:tcPr>
            <w:tcW w:w="978" w:type="dxa"/>
            <w:tcBorders>
              <w:top w:val="nil"/>
              <w:left w:val="nil"/>
              <w:bottom w:val="single" w:sz="4" w:space="0" w:color="auto"/>
              <w:right w:val="single" w:sz="4" w:space="0" w:color="auto"/>
            </w:tcBorders>
            <w:shd w:val="clear" w:color="auto" w:fill="auto"/>
            <w:noWrap/>
            <w:hideMark/>
          </w:tcPr>
          <w:p w14:paraId="099EE616" w14:textId="77777777" w:rsidR="006F0BB0" w:rsidRPr="006F0BB0" w:rsidRDefault="006F0BB0" w:rsidP="007D1DBA">
            <w:pPr>
              <w:jc w:val="right"/>
              <w:rPr>
                <w:sz w:val="18"/>
                <w:szCs w:val="18"/>
                <w:lang w:val="es-419" w:eastAsia="es-419"/>
              </w:rPr>
            </w:pPr>
            <w:r w:rsidRPr="006F0BB0">
              <w:rPr>
                <w:sz w:val="18"/>
                <w:szCs w:val="18"/>
                <w:lang w:val="es-419" w:eastAsia="es-419"/>
              </w:rPr>
              <w:t>168 776</w:t>
            </w:r>
          </w:p>
        </w:tc>
        <w:tc>
          <w:tcPr>
            <w:tcW w:w="950" w:type="dxa"/>
            <w:tcBorders>
              <w:top w:val="nil"/>
              <w:left w:val="nil"/>
              <w:bottom w:val="single" w:sz="4" w:space="0" w:color="auto"/>
              <w:right w:val="single" w:sz="4" w:space="0" w:color="auto"/>
            </w:tcBorders>
            <w:shd w:val="clear" w:color="auto" w:fill="auto"/>
            <w:noWrap/>
            <w:hideMark/>
          </w:tcPr>
          <w:p w14:paraId="2FED9C01" w14:textId="77777777" w:rsidR="006F0BB0" w:rsidRPr="006F0BB0" w:rsidRDefault="006F0BB0" w:rsidP="007D1DBA">
            <w:pPr>
              <w:jc w:val="right"/>
              <w:rPr>
                <w:sz w:val="18"/>
                <w:szCs w:val="18"/>
                <w:lang w:val="es-419" w:eastAsia="es-419"/>
              </w:rPr>
            </w:pPr>
            <w:r w:rsidRPr="006F0BB0">
              <w:rPr>
                <w:sz w:val="18"/>
                <w:szCs w:val="18"/>
                <w:lang w:val="es-419" w:eastAsia="es-419"/>
              </w:rPr>
              <w:t>185 653</w:t>
            </w:r>
          </w:p>
        </w:tc>
        <w:tc>
          <w:tcPr>
            <w:tcW w:w="950" w:type="dxa"/>
            <w:tcBorders>
              <w:top w:val="nil"/>
              <w:left w:val="nil"/>
              <w:bottom w:val="single" w:sz="4" w:space="0" w:color="auto"/>
              <w:right w:val="single" w:sz="4" w:space="0" w:color="auto"/>
            </w:tcBorders>
            <w:shd w:val="clear" w:color="auto" w:fill="auto"/>
            <w:noWrap/>
            <w:hideMark/>
          </w:tcPr>
          <w:p w14:paraId="4986AD2D" w14:textId="77777777" w:rsidR="006F0BB0" w:rsidRPr="006F0BB0" w:rsidRDefault="006F0BB0" w:rsidP="007D1DBA">
            <w:pPr>
              <w:jc w:val="right"/>
              <w:rPr>
                <w:sz w:val="18"/>
                <w:szCs w:val="18"/>
                <w:lang w:val="es-419" w:eastAsia="es-419"/>
              </w:rPr>
            </w:pPr>
            <w:r w:rsidRPr="006F0BB0">
              <w:rPr>
                <w:sz w:val="18"/>
                <w:szCs w:val="18"/>
                <w:lang w:val="es-419" w:eastAsia="es-419"/>
              </w:rPr>
              <w:t>204 218</w:t>
            </w:r>
          </w:p>
        </w:tc>
        <w:tc>
          <w:tcPr>
            <w:tcW w:w="1076" w:type="dxa"/>
            <w:tcBorders>
              <w:top w:val="nil"/>
              <w:left w:val="nil"/>
              <w:bottom w:val="single" w:sz="4" w:space="0" w:color="auto"/>
              <w:right w:val="single" w:sz="4" w:space="0" w:color="auto"/>
            </w:tcBorders>
            <w:shd w:val="clear" w:color="auto" w:fill="auto"/>
            <w:noWrap/>
            <w:hideMark/>
          </w:tcPr>
          <w:p w14:paraId="4EAE76E1" w14:textId="77777777" w:rsidR="006F0BB0" w:rsidRPr="006F0BB0" w:rsidRDefault="006F0BB0" w:rsidP="007D1DBA">
            <w:pPr>
              <w:jc w:val="right"/>
              <w:rPr>
                <w:sz w:val="18"/>
                <w:szCs w:val="18"/>
                <w:lang w:val="es-419" w:eastAsia="es-419"/>
              </w:rPr>
            </w:pPr>
            <w:r w:rsidRPr="006F0BB0">
              <w:rPr>
                <w:sz w:val="18"/>
                <w:szCs w:val="18"/>
                <w:lang w:val="es-419" w:eastAsia="es-419"/>
              </w:rPr>
              <w:t>165 488</w:t>
            </w:r>
          </w:p>
        </w:tc>
        <w:tc>
          <w:tcPr>
            <w:tcW w:w="1034" w:type="dxa"/>
            <w:tcBorders>
              <w:top w:val="nil"/>
              <w:left w:val="nil"/>
              <w:bottom w:val="single" w:sz="4" w:space="0" w:color="auto"/>
              <w:right w:val="single" w:sz="4" w:space="0" w:color="auto"/>
            </w:tcBorders>
            <w:shd w:val="clear" w:color="auto" w:fill="auto"/>
            <w:noWrap/>
            <w:hideMark/>
          </w:tcPr>
          <w:p w14:paraId="16138649" w14:textId="77777777" w:rsidR="006F0BB0" w:rsidRPr="006F0BB0" w:rsidRDefault="006F0BB0" w:rsidP="007D1DBA">
            <w:pPr>
              <w:jc w:val="right"/>
              <w:rPr>
                <w:sz w:val="18"/>
                <w:szCs w:val="18"/>
                <w:lang w:val="es-419" w:eastAsia="es-419"/>
              </w:rPr>
            </w:pPr>
            <w:r w:rsidRPr="006F0BB0">
              <w:rPr>
                <w:sz w:val="18"/>
                <w:szCs w:val="18"/>
                <w:lang w:val="es-419" w:eastAsia="es-419"/>
              </w:rPr>
              <w:t>214 813</w:t>
            </w:r>
          </w:p>
        </w:tc>
        <w:tc>
          <w:tcPr>
            <w:tcW w:w="1181" w:type="dxa"/>
            <w:tcBorders>
              <w:top w:val="nil"/>
              <w:left w:val="nil"/>
              <w:bottom w:val="single" w:sz="4" w:space="0" w:color="auto"/>
              <w:right w:val="single" w:sz="4" w:space="0" w:color="auto"/>
            </w:tcBorders>
            <w:shd w:val="clear" w:color="auto" w:fill="auto"/>
            <w:noWrap/>
            <w:hideMark/>
          </w:tcPr>
          <w:p w14:paraId="06134B41" w14:textId="77777777" w:rsidR="006F0BB0" w:rsidRPr="006F0BB0" w:rsidRDefault="006F0BB0" w:rsidP="007D1DBA">
            <w:pPr>
              <w:jc w:val="right"/>
              <w:rPr>
                <w:sz w:val="18"/>
                <w:szCs w:val="18"/>
                <w:lang w:val="es-419" w:eastAsia="es-419"/>
              </w:rPr>
            </w:pPr>
            <w:r w:rsidRPr="006F0BB0">
              <w:rPr>
                <w:sz w:val="18"/>
                <w:szCs w:val="18"/>
                <w:lang w:val="es-419" w:eastAsia="es-419"/>
              </w:rPr>
              <w:t>95,1%</w:t>
            </w:r>
          </w:p>
        </w:tc>
      </w:tr>
      <w:tr w:rsidR="006F0BB0" w:rsidRPr="006F0BB0" w14:paraId="4371C85A"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08F6EE" w14:textId="77777777" w:rsidR="006F0BB0" w:rsidRPr="006F0BB0" w:rsidRDefault="006F0BB0" w:rsidP="007D1DBA">
            <w:pPr>
              <w:jc w:val="left"/>
              <w:rPr>
                <w:sz w:val="18"/>
                <w:szCs w:val="18"/>
                <w:lang w:val="es-419" w:eastAsia="es-419"/>
              </w:rPr>
            </w:pPr>
            <w:r w:rsidRPr="006F0BB0">
              <w:rPr>
                <w:sz w:val="18"/>
                <w:szCs w:val="18"/>
                <w:lang w:val="es-419" w:eastAsia="es-419"/>
              </w:rPr>
              <w:t>Turquía</w:t>
            </w:r>
          </w:p>
        </w:tc>
        <w:tc>
          <w:tcPr>
            <w:tcW w:w="950" w:type="dxa"/>
            <w:tcBorders>
              <w:top w:val="nil"/>
              <w:left w:val="nil"/>
              <w:bottom w:val="single" w:sz="4" w:space="0" w:color="auto"/>
              <w:right w:val="single" w:sz="4" w:space="0" w:color="auto"/>
            </w:tcBorders>
            <w:shd w:val="clear" w:color="auto" w:fill="auto"/>
            <w:noWrap/>
            <w:hideMark/>
          </w:tcPr>
          <w:p w14:paraId="6CF5DB54" w14:textId="77777777" w:rsidR="006F0BB0" w:rsidRPr="006F0BB0" w:rsidRDefault="006F0BB0" w:rsidP="007D1DBA">
            <w:pPr>
              <w:jc w:val="right"/>
              <w:rPr>
                <w:sz w:val="18"/>
                <w:szCs w:val="18"/>
                <w:lang w:val="es-419" w:eastAsia="es-419"/>
              </w:rPr>
            </w:pPr>
            <w:r w:rsidRPr="006F0BB0">
              <w:rPr>
                <w:sz w:val="18"/>
                <w:szCs w:val="18"/>
                <w:lang w:val="es-419" w:eastAsia="es-419"/>
              </w:rPr>
              <w:t>28 156 692</w:t>
            </w:r>
          </w:p>
        </w:tc>
        <w:tc>
          <w:tcPr>
            <w:tcW w:w="950" w:type="dxa"/>
            <w:tcBorders>
              <w:top w:val="nil"/>
              <w:left w:val="nil"/>
              <w:bottom w:val="single" w:sz="4" w:space="0" w:color="auto"/>
              <w:right w:val="single" w:sz="4" w:space="0" w:color="auto"/>
            </w:tcBorders>
            <w:shd w:val="clear" w:color="auto" w:fill="auto"/>
            <w:noWrap/>
            <w:hideMark/>
          </w:tcPr>
          <w:p w14:paraId="2EEC21AC" w14:textId="77777777" w:rsidR="006F0BB0" w:rsidRPr="006F0BB0" w:rsidRDefault="006F0BB0" w:rsidP="007D1DBA">
            <w:pPr>
              <w:jc w:val="right"/>
              <w:rPr>
                <w:sz w:val="18"/>
                <w:szCs w:val="18"/>
                <w:lang w:val="es-419" w:eastAsia="es-419"/>
              </w:rPr>
            </w:pPr>
            <w:r w:rsidRPr="006F0BB0">
              <w:rPr>
                <w:sz w:val="18"/>
                <w:szCs w:val="18"/>
                <w:lang w:val="es-419" w:eastAsia="es-419"/>
              </w:rPr>
              <w:t>28 719 826</w:t>
            </w:r>
          </w:p>
        </w:tc>
        <w:tc>
          <w:tcPr>
            <w:tcW w:w="950" w:type="dxa"/>
            <w:tcBorders>
              <w:top w:val="nil"/>
              <w:left w:val="nil"/>
              <w:bottom w:val="single" w:sz="4" w:space="0" w:color="auto"/>
              <w:right w:val="single" w:sz="4" w:space="0" w:color="auto"/>
            </w:tcBorders>
            <w:shd w:val="clear" w:color="auto" w:fill="auto"/>
            <w:noWrap/>
            <w:hideMark/>
          </w:tcPr>
          <w:p w14:paraId="33D49C93" w14:textId="77777777" w:rsidR="006F0BB0" w:rsidRPr="006F0BB0" w:rsidRDefault="006F0BB0" w:rsidP="007D1DBA">
            <w:pPr>
              <w:jc w:val="right"/>
              <w:rPr>
                <w:sz w:val="18"/>
                <w:szCs w:val="18"/>
                <w:lang w:val="es-419" w:eastAsia="es-419"/>
              </w:rPr>
            </w:pPr>
            <w:r w:rsidRPr="006F0BB0">
              <w:rPr>
                <w:sz w:val="18"/>
                <w:szCs w:val="18"/>
                <w:lang w:val="es-419" w:eastAsia="es-419"/>
              </w:rPr>
              <w:t>29 294 222</w:t>
            </w:r>
          </w:p>
        </w:tc>
        <w:tc>
          <w:tcPr>
            <w:tcW w:w="978" w:type="dxa"/>
            <w:tcBorders>
              <w:top w:val="nil"/>
              <w:left w:val="nil"/>
              <w:bottom w:val="single" w:sz="4" w:space="0" w:color="auto"/>
              <w:right w:val="single" w:sz="4" w:space="0" w:color="auto"/>
            </w:tcBorders>
            <w:shd w:val="clear" w:color="auto" w:fill="auto"/>
            <w:noWrap/>
            <w:hideMark/>
          </w:tcPr>
          <w:p w14:paraId="7E878C1D" w14:textId="77777777" w:rsidR="006F0BB0" w:rsidRPr="006F0BB0" w:rsidRDefault="006F0BB0" w:rsidP="007D1DBA">
            <w:pPr>
              <w:jc w:val="right"/>
              <w:rPr>
                <w:sz w:val="18"/>
                <w:szCs w:val="18"/>
                <w:lang w:val="es-419" w:eastAsia="es-419"/>
              </w:rPr>
            </w:pPr>
            <w:r w:rsidRPr="006F0BB0">
              <w:rPr>
                <w:sz w:val="18"/>
                <w:szCs w:val="18"/>
                <w:lang w:val="es-419" w:eastAsia="es-419"/>
              </w:rPr>
              <w:t>29 880 107</w:t>
            </w:r>
          </w:p>
        </w:tc>
        <w:tc>
          <w:tcPr>
            <w:tcW w:w="950" w:type="dxa"/>
            <w:tcBorders>
              <w:top w:val="nil"/>
              <w:left w:val="nil"/>
              <w:bottom w:val="single" w:sz="4" w:space="0" w:color="auto"/>
              <w:right w:val="single" w:sz="4" w:space="0" w:color="auto"/>
            </w:tcBorders>
            <w:shd w:val="clear" w:color="auto" w:fill="auto"/>
            <w:noWrap/>
            <w:hideMark/>
          </w:tcPr>
          <w:p w14:paraId="31173723" w14:textId="77777777" w:rsidR="006F0BB0" w:rsidRPr="006F0BB0" w:rsidRDefault="006F0BB0" w:rsidP="007D1DBA">
            <w:pPr>
              <w:jc w:val="right"/>
              <w:rPr>
                <w:sz w:val="18"/>
                <w:szCs w:val="18"/>
                <w:lang w:val="es-419" w:eastAsia="es-419"/>
              </w:rPr>
            </w:pPr>
            <w:r w:rsidRPr="006F0BB0">
              <w:rPr>
                <w:sz w:val="18"/>
                <w:szCs w:val="18"/>
                <w:lang w:val="es-419" w:eastAsia="es-419"/>
              </w:rPr>
              <w:t>32 868 117</w:t>
            </w:r>
          </w:p>
        </w:tc>
        <w:tc>
          <w:tcPr>
            <w:tcW w:w="950" w:type="dxa"/>
            <w:tcBorders>
              <w:top w:val="nil"/>
              <w:left w:val="nil"/>
              <w:bottom w:val="single" w:sz="4" w:space="0" w:color="auto"/>
              <w:right w:val="single" w:sz="4" w:space="0" w:color="auto"/>
            </w:tcBorders>
            <w:shd w:val="clear" w:color="auto" w:fill="auto"/>
            <w:noWrap/>
            <w:hideMark/>
          </w:tcPr>
          <w:p w14:paraId="62AB0444" w14:textId="77777777" w:rsidR="006F0BB0" w:rsidRPr="006F0BB0" w:rsidRDefault="006F0BB0" w:rsidP="007D1DBA">
            <w:pPr>
              <w:jc w:val="right"/>
              <w:rPr>
                <w:sz w:val="18"/>
                <w:szCs w:val="18"/>
                <w:lang w:val="es-419" w:eastAsia="es-419"/>
              </w:rPr>
            </w:pPr>
            <w:r w:rsidRPr="006F0BB0">
              <w:rPr>
                <w:sz w:val="18"/>
                <w:szCs w:val="18"/>
                <w:lang w:val="es-419" w:eastAsia="es-419"/>
              </w:rPr>
              <w:t>36 154 929</w:t>
            </w:r>
          </w:p>
        </w:tc>
        <w:tc>
          <w:tcPr>
            <w:tcW w:w="1076" w:type="dxa"/>
            <w:tcBorders>
              <w:top w:val="nil"/>
              <w:left w:val="nil"/>
              <w:bottom w:val="single" w:sz="4" w:space="0" w:color="auto"/>
              <w:right w:val="single" w:sz="4" w:space="0" w:color="auto"/>
            </w:tcBorders>
            <w:shd w:val="clear" w:color="auto" w:fill="auto"/>
            <w:noWrap/>
            <w:hideMark/>
          </w:tcPr>
          <w:p w14:paraId="55CF9AA4" w14:textId="77777777" w:rsidR="006F0BB0" w:rsidRPr="006F0BB0" w:rsidRDefault="006F0BB0" w:rsidP="007D1DBA">
            <w:pPr>
              <w:jc w:val="right"/>
              <w:rPr>
                <w:sz w:val="18"/>
                <w:szCs w:val="18"/>
                <w:lang w:val="es-419" w:eastAsia="es-419"/>
              </w:rPr>
            </w:pPr>
            <w:r w:rsidRPr="006F0BB0">
              <w:rPr>
                <w:sz w:val="18"/>
                <w:szCs w:val="18"/>
                <w:lang w:val="es-419" w:eastAsia="es-419"/>
              </w:rPr>
              <w:t>29 298 052</w:t>
            </w:r>
          </w:p>
        </w:tc>
        <w:tc>
          <w:tcPr>
            <w:tcW w:w="1034" w:type="dxa"/>
            <w:tcBorders>
              <w:top w:val="nil"/>
              <w:left w:val="nil"/>
              <w:bottom w:val="single" w:sz="4" w:space="0" w:color="auto"/>
              <w:right w:val="single" w:sz="4" w:space="0" w:color="auto"/>
            </w:tcBorders>
            <w:shd w:val="clear" w:color="auto" w:fill="auto"/>
            <w:noWrap/>
            <w:hideMark/>
          </w:tcPr>
          <w:p w14:paraId="186C5BAC" w14:textId="77777777" w:rsidR="006F0BB0" w:rsidRPr="006F0BB0" w:rsidRDefault="006F0BB0" w:rsidP="007D1DBA">
            <w:pPr>
              <w:jc w:val="right"/>
              <w:rPr>
                <w:sz w:val="18"/>
                <w:szCs w:val="18"/>
                <w:lang w:val="es-419" w:eastAsia="es-419"/>
              </w:rPr>
            </w:pPr>
            <w:r w:rsidRPr="006F0BB0">
              <w:rPr>
                <w:sz w:val="18"/>
                <w:szCs w:val="18"/>
                <w:lang w:val="es-419" w:eastAsia="es-419"/>
              </w:rPr>
              <w:t>37 952 223</w:t>
            </w:r>
          </w:p>
        </w:tc>
        <w:tc>
          <w:tcPr>
            <w:tcW w:w="1181" w:type="dxa"/>
            <w:tcBorders>
              <w:top w:val="nil"/>
              <w:left w:val="nil"/>
              <w:bottom w:val="single" w:sz="4" w:space="0" w:color="auto"/>
              <w:right w:val="single" w:sz="4" w:space="0" w:color="auto"/>
            </w:tcBorders>
            <w:shd w:val="clear" w:color="auto" w:fill="auto"/>
            <w:noWrap/>
            <w:hideMark/>
          </w:tcPr>
          <w:p w14:paraId="1005A403" w14:textId="77777777" w:rsidR="006F0BB0" w:rsidRPr="006F0BB0" w:rsidRDefault="006F0BB0" w:rsidP="007D1DBA">
            <w:pPr>
              <w:jc w:val="right"/>
              <w:rPr>
                <w:sz w:val="18"/>
                <w:szCs w:val="18"/>
                <w:lang w:val="es-419" w:eastAsia="es-419"/>
              </w:rPr>
            </w:pPr>
            <w:r w:rsidRPr="006F0BB0">
              <w:rPr>
                <w:sz w:val="18"/>
                <w:szCs w:val="18"/>
                <w:lang w:val="es-419" w:eastAsia="es-419"/>
              </w:rPr>
              <w:t>95,3%</w:t>
            </w:r>
          </w:p>
        </w:tc>
      </w:tr>
      <w:tr w:rsidR="006F0BB0" w:rsidRPr="006F0BB0" w14:paraId="6A89D57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20068C" w14:textId="77777777" w:rsidR="006F0BB0" w:rsidRPr="006F0BB0" w:rsidRDefault="006F0BB0" w:rsidP="007D1DBA">
            <w:pPr>
              <w:jc w:val="left"/>
              <w:rPr>
                <w:sz w:val="18"/>
                <w:szCs w:val="18"/>
                <w:lang w:val="es-419" w:eastAsia="es-419"/>
              </w:rPr>
            </w:pPr>
            <w:r w:rsidRPr="006F0BB0">
              <w:rPr>
                <w:sz w:val="18"/>
                <w:szCs w:val="18"/>
                <w:lang w:val="es-419" w:eastAsia="es-419"/>
              </w:rPr>
              <w:t>Brasil</w:t>
            </w:r>
          </w:p>
        </w:tc>
        <w:tc>
          <w:tcPr>
            <w:tcW w:w="950" w:type="dxa"/>
            <w:tcBorders>
              <w:top w:val="nil"/>
              <w:left w:val="nil"/>
              <w:bottom w:val="single" w:sz="4" w:space="0" w:color="auto"/>
              <w:right w:val="single" w:sz="4" w:space="0" w:color="auto"/>
            </w:tcBorders>
            <w:shd w:val="clear" w:color="auto" w:fill="auto"/>
            <w:noWrap/>
            <w:hideMark/>
          </w:tcPr>
          <w:p w14:paraId="0AA8319B" w14:textId="77777777" w:rsidR="006F0BB0" w:rsidRPr="006F0BB0" w:rsidRDefault="006F0BB0" w:rsidP="007D1DBA">
            <w:pPr>
              <w:jc w:val="right"/>
              <w:rPr>
                <w:sz w:val="18"/>
                <w:szCs w:val="18"/>
                <w:lang w:val="es-419" w:eastAsia="es-419"/>
              </w:rPr>
            </w:pPr>
            <w:r w:rsidRPr="006F0BB0">
              <w:rPr>
                <w:sz w:val="18"/>
                <w:szCs w:val="18"/>
                <w:lang w:val="es-419" w:eastAsia="es-419"/>
              </w:rPr>
              <w:t>65 627 001</w:t>
            </w:r>
          </w:p>
        </w:tc>
        <w:tc>
          <w:tcPr>
            <w:tcW w:w="950" w:type="dxa"/>
            <w:tcBorders>
              <w:top w:val="nil"/>
              <w:left w:val="nil"/>
              <w:bottom w:val="single" w:sz="4" w:space="0" w:color="auto"/>
              <w:right w:val="single" w:sz="4" w:space="0" w:color="auto"/>
            </w:tcBorders>
            <w:shd w:val="clear" w:color="auto" w:fill="auto"/>
            <w:noWrap/>
            <w:hideMark/>
          </w:tcPr>
          <w:p w14:paraId="7183CDD0" w14:textId="77777777" w:rsidR="006F0BB0" w:rsidRPr="006F0BB0" w:rsidRDefault="006F0BB0" w:rsidP="007D1DBA">
            <w:pPr>
              <w:jc w:val="right"/>
              <w:rPr>
                <w:sz w:val="18"/>
                <w:szCs w:val="18"/>
                <w:lang w:val="es-419" w:eastAsia="es-419"/>
              </w:rPr>
            </w:pPr>
            <w:r w:rsidRPr="006F0BB0">
              <w:rPr>
                <w:sz w:val="18"/>
                <w:szCs w:val="18"/>
                <w:lang w:val="es-419" w:eastAsia="es-419"/>
              </w:rPr>
              <w:t>66 939 541</w:t>
            </w:r>
          </w:p>
        </w:tc>
        <w:tc>
          <w:tcPr>
            <w:tcW w:w="950" w:type="dxa"/>
            <w:tcBorders>
              <w:top w:val="nil"/>
              <w:left w:val="nil"/>
              <w:bottom w:val="single" w:sz="4" w:space="0" w:color="auto"/>
              <w:right w:val="single" w:sz="4" w:space="0" w:color="auto"/>
            </w:tcBorders>
            <w:shd w:val="clear" w:color="auto" w:fill="auto"/>
            <w:noWrap/>
            <w:hideMark/>
          </w:tcPr>
          <w:p w14:paraId="687BA1D7" w14:textId="77777777" w:rsidR="006F0BB0" w:rsidRPr="006F0BB0" w:rsidRDefault="006F0BB0" w:rsidP="007D1DBA">
            <w:pPr>
              <w:jc w:val="right"/>
              <w:rPr>
                <w:sz w:val="18"/>
                <w:szCs w:val="18"/>
                <w:lang w:val="es-419" w:eastAsia="es-419"/>
              </w:rPr>
            </w:pPr>
            <w:r w:rsidRPr="006F0BB0">
              <w:rPr>
                <w:sz w:val="18"/>
                <w:szCs w:val="18"/>
                <w:lang w:val="es-419" w:eastAsia="es-419"/>
              </w:rPr>
              <w:t>68 278 332</w:t>
            </w:r>
          </w:p>
        </w:tc>
        <w:tc>
          <w:tcPr>
            <w:tcW w:w="978" w:type="dxa"/>
            <w:tcBorders>
              <w:top w:val="nil"/>
              <w:left w:val="nil"/>
              <w:bottom w:val="single" w:sz="4" w:space="0" w:color="auto"/>
              <w:right w:val="single" w:sz="4" w:space="0" w:color="auto"/>
            </w:tcBorders>
            <w:shd w:val="clear" w:color="auto" w:fill="auto"/>
            <w:noWrap/>
            <w:hideMark/>
          </w:tcPr>
          <w:p w14:paraId="69FCA9EB" w14:textId="77777777" w:rsidR="006F0BB0" w:rsidRPr="006F0BB0" w:rsidRDefault="006F0BB0" w:rsidP="007D1DBA">
            <w:pPr>
              <w:jc w:val="right"/>
              <w:rPr>
                <w:sz w:val="18"/>
                <w:szCs w:val="18"/>
                <w:lang w:val="es-419" w:eastAsia="es-419"/>
              </w:rPr>
            </w:pPr>
            <w:r w:rsidRPr="006F0BB0">
              <w:rPr>
                <w:sz w:val="18"/>
                <w:szCs w:val="18"/>
                <w:lang w:val="es-419" w:eastAsia="es-419"/>
              </w:rPr>
              <w:t>69 643 898</w:t>
            </w:r>
          </w:p>
        </w:tc>
        <w:tc>
          <w:tcPr>
            <w:tcW w:w="950" w:type="dxa"/>
            <w:tcBorders>
              <w:top w:val="nil"/>
              <w:left w:val="nil"/>
              <w:bottom w:val="single" w:sz="4" w:space="0" w:color="auto"/>
              <w:right w:val="single" w:sz="4" w:space="0" w:color="auto"/>
            </w:tcBorders>
            <w:shd w:val="clear" w:color="auto" w:fill="auto"/>
            <w:noWrap/>
            <w:hideMark/>
          </w:tcPr>
          <w:p w14:paraId="1D0F7D08" w14:textId="77777777" w:rsidR="006F0BB0" w:rsidRPr="006F0BB0" w:rsidRDefault="006F0BB0" w:rsidP="007D1DBA">
            <w:pPr>
              <w:jc w:val="right"/>
              <w:rPr>
                <w:sz w:val="18"/>
                <w:szCs w:val="18"/>
                <w:lang w:val="es-419" w:eastAsia="es-419"/>
              </w:rPr>
            </w:pPr>
            <w:r w:rsidRPr="006F0BB0">
              <w:rPr>
                <w:sz w:val="18"/>
                <w:szCs w:val="18"/>
                <w:lang w:val="es-419" w:eastAsia="es-419"/>
              </w:rPr>
              <w:t>76 608 288</w:t>
            </w:r>
          </w:p>
        </w:tc>
        <w:tc>
          <w:tcPr>
            <w:tcW w:w="950" w:type="dxa"/>
            <w:tcBorders>
              <w:top w:val="nil"/>
              <w:left w:val="nil"/>
              <w:bottom w:val="single" w:sz="4" w:space="0" w:color="auto"/>
              <w:right w:val="single" w:sz="4" w:space="0" w:color="auto"/>
            </w:tcBorders>
            <w:shd w:val="clear" w:color="auto" w:fill="auto"/>
            <w:noWrap/>
            <w:hideMark/>
          </w:tcPr>
          <w:p w14:paraId="763C5B84" w14:textId="77777777" w:rsidR="006F0BB0" w:rsidRPr="006F0BB0" w:rsidRDefault="006F0BB0" w:rsidP="007D1DBA">
            <w:pPr>
              <w:jc w:val="right"/>
              <w:rPr>
                <w:sz w:val="18"/>
                <w:szCs w:val="18"/>
                <w:lang w:val="es-419" w:eastAsia="es-419"/>
              </w:rPr>
            </w:pPr>
            <w:r w:rsidRPr="006F0BB0">
              <w:rPr>
                <w:sz w:val="18"/>
                <w:szCs w:val="18"/>
                <w:lang w:val="es-419" w:eastAsia="es-419"/>
              </w:rPr>
              <w:t>84 269 117</w:t>
            </w:r>
          </w:p>
        </w:tc>
        <w:tc>
          <w:tcPr>
            <w:tcW w:w="1076" w:type="dxa"/>
            <w:tcBorders>
              <w:top w:val="nil"/>
              <w:left w:val="nil"/>
              <w:bottom w:val="single" w:sz="4" w:space="0" w:color="auto"/>
              <w:right w:val="single" w:sz="4" w:space="0" w:color="auto"/>
            </w:tcBorders>
            <w:shd w:val="clear" w:color="auto" w:fill="auto"/>
            <w:noWrap/>
            <w:hideMark/>
          </w:tcPr>
          <w:p w14:paraId="048FDF54" w14:textId="77777777" w:rsidR="006F0BB0" w:rsidRPr="006F0BB0" w:rsidRDefault="006F0BB0" w:rsidP="007D1DBA">
            <w:pPr>
              <w:jc w:val="right"/>
              <w:rPr>
                <w:sz w:val="18"/>
                <w:szCs w:val="18"/>
                <w:lang w:val="es-419" w:eastAsia="es-419"/>
              </w:rPr>
            </w:pPr>
            <w:r w:rsidRPr="006F0BB0">
              <w:rPr>
                <w:sz w:val="18"/>
                <w:szCs w:val="18"/>
                <w:lang w:val="es-419" w:eastAsia="es-419"/>
              </w:rPr>
              <w:t>68 287 257</w:t>
            </w:r>
          </w:p>
        </w:tc>
        <w:tc>
          <w:tcPr>
            <w:tcW w:w="1034" w:type="dxa"/>
            <w:tcBorders>
              <w:top w:val="nil"/>
              <w:left w:val="nil"/>
              <w:bottom w:val="single" w:sz="4" w:space="0" w:color="auto"/>
              <w:right w:val="single" w:sz="4" w:space="0" w:color="auto"/>
            </w:tcBorders>
            <w:shd w:val="clear" w:color="auto" w:fill="auto"/>
            <w:noWrap/>
            <w:hideMark/>
          </w:tcPr>
          <w:p w14:paraId="1E773D1C" w14:textId="77777777" w:rsidR="006F0BB0" w:rsidRPr="006F0BB0" w:rsidRDefault="006F0BB0" w:rsidP="007D1DBA">
            <w:pPr>
              <w:jc w:val="right"/>
              <w:rPr>
                <w:sz w:val="18"/>
                <w:szCs w:val="18"/>
                <w:lang w:val="es-419" w:eastAsia="es-419"/>
              </w:rPr>
            </w:pPr>
            <w:r w:rsidRPr="006F0BB0">
              <w:rPr>
                <w:sz w:val="18"/>
                <w:szCs w:val="18"/>
                <w:lang w:val="es-419" w:eastAsia="es-419"/>
              </w:rPr>
              <w:t>87 593 820</w:t>
            </w:r>
          </w:p>
        </w:tc>
        <w:tc>
          <w:tcPr>
            <w:tcW w:w="1181" w:type="dxa"/>
            <w:tcBorders>
              <w:top w:val="nil"/>
              <w:left w:val="nil"/>
              <w:bottom w:val="single" w:sz="4" w:space="0" w:color="auto"/>
              <w:right w:val="single" w:sz="4" w:space="0" w:color="auto"/>
            </w:tcBorders>
            <w:shd w:val="clear" w:color="auto" w:fill="auto"/>
            <w:noWrap/>
            <w:hideMark/>
          </w:tcPr>
          <w:p w14:paraId="5F70195C" w14:textId="77777777" w:rsidR="006F0BB0" w:rsidRPr="006F0BB0" w:rsidRDefault="006F0BB0" w:rsidP="007D1DBA">
            <w:pPr>
              <w:jc w:val="right"/>
              <w:rPr>
                <w:sz w:val="18"/>
                <w:szCs w:val="18"/>
                <w:lang w:val="es-419" w:eastAsia="es-419"/>
              </w:rPr>
            </w:pPr>
            <w:r w:rsidRPr="006F0BB0">
              <w:rPr>
                <w:sz w:val="18"/>
                <w:szCs w:val="18"/>
                <w:lang w:val="es-419" w:eastAsia="es-419"/>
              </w:rPr>
              <w:t>96,2%</w:t>
            </w:r>
          </w:p>
        </w:tc>
      </w:tr>
      <w:tr w:rsidR="006F0BB0" w:rsidRPr="006F0BB0" w14:paraId="62D1B95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CFC193" w14:textId="77777777" w:rsidR="006F0BB0" w:rsidRPr="006F0BB0" w:rsidRDefault="006F0BB0" w:rsidP="007D1DBA">
            <w:pPr>
              <w:jc w:val="left"/>
              <w:rPr>
                <w:sz w:val="18"/>
                <w:szCs w:val="18"/>
                <w:lang w:val="es-419" w:eastAsia="es-419"/>
              </w:rPr>
            </w:pPr>
            <w:r w:rsidRPr="006F0BB0">
              <w:rPr>
                <w:sz w:val="18"/>
                <w:szCs w:val="18"/>
                <w:lang w:val="es-419" w:eastAsia="es-419"/>
              </w:rPr>
              <w:t>Mauricio</w:t>
            </w:r>
          </w:p>
        </w:tc>
        <w:tc>
          <w:tcPr>
            <w:tcW w:w="950" w:type="dxa"/>
            <w:tcBorders>
              <w:top w:val="nil"/>
              <w:left w:val="nil"/>
              <w:bottom w:val="single" w:sz="4" w:space="0" w:color="auto"/>
              <w:right w:val="single" w:sz="4" w:space="0" w:color="auto"/>
            </w:tcBorders>
            <w:shd w:val="clear" w:color="auto" w:fill="auto"/>
            <w:noWrap/>
            <w:hideMark/>
          </w:tcPr>
          <w:p w14:paraId="714201D6" w14:textId="77777777" w:rsidR="006F0BB0" w:rsidRPr="006F0BB0" w:rsidRDefault="006F0BB0" w:rsidP="007D1DBA">
            <w:pPr>
              <w:jc w:val="right"/>
              <w:rPr>
                <w:sz w:val="18"/>
                <w:szCs w:val="18"/>
                <w:lang w:val="es-419" w:eastAsia="es-419"/>
              </w:rPr>
            </w:pPr>
            <w:r w:rsidRPr="006F0BB0">
              <w:rPr>
                <w:sz w:val="18"/>
                <w:szCs w:val="18"/>
                <w:lang w:val="es-419" w:eastAsia="es-419"/>
              </w:rPr>
              <w:t>587 594</w:t>
            </w:r>
          </w:p>
        </w:tc>
        <w:tc>
          <w:tcPr>
            <w:tcW w:w="950" w:type="dxa"/>
            <w:tcBorders>
              <w:top w:val="nil"/>
              <w:left w:val="nil"/>
              <w:bottom w:val="single" w:sz="4" w:space="0" w:color="auto"/>
              <w:right w:val="single" w:sz="4" w:space="0" w:color="auto"/>
            </w:tcBorders>
            <w:shd w:val="clear" w:color="auto" w:fill="auto"/>
            <w:noWrap/>
            <w:hideMark/>
          </w:tcPr>
          <w:p w14:paraId="0C4D5BFE" w14:textId="77777777" w:rsidR="006F0BB0" w:rsidRPr="006F0BB0" w:rsidRDefault="006F0BB0" w:rsidP="007D1DBA">
            <w:pPr>
              <w:jc w:val="right"/>
              <w:rPr>
                <w:sz w:val="18"/>
                <w:szCs w:val="18"/>
                <w:lang w:val="es-419" w:eastAsia="es-419"/>
              </w:rPr>
            </w:pPr>
            <w:r w:rsidRPr="006F0BB0">
              <w:rPr>
                <w:sz w:val="18"/>
                <w:szCs w:val="18"/>
                <w:lang w:val="es-419" w:eastAsia="es-419"/>
              </w:rPr>
              <w:t>599 346</w:t>
            </w:r>
          </w:p>
        </w:tc>
        <w:tc>
          <w:tcPr>
            <w:tcW w:w="950" w:type="dxa"/>
            <w:tcBorders>
              <w:top w:val="nil"/>
              <w:left w:val="nil"/>
              <w:bottom w:val="single" w:sz="4" w:space="0" w:color="auto"/>
              <w:right w:val="single" w:sz="4" w:space="0" w:color="auto"/>
            </w:tcBorders>
            <w:shd w:val="clear" w:color="auto" w:fill="auto"/>
            <w:noWrap/>
            <w:hideMark/>
          </w:tcPr>
          <w:p w14:paraId="0ECECC75" w14:textId="77777777" w:rsidR="006F0BB0" w:rsidRPr="006F0BB0" w:rsidRDefault="006F0BB0" w:rsidP="007D1DBA">
            <w:pPr>
              <w:jc w:val="right"/>
              <w:rPr>
                <w:sz w:val="18"/>
                <w:szCs w:val="18"/>
                <w:lang w:val="es-419" w:eastAsia="es-419"/>
              </w:rPr>
            </w:pPr>
            <w:r w:rsidRPr="006F0BB0">
              <w:rPr>
                <w:sz w:val="18"/>
                <w:szCs w:val="18"/>
                <w:lang w:val="es-419" w:eastAsia="es-419"/>
              </w:rPr>
              <w:t>611 333</w:t>
            </w:r>
          </w:p>
        </w:tc>
        <w:tc>
          <w:tcPr>
            <w:tcW w:w="978" w:type="dxa"/>
            <w:tcBorders>
              <w:top w:val="nil"/>
              <w:left w:val="nil"/>
              <w:bottom w:val="single" w:sz="4" w:space="0" w:color="auto"/>
              <w:right w:val="single" w:sz="4" w:space="0" w:color="auto"/>
            </w:tcBorders>
            <w:shd w:val="clear" w:color="auto" w:fill="auto"/>
            <w:noWrap/>
            <w:hideMark/>
          </w:tcPr>
          <w:p w14:paraId="2E866C49" w14:textId="77777777" w:rsidR="006F0BB0" w:rsidRPr="006F0BB0" w:rsidRDefault="006F0BB0" w:rsidP="007D1DBA">
            <w:pPr>
              <w:jc w:val="right"/>
              <w:rPr>
                <w:sz w:val="18"/>
                <w:szCs w:val="18"/>
                <w:lang w:val="es-419" w:eastAsia="es-419"/>
              </w:rPr>
            </w:pPr>
            <w:r w:rsidRPr="006F0BB0">
              <w:rPr>
                <w:sz w:val="18"/>
                <w:szCs w:val="18"/>
                <w:lang w:val="es-419" w:eastAsia="es-419"/>
              </w:rPr>
              <w:t>623 559</w:t>
            </w:r>
          </w:p>
        </w:tc>
        <w:tc>
          <w:tcPr>
            <w:tcW w:w="950" w:type="dxa"/>
            <w:tcBorders>
              <w:top w:val="nil"/>
              <w:left w:val="nil"/>
              <w:bottom w:val="single" w:sz="4" w:space="0" w:color="auto"/>
              <w:right w:val="single" w:sz="4" w:space="0" w:color="auto"/>
            </w:tcBorders>
            <w:shd w:val="clear" w:color="auto" w:fill="auto"/>
            <w:noWrap/>
            <w:hideMark/>
          </w:tcPr>
          <w:p w14:paraId="75F506CE" w14:textId="77777777" w:rsidR="006F0BB0" w:rsidRPr="006F0BB0" w:rsidRDefault="006F0BB0" w:rsidP="007D1DBA">
            <w:pPr>
              <w:jc w:val="right"/>
              <w:rPr>
                <w:sz w:val="18"/>
                <w:szCs w:val="18"/>
                <w:lang w:val="es-419" w:eastAsia="es-419"/>
              </w:rPr>
            </w:pPr>
            <w:r w:rsidRPr="006F0BB0">
              <w:rPr>
                <w:sz w:val="18"/>
                <w:szCs w:val="18"/>
                <w:lang w:val="es-419" w:eastAsia="es-419"/>
              </w:rPr>
              <w:t>685 915</w:t>
            </w:r>
          </w:p>
        </w:tc>
        <w:tc>
          <w:tcPr>
            <w:tcW w:w="950" w:type="dxa"/>
            <w:tcBorders>
              <w:top w:val="nil"/>
              <w:left w:val="nil"/>
              <w:bottom w:val="single" w:sz="4" w:space="0" w:color="auto"/>
              <w:right w:val="single" w:sz="4" w:space="0" w:color="auto"/>
            </w:tcBorders>
            <w:shd w:val="clear" w:color="auto" w:fill="auto"/>
            <w:noWrap/>
            <w:hideMark/>
          </w:tcPr>
          <w:p w14:paraId="54130851" w14:textId="77777777" w:rsidR="006F0BB0" w:rsidRPr="006F0BB0" w:rsidRDefault="006F0BB0" w:rsidP="007D1DBA">
            <w:pPr>
              <w:jc w:val="right"/>
              <w:rPr>
                <w:sz w:val="18"/>
                <w:szCs w:val="18"/>
                <w:lang w:val="es-419" w:eastAsia="es-419"/>
              </w:rPr>
            </w:pPr>
            <w:r w:rsidRPr="006F0BB0">
              <w:rPr>
                <w:sz w:val="18"/>
                <w:szCs w:val="18"/>
                <w:lang w:val="es-419" w:eastAsia="es-419"/>
              </w:rPr>
              <w:t>754 507</w:t>
            </w:r>
          </w:p>
        </w:tc>
        <w:tc>
          <w:tcPr>
            <w:tcW w:w="1076" w:type="dxa"/>
            <w:tcBorders>
              <w:top w:val="nil"/>
              <w:left w:val="nil"/>
              <w:bottom w:val="single" w:sz="4" w:space="0" w:color="auto"/>
              <w:right w:val="single" w:sz="4" w:space="0" w:color="auto"/>
            </w:tcBorders>
            <w:shd w:val="clear" w:color="auto" w:fill="auto"/>
            <w:noWrap/>
            <w:hideMark/>
          </w:tcPr>
          <w:p w14:paraId="7932F273" w14:textId="77777777" w:rsidR="006F0BB0" w:rsidRPr="006F0BB0" w:rsidRDefault="006F0BB0" w:rsidP="007D1DBA">
            <w:pPr>
              <w:jc w:val="right"/>
              <w:rPr>
                <w:sz w:val="18"/>
                <w:szCs w:val="18"/>
                <w:lang w:val="es-419" w:eastAsia="es-419"/>
              </w:rPr>
            </w:pPr>
            <w:r w:rsidRPr="006F0BB0">
              <w:rPr>
                <w:sz w:val="18"/>
                <w:szCs w:val="18"/>
                <w:lang w:val="es-419" w:eastAsia="es-419"/>
              </w:rPr>
              <w:t>611 413</w:t>
            </w:r>
          </w:p>
        </w:tc>
        <w:tc>
          <w:tcPr>
            <w:tcW w:w="1034" w:type="dxa"/>
            <w:tcBorders>
              <w:top w:val="nil"/>
              <w:left w:val="nil"/>
              <w:bottom w:val="single" w:sz="4" w:space="0" w:color="auto"/>
              <w:right w:val="single" w:sz="4" w:space="0" w:color="auto"/>
            </w:tcBorders>
            <w:shd w:val="clear" w:color="auto" w:fill="auto"/>
            <w:noWrap/>
            <w:hideMark/>
          </w:tcPr>
          <w:p w14:paraId="328C1C9D" w14:textId="77777777" w:rsidR="006F0BB0" w:rsidRPr="006F0BB0" w:rsidRDefault="006F0BB0" w:rsidP="007D1DBA">
            <w:pPr>
              <w:jc w:val="right"/>
              <w:rPr>
                <w:sz w:val="18"/>
                <w:szCs w:val="18"/>
                <w:lang w:val="es-419" w:eastAsia="es-419"/>
              </w:rPr>
            </w:pPr>
            <w:r w:rsidRPr="006F0BB0">
              <w:rPr>
                <w:sz w:val="18"/>
                <w:szCs w:val="18"/>
                <w:lang w:val="es-419" w:eastAsia="es-419"/>
              </w:rPr>
              <w:t>780 574</w:t>
            </w:r>
          </w:p>
        </w:tc>
        <w:tc>
          <w:tcPr>
            <w:tcW w:w="1181" w:type="dxa"/>
            <w:tcBorders>
              <w:top w:val="nil"/>
              <w:left w:val="nil"/>
              <w:bottom w:val="single" w:sz="4" w:space="0" w:color="auto"/>
              <w:right w:val="single" w:sz="4" w:space="0" w:color="auto"/>
            </w:tcBorders>
            <w:shd w:val="clear" w:color="auto" w:fill="auto"/>
            <w:noWrap/>
            <w:hideMark/>
          </w:tcPr>
          <w:p w14:paraId="4432902C" w14:textId="77777777" w:rsidR="006F0BB0" w:rsidRPr="006F0BB0" w:rsidRDefault="006F0BB0" w:rsidP="007D1DBA">
            <w:pPr>
              <w:jc w:val="right"/>
              <w:rPr>
                <w:sz w:val="18"/>
                <w:szCs w:val="18"/>
                <w:lang w:val="es-419" w:eastAsia="es-419"/>
              </w:rPr>
            </w:pPr>
            <w:r w:rsidRPr="006F0BB0">
              <w:rPr>
                <w:sz w:val="18"/>
                <w:szCs w:val="18"/>
                <w:lang w:val="es-419" w:eastAsia="es-419"/>
              </w:rPr>
              <w:t>96,7%</w:t>
            </w:r>
          </w:p>
        </w:tc>
      </w:tr>
      <w:tr w:rsidR="006F0BB0" w:rsidRPr="006F0BB0" w14:paraId="15FA2B0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C0BBF1" w14:textId="77777777" w:rsidR="006F0BB0" w:rsidRPr="006F0BB0" w:rsidRDefault="006F0BB0" w:rsidP="007D1DBA">
            <w:pPr>
              <w:jc w:val="left"/>
              <w:rPr>
                <w:sz w:val="18"/>
                <w:szCs w:val="18"/>
                <w:lang w:val="es-419" w:eastAsia="es-419"/>
              </w:rPr>
            </w:pPr>
            <w:r w:rsidRPr="006F0BB0">
              <w:rPr>
                <w:sz w:val="18"/>
                <w:szCs w:val="18"/>
                <w:lang w:val="es-419" w:eastAsia="es-419"/>
              </w:rPr>
              <w:t>Perú</w:t>
            </w:r>
          </w:p>
        </w:tc>
        <w:tc>
          <w:tcPr>
            <w:tcW w:w="950" w:type="dxa"/>
            <w:tcBorders>
              <w:top w:val="nil"/>
              <w:left w:val="nil"/>
              <w:bottom w:val="single" w:sz="4" w:space="0" w:color="auto"/>
              <w:right w:val="single" w:sz="4" w:space="0" w:color="auto"/>
            </w:tcBorders>
            <w:shd w:val="clear" w:color="auto" w:fill="auto"/>
            <w:noWrap/>
            <w:hideMark/>
          </w:tcPr>
          <w:p w14:paraId="56F6C4E5" w14:textId="77777777" w:rsidR="006F0BB0" w:rsidRPr="006F0BB0" w:rsidRDefault="006F0BB0" w:rsidP="007D1DBA">
            <w:pPr>
              <w:jc w:val="right"/>
              <w:rPr>
                <w:sz w:val="18"/>
                <w:szCs w:val="18"/>
                <w:lang w:val="es-419" w:eastAsia="es-419"/>
              </w:rPr>
            </w:pPr>
            <w:r w:rsidRPr="006F0BB0">
              <w:rPr>
                <w:sz w:val="18"/>
                <w:szCs w:val="18"/>
                <w:lang w:val="es-419" w:eastAsia="es-419"/>
              </w:rPr>
              <w:t>1 910 807</w:t>
            </w:r>
          </w:p>
        </w:tc>
        <w:tc>
          <w:tcPr>
            <w:tcW w:w="950" w:type="dxa"/>
            <w:tcBorders>
              <w:top w:val="nil"/>
              <w:left w:val="nil"/>
              <w:bottom w:val="single" w:sz="4" w:space="0" w:color="auto"/>
              <w:right w:val="single" w:sz="4" w:space="0" w:color="auto"/>
            </w:tcBorders>
            <w:shd w:val="clear" w:color="auto" w:fill="auto"/>
            <w:noWrap/>
            <w:hideMark/>
          </w:tcPr>
          <w:p w14:paraId="53EC75CF" w14:textId="77777777" w:rsidR="006F0BB0" w:rsidRPr="006F0BB0" w:rsidRDefault="006F0BB0" w:rsidP="007D1DBA">
            <w:pPr>
              <w:jc w:val="right"/>
              <w:rPr>
                <w:sz w:val="18"/>
                <w:szCs w:val="18"/>
                <w:lang w:val="es-419" w:eastAsia="es-419"/>
              </w:rPr>
            </w:pPr>
            <w:r w:rsidRPr="006F0BB0">
              <w:rPr>
                <w:sz w:val="18"/>
                <w:szCs w:val="18"/>
                <w:lang w:val="es-419" w:eastAsia="es-419"/>
              </w:rPr>
              <w:t>1 949 023</w:t>
            </w:r>
          </w:p>
        </w:tc>
        <w:tc>
          <w:tcPr>
            <w:tcW w:w="950" w:type="dxa"/>
            <w:tcBorders>
              <w:top w:val="nil"/>
              <w:left w:val="nil"/>
              <w:bottom w:val="single" w:sz="4" w:space="0" w:color="auto"/>
              <w:right w:val="single" w:sz="4" w:space="0" w:color="auto"/>
            </w:tcBorders>
            <w:shd w:val="clear" w:color="auto" w:fill="auto"/>
            <w:noWrap/>
            <w:hideMark/>
          </w:tcPr>
          <w:p w14:paraId="31706044" w14:textId="77777777" w:rsidR="006F0BB0" w:rsidRPr="006F0BB0" w:rsidRDefault="006F0BB0" w:rsidP="007D1DBA">
            <w:pPr>
              <w:jc w:val="right"/>
              <w:rPr>
                <w:sz w:val="18"/>
                <w:szCs w:val="18"/>
                <w:lang w:val="es-419" w:eastAsia="es-419"/>
              </w:rPr>
            </w:pPr>
            <w:r w:rsidRPr="006F0BB0">
              <w:rPr>
                <w:sz w:val="18"/>
                <w:szCs w:val="18"/>
                <w:lang w:val="es-419" w:eastAsia="es-419"/>
              </w:rPr>
              <w:t>1 988 004</w:t>
            </w:r>
          </w:p>
        </w:tc>
        <w:tc>
          <w:tcPr>
            <w:tcW w:w="978" w:type="dxa"/>
            <w:tcBorders>
              <w:top w:val="nil"/>
              <w:left w:val="nil"/>
              <w:bottom w:val="single" w:sz="4" w:space="0" w:color="auto"/>
              <w:right w:val="single" w:sz="4" w:space="0" w:color="auto"/>
            </w:tcBorders>
            <w:shd w:val="clear" w:color="auto" w:fill="auto"/>
            <w:noWrap/>
            <w:hideMark/>
          </w:tcPr>
          <w:p w14:paraId="3F29D0EB" w14:textId="77777777" w:rsidR="006F0BB0" w:rsidRPr="006F0BB0" w:rsidRDefault="006F0BB0" w:rsidP="007D1DBA">
            <w:pPr>
              <w:jc w:val="right"/>
              <w:rPr>
                <w:sz w:val="18"/>
                <w:szCs w:val="18"/>
                <w:lang w:val="es-419" w:eastAsia="es-419"/>
              </w:rPr>
            </w:pPr>
            <w:r w:rsidRPr="006F0BB0">
              <w:rPr>
                <w:sz w:val="18"/>
                <w:szCs w:val="18"/>
                <w:lang w:val="es-419" w:eastAsia="es-419"/>
              </w:rPr>
              <w:t>2 027 764</w:t>
            </w:r>
          </w:p>
        </w:tc>
        <w:tc>
          <w:tcPr>
            <w:tcW w:w="950" w:type="dxa"/>
            <w:tcBorders>
              <w:top w:val="nil"/>
              <w:left w:val="nil"/>
              <w:bottom w:val="single" w:sz="4" w:space="0" w:color="auto"/>
              <w:right w:val="single" w:sz="4" w:space="0" w:color="auto"/>
            </w:tcBorders>
            <w:shd w:val="clear" w:color="auto" w:fill="auto"/>
            <w:noWrap/>
            <w:hideMark/>
          </w:tcPr>
          <w:p w14:paraId="42409466" w14:textId="77777777" w:rsidR="006F0BB0" w:rsidRPr="006F0BB0" w:rsidRDefault="006F0BB0" w:rsidP="007D1DBA">
            <w:pPr>
              <w:jc w:val="right"/>
              <w:rPr>
                <w:sz w:val="18"/>
                <w:szCs w:val="18"/>
                <w:lang w:val="es-419" w:eastAsia="es-419"/>
              </w:rPr>
            </w:pPr>
            <w:r w:rsidRPr="006F0BB0">
              <w:rPr>
                <w:sz w:val="18"/>
                <w:szCs w:val="18"/>
                <w:lang w:val="es-419" w:eastAsia="es-419"/>
              </w:rPr>
              <w:t>2 230 540</w:t>
            </w:r>
          </w:p>
        </w:tc>
        <w:tc>
          <w:tcPr>
            <w:tcW w:w="950" w:type="dxa"/>
            <w:tcBorders>
              <w:top w:val="nil"/>
              <w:left w:val="nil"/>
              <w:bottom w:val="single" w:sz="4" w:space="0" w:color="auto"/>
              <w:right w:val="single" w:sz="4" w:space="0" w:color="auto"/>
            </w:tcBorders>
            <w:shd w:val="clear" w:color="auto" w:fill="auto"/>
            <w:noWrap/>
            <w:hideMark/>
          </w:tcPr>
          <w:p w14:paraId="4289DC67" w14:textId="77777777" w:rsidR="006F0BB0" w:rsidRPr="006F0BB0" w:rsidRDefault="006F0BB0" w:rsidP="007D1DBA">
            <w:pPr>
              <w:jc w:val="right"/>
              <w:rPr>
                <w:sz w:val="18"/>
                <w:szCs w:val="18"/>
                <w:lang w:val="es-419" w:eastAsia="es-419"/>
              </w:rPr>
            </w:pPr>
            <w:r w:rsidRPr="006F0BB0">
              <w:rPr>
                <w:sz w:val="18"/>
                <w:szCs w:val="18"/>
                <w:lang w:val="es-419" w:eastAsia="es-419"/>
              </w:rPr>
              <w:t>2 453 594</w:t>
            </w:r>
          </w:p>
        </w:tc>
        <w:tc>
          <w:tcPr>
            <w:tcW w:w="1076" w:type="dxa"/>
            <w:tcBorders>
              <w:top w:val="nil"/>
              <w:left w:val="nil"/>
              <w:bottom w:val="single" w:sz="4" w:space="0" w:color="auto"/>
              <w:right w:val="single" w:sz="4" w:space="0" w:color="auto"/>
            </w:tcBorders>
            <w:shd w:val="clear" w:color="auto" w:fill="auto"/>
            <w:noWrap/>
            <w:hideMark/>
          </w:tcPr>
          <w:p w14:paraId="3DD942F8" w14:textId="77777777" w:rsidR="006F0BB0" w:rsidRPr="006F0BB0" w:rsidRDefault="006F0BB0" w:rsidP="007D1DBA">
            <w:pPr>
              <w:jc w:val="right"/>
              <w:rPr>
                <w:sz w:val="18"/>
                <w:szCs w:val="18"/>
                <w:lang w:val="es-419" w:eastAsia="es-419"/>
              </w:rPr>
            </w:pPr>
            <w:r w:rsidRPr="006F0BB0">
              <w:rPr>
                <w:sz w:val="18"/>
                <w:szCs w:val="18"/>
                <w:lang w:val="es-419" w:eastAsia="es-419"/>
              </w:rPr>
              <w:t>1 988 263</w:t>
            </w:r>
          </w:p>
        </w:tc>
        <w:tc>
          <w:tcPr>
            <w:tcW w:w="1034" w:type="dxa"/>
            <w:tcBorders>
              <w:top w:val="nil"/>
              <w:left w:val="nil"/>
              <w:bottom w:val="single" w:sz="4" w:space="0" w:color="auto"/>
              <w:right w:val="single" w:sz="4" w:space="0" w:color="auto"/>
            </w:tcBorders>
            <w:shd w:val="clear" w:color="auto" w:fill="auto"/>
            <w:noWrap/>
            <w:hideMark/>
          </w:tcPr>
          <w:p w14:paraId="52EAFEFB" w14:textId="77777777" w:rsidR="006F0BB0" w:rsidRPr="006F0BB0" w:rsidRDefault="006F0BB0" w:rsidP="007D1DBA">
            <w:pPr>
              <w:jc w:val="right"/>
              <w:rPr>
                <w:sz w:val="18"/>
                <w:szCs w:val="18"/>
                <w:lang w:val="es-419" w:eastAsia="es-419"/>
              </w:rPr>
            </w:pPr>
            <w:r w:rsidRPr="006F0BB0">
              <w:rPr>
                <w:sz w:val="18"/>
                <w:szCs w:val="18"/>
                <w:lang w:val="es-419" w:eastAsia="es-419"/>
              </w:rPr>
              <w:t>2 532 897</w:t>
            </w:r>
          </w:p>
        </w:tc>
        <w:tc>
          <w:tcPr>
            <w:tcW w:w="1181" w:type="dxa"/>
            <w:tcBorders>
              <w:top w:val="nil"/>
              <w:left w:val="nil"/>
              <w:bottom w:val="single" w:sz="4" w:space="0" w:color="auto"/>
              <w:right w:val="single" w:sz="4" w:space="0" w:color="auto"/>
            </w:tcBorders>
            <w:shd w:val="clear" w:color="auto" w:fill="auto"/>
            <w:noWrap/>
            <w:hideMark/>
          </w:tcPr>
          <w:p w14:paraId="1C44C9B0" w14:textId="77777777" w:rsidR="006F0BB0" w:rsidRPr="006F0BB0" w:rsidRDefault="006F0BB0" w:rsidP="007D1DBA">
            <w:pPr>
              <w:jc w:val="right"/>
              <w:rPr>
                <w:sz w:val="18"/>
                <w:szCs w:val="18"/>
                <w:lang w:val="es-419" w:eastAsia="es-419"/>
              </w:rPr>
            </w:pPr>
            <w:r w:rsidRPr="006F0BB0">
              <w:rPr>
                <w:sz w:val="18"/>
                <w:szCs w:val="18"/>
                <w:lang w:val="es-419" w:eastAsia="es-419"/>
              </w:rPr>
              <w:t>96,9%</w:t>
            </w:r>
          </w:p>
        </w:tc>
      </w:tr>
      <w:tr w:rsidR="006F0BB0" w:rsidRPr="006F0BB0" w14:paraId="42571F8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9504C1C" w14:textId="77777777" w:rsidR="006F0BB0" w:rsidRPr="006F0BB0" w:rsidRDefault="006F0BB0" w:rsidP="007D1DBA">
            <w:pPr>
              <w:jc w:val="left"/>
              <w:rPr>
                <w:sz w:val="18"/>
                <w:szCs w:val="18"/>
                <w:lang w:val="es-419" w:eastAsia="es-419"/>
              </w:rPr>
            </w:pPr>
            <w:r w:rsidRPr="006F0BB0">
              <w:rPr>
                <w:sz w:val="18"/>
                <w:szCs w:val="18"/>
                <w:lang w:val="es-419" w:eastAsia="es-419"/>
              </w:rPr>
              <w:t>Islas Cook</w:t>
            </w:r>
          </w:p>
        </w:tc>
        <w:tc>
          <w:tcPr>
            <w:tcW w:w="950" w:type="dxa"/>
            <w:tcBorders>
              <w:top w:val="nil"/>
              <w:left w:val="nil"/>
              <w:bottom w:val="single" w:sz="4" w:space="0" w:color="auto"/>
              <w:right w:val="single" w:sz="4" w:space="0" w:color="auto"/>
            </w:tcBorders>
            <w:shd w:val="clear" w:color="auto" w:fill="auto"/>
            <w:noWrap/>
            <w:hideMark/>
          </w:tcPr>
          <w:p w14:paraId="58848EFC" w14:textId="77777777" w:rsidR="006F0BB0" w:rsidRPr="006F0BB0" w:rsidRDefault="006F0BB0" w:rsidP="007D1DBA">
            <w:pPr>
              <w:jc w:val="right"/>
              <w:rPr>
                <w:sz w:val="18"/>
                <w:szCs w:val="18"/>
                <w:lang w:val="es-419" w:eastAsia="es-419"/>
              </w:rPr>
            </w:pPr>
            <w:r w:rsidRPr="006F0BB0">
              <w:rPr>
                <w:sz w:val="18"/>
                <w:szCs w:val="18"/>
                <w:lang w:val="es-419" w:eastAsia="es-419"/>
              </w:rPr>
              <w:t>3 757</w:t>
            </w:r>
          </w:p>
        </w:tc>
        <w:tc>
          <w:tcPr>
            <w:tcW w:w="950" w:type="dxa"/>
            <w:tcBorders>
              <w:top w:val="nil"/>
              <w:left w:val="nil"/>
              <w:bottom w:val="single" w:sz="4" w:space="0" w:color="auto"/>
              <w:right w:val="single" w:sz="4" w:space="0" w:color="auto"/>
            </w:tcBorders>
            <w:shd w:val="clear" w:color="auto" w:fill="auto"/>
            <w:noWrap/>
            <w:hideMark/>
          </w:tcPr>
          <w:p w14:paraId="706E37F4" w14:textId="77777777" w:rsidR="006F0BB0" w:rsidRPr="006F0BB0" w:rsidRDefault="006F0BB0" w:rsidP="007D1DBA">
            <w:pPr>
              <w:jc w:val="right"/>
              <w:rPr>
                <w:sz w:val="18"/>
                <w:szCs w:val="18"/>
                <w:lang w:val="es-419" w:eastAsia="es-419"/>
              </w:rPr>
            </w:pPr>
            <w:r w:rsidRPr="006F0BB0">
              <w:rPr>
                <w:sz w:val="18"/>
                <w:szCs w:val="18"/>
                <w:lang w:val="es-419" w:eastAsia="es-419"/>
              </w:rPr>
              <w:t>3 832</w:t>
            </w:r>
          </w:p>
        </w:tc>
        <w:tc>
          <w:tcPr>
            <w:tcW w:w="950" w:type="dxa"/>
            <w:tcBorders>
              <w:top w:val="nil"/>
              <w:left w:val="nil"/>
              <w:bottom w:val="single" w:sz="4" w:space="0" w:color="auto"/>
              <w:right w:val="single" w:sz="4" w:space="0" w:color="auto"/>
            </w:tcBorders>
            <w:shd w:val="clear" w:color="auto" w:fill="auto"/>
            <w:noWrap/>
            <w:hideMark/>
          </w:tcPr>
          <w:p w14:paraId="4F6586BF" w14:textId="77777777" w:rsidR="006F0BB0" w:rsidRPr="006F0BB0" w:rsidRDefault="006F0BB0" w:rsidP="007D1DBA">
            <w:pPr>
              <w:jc w:val="right"/>
              <w:rPr>
                <w:sz w:val="18"/>
                <w:szCs w:val="18"/>
                <w:lang w:val="es-419" w:eastAsia="es-419"/>
              </w:rPr>
            </w:pPr>
            <w:r w:rsidRPr="006F0BB0">
              <w:rPr>
                <w:sz w:val="18"/>
                <w:szCs w:val="18"/>
                <w:lang w:val="es-419" w:eastAsia="es-419"/>
              </w:rPr>
              <w:t>3 909</w:t>
            </w:r>
          </w:p>
        </w:tc>
        <w:tc>
          <w:tcPr>
            <w:tcW w:w="978" w:type="dxa"/>
            <w:tcBorders>
              <w:top w:val="nil"/>
              <w:left w:val="nil"/>
              <w:bottom w:val="single" w:sz="4" w:space="0" w:color="auto"/>
              <w:right w:val="single" w:sz="4" w:space="0" w:color="auto"/>
            </w:tcBorders>
            <w:shd w:val="clear" w:color="auto" w:fill="auto"/>
            <w:noWrap/>
            <w:hideMark/>
          </w:tcPr>
          <w:p w14:paraId="04EF3803" w14:textId="77777777" w:rsidR="006F0BB0" w:rsidRPr="006F0BB0" w:rsidRDefault="006F0BB0" w:rsidP="007D1DBA">
            <w:pPr>
              <w:jc w:val="right"/>
              <w:rPr>
                <w:sz w:val="18"/>
                <w:szCs w:val="18"/>
                <w:lang w:val="es-419" w:eastAsia="es-419"/>
              </w:rPr>
            </w:pPr>
            <w:r w:rsidRPr="006F0BB0">
              <w:rPr>
                <w:sz w:val="18"/>
                <w:szCs w:val="18"/>
                <w:lang w:val="es-419" w:eastAsia="es-419"/>
              </w:rPr>
              <w:t>3 987</w:t>
            </w:r>
          </w:p>
        </w:tc>
        <w:tc>
          <w:tcPr>
            <w:tcW w:w="950" w:type="dxa"/>
            <w:tcBorders>
              <w:top w:val="nil"/>
              <w:left w:val="nil"/>
              <w:bottom w:val="single" w:sz="4" w:space="0" w:color="auto"/>
              <w:right w:val="single" w:sz="4" w:space="0" w:color="auto"/>
            </w:tcBorders>
            <w:shd w:val="clear" w:color="auto" w:fill="auto"/>
            <w:noWrap/>
            <w:hideMark/>
          </w:tcPr>
          <w:p w14:paraId="684490C5" w14:textId="77777777" w:rsidR="006F0BB0" w:rsidRPr="006F0BB0" w:rsidRDefault="006F0BB0" w:rsidP="007D1DBA">
            <w:pPr>
              <w:jc w:val="right"/>
              <w:rPr>
                <w:sz w:val="18"/>
                <w:szCs w:val="18"/>
                <w:lang w:val="es-419" w:eastAsia="es-419"/>
              </w:rPr>
            </w:pPr>
            <w:r w:rsidRPr="006F0BB0">
              <w:rPr>
                <w:sz w:val="18"/>
                <w:szCs w:val="18"/>
                <w:lang w:val="es-419" w:eastAsia="es-419"/>
              </w:rPr>
              <w:t>4 386</w:t>
            </w:r>
          </w:p>
        </w:tc>
        <w:tc>
          <w:tcPr>
            <w:tcW w:w="950" w:type="dxa"/>
            <w:tcBorders>
              <w:top w:val="nil"/>
              <w:left w:val="nil"/>
              <w:bottom w:val="single" w:sz="4" w:space="0" w:color="auto"/>
              <w:right w:val="single" w:sz="4" w:space="0" w:color="auto"/>
            </w:tcBorders>
            <w:shd w:val="clear" w:color="auto" w:fill="auto"/>
            <w:noWrap/>
            <w:hideMark/>
          </w:tcPr>
          <w:p w14:paraId="2972D2EC" w14:textId="77777777" w:rsidR="006F0BB0" w:rsidRPr="006F0BB0" w:rsidRDefault="006F0BB0" w:rsidP="007D1DBA">
            <w:pPr>
              <w:jc w:val="right"/>
              <w:rPr>
                <w:sz w:val="18"/>
                <w:szCs w:val="18"/>
                <w:lang w:val="es-419" w:eastAsia="es-419"/>
              </w:rPr>
            </w:pPr>
            <w:r w:rsidRPr="006F0BB0">
              <w:rPr>
                <w:sz w:val="18"/>
                <w:szCs w:val="18"/>
                <w:lang w:val="es-419" w:eastAsia="es-419"/>
              </w:rPr>
              <w:t>4 824</w:t>
            </w:r>
          </w:p>
        </w:tc>
        <w:tc>
          <w:tcPr>
            <w:tcW w:w="1076" w:type="dxa"/>
            <w:tcBorders>
              <w:top w:val="nil"/>
              <w:left w:val="nil"/>
              <w:bottom w:val="single" w:sz="4" w:space="0" w:color="auto"/>
              <w:right w:val="single" w:sz="4" w:space="0" w:color="auto"/>
            </w:tcBorders>
            <w:shd w:val="clear" w:color="auto" w:fill="auto"/>
            <w:noWrap/>
            <w:hideMark/>
          </w:tcPr>
          <w:p w14:paraId="35127D27" w14:textId="77777777" w:rsidR="006F0BB0" w:rsidRPr="006F0BB0" w:rsidRDefault="006F0BB0" w:rsidP="007D1DBA">
            <w:pPr>
              <w:jc w:val="right"/>
              <w:rPr>
                <w:sz w:val="18"/>
                <w:szCs w:val="18"/>
                <w:lang w:val="es-419" w:eastAsia="es-419"/>
              </w:rPr>
            </w:pPr>
            <w:r w:rsidRPr="006F0BB0">
              <w:rPr>
                <w:sz w:val="18"/>
                <w:szCs w:val="18"/>
                <w:lang w:val="es-419" w:eastAsia="es-419"/>
              </w:rPr>
              <w:t>3 909</w:t>
            </w:r>
          </w:p>
        </w:tc>
        <w:tc>
          <w:tcPr>
            <w:tcW w:w="1034" w:type="dxa"/>
            <w:tcBorders>
              <w:top w:val="nil"/>
              <w:left w:val="nil"/>
              <w:bottom w:val="single" w:sz="4" w:space="0" w:color="auto"/>
              <w:right w:val="single" w:sz="4" w:space="0" w:color="auto"/>
            </w:tcBorders>
            <w:shd w:val="clear" w:color="auto" w:fill="auto"/>
            <w:noWrap/>
            <w:hideMark/>
          </w:tcPr>
          <w:p w14:paraId="21581DB5" w14:textId="77777777" w:rsidR="006F0BB0" w:rsidRPr="006F0BB0" w:rsidRDefault="006F0BB0" w:rsidP="007D1DBA">
            <w:pPr>
              <w:jc w:val="right"/>
              <w:rPr>
                <w:sz w:val="18"/>
                <w:szCs w:val="18"/>
                <w:lang w:val="es-419" w:eastAsia="es-419"/>
              </w:rPr>
            </w:pPr>
            <w:r w:rsidRPr="006F0BB0">
              <w:rPr>
                <w:sz w:val="18"/>
                <w:szCs w:val="18"/>
                <w:lang w:val="es-419" w:eastAsia="es-419"/>
              </w:rPr>
              <w:t>4 958</w:t>
            </w:r>
          </w:p>
        </w:tc>
        <w:tc>
          <w:tcPr>
            <w:tcW w:w="1181" w:type="dxa"/>
            <w:tcBorders>
              <w:top w:val="nil"/>
              <w:left w:val="nil"/>
              <w:bottom w:val="single" w:sz="4" w:space="0" w:color="auto"/>
              <w:right w:val="single" w:sz="4" w:space="0" w:color="auto"/>
            </w:tcBorders>
            <w:shd w:val="clear" w:color="auto" w:fill="auto"/>
            <w:noWrap/>
            <w:hideMark/>
          </w:tcPr>
          <w:p w14:paraId="4C7868BE" w14:textId="77777777" w:rsidR="006F0BB0" w:rsidRPr="006F0BB0" w:rsidRDefault="006F0BB0" w:rsidP="007D1DBA">
            <w:pPr>
              <w:jc w:val="right"/>
              <w:rPr>
                <w:sz w:val="18"/>
                <w:szCs w:val="18"/>
                <w:lang w:val="es-419" w:eastAsia="es-419"/>
              </w:rPr>
            </w:pPr>
            <w:r w:rsidRPr="006F0BB0">
              <w:rPr>
                <w:sz w:val="18"/>
                <w:szCs w:val="18"/>
                <w:lang w:val="es-419" w:eastAsia="es-419"/>
              </w:rPr>
              <w:t>97,3%</w:t>
            </w:r>
          </w:p>
        </w:tc>
      </w:tr>
      <w:tr w:rsidR="006F0BB0" w:rsidRPr="006F0BB0" w14:paraId="18308107"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6099F1" w14:textId="77777777" w:rsidR="006F0BB0" w:rsidRPr="006F0BB0" w:rsidRDefault="006F0BB0" w:rsidP="007D1DBA">
            <w:pPr>
              <w:jc w:val="left"/>
              <w:rPr>
                <w:sz w:val="18"/>
                <w:szCs w:val="18"/>
                <w:lang w:val="es-419" w:eastAsia="es-419"/>
              </w:rPr>
            </w:pPr>
            <w:r w:rsidRPr="006F0BB0">
              <w:rPr>
                <w:sz w:val="18"/>
                <w:szCs w:val="18"/>
                <w:lang w:val="es-419" w:eastAsia="es-419"/>
              </w:rPr>
              <w:t>Honduras</w:t>
            </w:r>
          </w:p>
        </w:tc>
        <w:tc>
          <w:tcPr>
            <w:tcW w:w="950" w:type="dxa"/>
            <w:tcBorders>
              <w:top w:val="nil"/>
              <w:left w:val="nil"/>
              <w:bottom w:val="single" w:sz="4" w:space="0" w:color="auto"/>
              <w:right w:val="single" w:sz="4" w:space="0" w:color="auto"/>
            </w:tcBorders>
            <w:shd w:val="clear" w:color="auto" w:fill="auto"/>
            <w:noWrap/>
            <w:hideMark/>
          </w:tcPr>
          <w:p w14:paraId="4BFE729D" w14:textId="77777777" w:rsidR="006F0BB0" w:rsidRPr="006F0BB0" w:rsidRDefault="006F0BB0" w:rsidP="007D1DBA">
            <w:pPr>
              <w:jc w:val="right"/>
              <w:rPr>
                <w:sz w:val="18"/>
                <w:szCs w:val="18"/>
                <w:lang w:val="es-419" w:eastAsia="es-419"/>
              </w:rPr>
            </w:pPr>
            <w:r w:rsidRPr="006F0BB0">
              <w:rPr>
                <w:sz w:val="18"/>
                <w:szCs w:val="18"/>
                <w:lang w:val="es-419" w:eastAsia="es-419"/>
              </w:rPr>
              <w:t>1 431 079</w:t>
            </w:r>
          </w:p>
        </w:tc>
        <w:tc>
          <w:tcPr>
            <w:tcW w:w="950" w:type="dxa"/>
            <w:tcBorders>
              <w:top w:val="nil"/>
              <w:left w:val="nil"/>
              <w:bottom w:val="single" w:sz="4" w:space="0" w:color="auto"/>
              <w:right w:val="single" w:sz="4" w:space="0" w:color="auto"/>
            </w:tcBorders>
            <w:shd w:val="clear" w:color="auto" w:fill="auto"/>
            <w:noWrap/>
            <w:hideMark/>
          </w:tcPr>
          <w:p w14:paraId="7B7FD67C" w14:textId="77777777" w:rsidR="006F0BB0" w:rsidRPr="006F0BB0" w:rsidRDefault="006F0BB0" w:rsidP="007D1DBA">
            <w:pPr>
              <w:jc w:val="right"/>
              <w:rPr>
                <w:sz w:val="18"/>
                <w:szCs w:val="18"/>
                <w:lang w:val="es-419" w:eastAsia="es-419"/>
              </w:rPr>
            </w:pPr>
            <w:r w:rsidRPr="006F0BB0">
              <w:rPr>
                <w:sz w:val="18"/>
                <w:szCs w:val="18"/>
                <w:lang w:val="es-419" w:eastAsia="es-419"/>
              </w:rPr>
              <w:t>1 459 701</w:t>
            </w:r>
          </w:p>
        </w:tc>
        <w:tc>
          <w:tcPr>
            <w:tcW w:w="950" w:type="dxa"/>
            <w:tcBorders>
              <w:top w:val="nil"/>
              <w:left w:val="nil"/>
              <w:bottom w:val="single" w:sz="4" w:space="0" w:color="auto"/>
              <w:right w:val="single" w:sz="4" w:space="0" w:color="auto"/>
            </w:tcBorders>
            <w:shd w:val="clear" w:color="auto" w:fill="auto"/>
            <w:noWrap/>
            <w:hideMark/>
          </w:tcPr>
          <w:p w14:paraId="72545100" w14:textId="77777777" w:rsidR="006F0BB0" w:rsidRPr="006F0BB0" w:rsidRDefault="006F0BB0" w:rsidP="007D1DBA">
            <w:pPr>
              <w:jc w:val="right"/>
              <w:rPr>
                <w:sz w:val="18"/>
                <w:szCs w:val="18"/>
                <w:lang w:val="es-419" w:eastAsia="es-419"/>
              </w:rPr>
            </w:pPr>
            <w:r w:rsidRPr="006F0BB0">
              <w:rPr>
                <w:sz w:val="18"/>
                <w:szCs w:val="18"/>
                <w:lang w:val="es-419" w:eastAsia="es-419"/>
              </w:rPr>
              <w:t>1 488 895</w:t>
            </w:r>
          </w:p>
        </w:tc>
        <w:tc>
          <w:tcPr>
            <w:tcW w:w="978" w:type="dxa"/>
            <w:tcBorders>
              <w:top w:val="nil"/>
              <w:left w:val="nil"/>
              <w:bottom w:val="single" w:sz="4" w:space="0" w:color="auto"/>
              <w:right w:val="single" w:sz="4" w:space="0" w:color="auto"/>
            </w:tcBorders>
            <w:shd w:val="clear" w:color="auto" w:fill="auto"/>
            <w:noWrap/>
            <w:hideMark/>
          </w:tcPr>
          <w:p w14:paraId="27B453E1" w14:textId="77777777" w:rsidR="006F0BB0" w:rsidRPr="006F0BB0" w:rsidRDefault="006F0BB0" w:rsidP="007D1DBA">
            <w:pPr>
              <w:jc w:val="right"/>
              <w:rPr>
                <w:sz w:val="18"/>
                <w:szCs w:val="18"/>
                <w:lang w:val="es-419" w:eastAsia="es-419"/>
              </w:rPr>
            </w:pPr>
            <w:r w:rsidRPr="006F0BB0">
              <w:rPr>
                <w:sz w:val="18"/>
                <w:szCs w:val="18"/>
                <w:lang w:val="es-419" w:eastAsia="es-419"/>
              </w:rPr>
              <w:t>1 518 672</w:t>
            </w:r>
          </w:p>
        </w:tc>
        <w:tc>
          <w:tcPr>
            <w:tcW w:w="950" w:type="dxa"/>
            <w:tcBorders>
              <w:top w:val="nil"/>
              <w:left w:val="nil"/>
              <w:bottom w:val="single" w:sz="4" w:space="0" w:color="auto"/>
              <w:right w:val="single" w:sz="4" w:space="0" w:color="auto"/>
            </w:tcBorders>
            <w:shd w:val="clear" w:color="auto" w:fill="auto"/>
            <w:noWrap/>
            <w:hideMark/>
          </w:tcPr>
          <w:p w14:paraId="4C02A159" w14:textId="77777777" w:rsidR="006F0BB0" w:rsidRPr="006F0BB0" w:rsidRDefault="006F0BB0" w:rsidP="007D1DBA">
            <w:pPr>
              <w:jc w:val="right"/>
              <w:rPr>
                <w:sz w:val="18"/>
                <w:szCs w:val="18"/>
                <w:lang w:val="es-419" w:eastAsia="es-419"/>
              </w:rPr>
            </w:pPr>
            <w:r w:rsidRPr="006F0BB0">
              <w:rPr>
                <w:sz w:val="18"/>
                <w:szCs w:val="18"/>
                <w:lang w:val="es-419" w:eastAsia="es-419"/>
              </w:rPr>
              <w:t>1 670 540</w:t>
            </w:r>
          </w:p>
        </w:tc>
        <w:tc>
          <w:tcPr>
            <w:tcW w:w="950" w:type="dxa"/>
            <w:tcBorders>
              <w:top w:val="nil"/>
              <w:left w:val="nil"/>
              <w:bottom w:val="single" w:sz="4" w:space="0" w:color="auto"/>
              <w:right w:val="single" w:sz="4" w:space="0" w:color="auto"/>
            </w:tcBorders>
            <w:shd w:val="clear" w:color="auto" w:fill="auto"/>
            <w:noWrap/>
            <w:hideMark/>
          </w:tcPr>
          <w:p w14:paraId="1BF4BF88" w14:textId="77777777" w:rsidR="006F0BB0" w:rsidRPr="006F0BB0" w:rsidRDefault="006F0BB0" w:rsidP="007D1DBA">
            <w:pPr>
              <w:jc w:val="right"/>
              <w:rPr>
                <w:sz w:val="18"/>
                <w:szCs w:val="18"/>
                <w:lang w:val="es-419" w:eastAsia="es-419"/>
              </w:rPr>
            </w:pPr>
            <w:r w:rsidRPr="006F0BB0">
              <w:rPr>
                <w:sz w:val="18"/>
                <w:szCs w:val="18"/>
                <w:lang w:val="es-419" w:eastAsia="es-419"/>
              </w:rPr>
              <w:t>1 837 594</w:t>
            </w:r>
          </w:p>
        </w:tc>
        <w:tc>
          <w:tcPr>
            <w:tcW w:w="1076" w:type="dxa"/>
            <w:tcBorders>
              <w:top w:val="nil"/>
              <w:left w:val="nil"/>
              <w:bottom w:val="single" w:sz="4" w:space="0" w:color="auto"/>
              <w:right w:val="single" w:sz="4" w:space="0" w:color="auto"/>
            </w:tcBorders>
            <w:shd w:val="clear" w:color="auto" w:fill="auto"/>
            <w:noWrap/>
            <w:hideMark/>
          </w:tcPr>
          <w:p w14:paraId="176482F9" w14:textId="77777777" w:rsidR="006F0BB0" w:rsidRPr="006F0BB0" w:rsidRDefault="006F0BB0" w:rsidP="007D1DBA">
            <w:pPr>
              <w:jc w:val="right"/>
              <w:rPr>
                <w:sz w:val="18"/>
                <w:szCs w:val="18"/>
                <w:lang w:val="es-419" w:eastAsia="es-419"/>
              </w:rPr>
            </w:pPr>
            <w:r w:rsidRPr="006F0BB0">
              <w:rPr>
                <w:sz w:val="18"/>
                <w:szCs w:val="18"/>
                <w:lang w:val="es-419" w:eastAsia="es-419"/>
              </w:rPr>
              <w:t>1 489 089</w:t>
            </w:r>
          </w:p>
        </w:tc>
        <w:tc>
          <w:tcPr>
            <w:tcW w:w="1034" w:type="dxa"/>
            <w:tcBorders>
              <w:top w:val="nil"/>
              <w:left w:val="nil"/>
              <w:bottom w:val="single" w:sz="4" w:space="0" w:color="auto"/>
              <w:right w:val="single" w:sz="4" w:space="0" w:color="auto"/>
            </w:tcBorders>
            <w:shd w:val="clear" w:color="auto" w:fill="auto"/>
            <w:noWrap/>
            <w:hideMark/>
          </w:tcPr>
          <w:p w14:paraId="060157A3" w14:textId="77777777" w:rsidR="006F0BB0" w:rsidRPr="006F0BB0" w:rsidRDefault="006F0BB0" w:rsidP="007D1DBA">
            <w:pPr>
              <w:jc w:val="right"/>
              <w:rPr>
                <w:sz w:val="18"/>
                <w:szCs w:val="18"/>
                <w:lang w:val="es-419" w:eastAsia="es-419"/>
              </w:rPr>
            </w:pPr>
            <w:r w:rsidRPr="006F0BB0">
              <w:rPr>
                <w:sz w:val="18"/>
                <w:szCs w:val="18"/>
                <w:lang w:val="es-419" w:eastAsia="es-419"/>
              </w:rPr>
              <w:t>1 882 398</w:t>
            </w:r>
          </w:p>
        </w:tc>
        <w:tc>
          <w:tcPr>
            <w:tcW w:w="1181" w:type="dxa"/>
            <w:tcBorders>
              <w:top w:val="nil"/>
              <w:left w:val="nil"/>
              <w:bottom w:val="single" w:sz="4" w:space="0" w:color="auto"/>
              <w:right w:val="single" w:sz="4" w:space="0" w:color="auto"/>
            </w:tcBorders>
            <w:shd w:val="clear" w:color="auto" w:fill="auto"/>
            <w:noWrap/>
            <w:hideMark/>
          </w:tcPr>
          <w:p w14:paraId="7C8BBF22" w14:textId="77777777" w:rsidR="006F0BB0" w:rsidRPr="006F0BB0" w:rsidRDefault="006F0BB0" w:rsidP="007D1DBA">
            <w:pPr>
              <w:jc w:val="right"/>
              <w:rPr>
                <w:sz w:val="18"/>
                <w:szCs w:val="18"/>
                <w:lang w:val="es-419" w:eastAsia="es-419"/>
              </w:rPr>
            </w:pPr>
            <w:r w:rsidRPr="006F0BB0">
              <w:rPr>
                <w:sz w:val="18"/>
                <w:szCs w:val="18"/>
                <w:lang w:val="es-419" w:eastAsia="es-419"/>
              </w:rPr>
              <w:t>97,6%</w:t>
            </w:r>
          </w:p>
        </w:tc>
      </w:tr>
      <w:tr w:rsidR="006F0BB0" w:rsidRPr="006F0BB0" w14:paraId="07D9C90A"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D29ED2" w14:textId="77777777" w:rsidR="006F0BB0" w:rsidRPr="006F0BB0" w:rsidRDefault="006F0BB0" w:rsidP="007D1DBA">
            <w:pPr>
              <w:jc w:val="left"/>
              <w:rPr>
                <w:sz w:val="18"/>
                <w:szCs w:val="18"/>
                <w:lang w:val="es-419" w:eastAsia="es-419"/>
              </w:rPr>
            </w:pPr>
            <w:r w:rsidRPr="006F0BB0">
              <w:rPr>
                <w:sz w:val="18"/>
                <w:szCs w:val="18"/>
                <w:lang w:val="es-419" w:eastAsia="es-419"/>
              </w:rPr>
              <w:t>Gabón</w:t>
            </w:r>
          </w:p>
        </w:tc>
        <w:tc>
          <w:tcPr>
            <w:tcW w:w="950" w:type="dxa"/>
            <w:tcBorders>
              <w:top w:val="nil"/>
              <w:left w:val="nil"/>
              <w:bottom w:val="single" w:sz="4" w:space="0" w:color="auto"/>
              <w:right w:val="single" w:sz="4" w:space="0" w:color="auto"/>
            </w:tcBorders>
            <w:shd w:val="clear" w:color="auto" w:fill="auto"/>
            <w:noWrap/>
            <w:hideMark/>
          </w:tcPr>
          <w:p w14:paraId="06239763" w14:textId="77777777" w:rsidR="006F0BB0" w:rsidRPr="006F0BB0" w:rsidRDefault="006F0BB0" w:rsidP="007D1DBA">
            <w:pPr>
              <w:jc w:val="right"/>
              <w:rPr>
                <w:sz w:val="18"/>
                <w:szCs w:val="18"/>
                <w:lang w:val="es-419" w:eastAsia="es-419"/>
              </w:rPr>
            </w:pPr>
            <w:r w:rsidRPr="006F0BB0">
              <w:rPr>
                <w:sz w:val="18"/>
                <w:szCs w:val="18"/>
                <w:lang w:val="es-419" w:eastAsia="es-419"/>
              </w:rPr>
              <w:t>2 353 671</w:t>
            </w:r>
          </w:p>
        </w:tc>
        <w:tc>
          <w:tcPr>
            <w:tcW w:w="950" w:type="dxa"/>
            <w:tcBorders>
              <w:top w:val="nil"/>
              <w:left w:val="nil"/>
              <w:bottom w:val="single" w:sz="4" w:space="0" w:color="auto"/>
              <w:right w:val="single" w:sz="4" w:space="0" w:color="auto"/>
            </w:tcBorders>
            <w:shd w:val="clear" w:color="auto" w:fill="auto"/>
            <w:noWrap/>
            <w:hideMark/>
          </w:tcPr>
          <w:p w14:paraId="1E73742E" w14:textId="77777777" w:rsidR="006F0BB0" w:rsidRPr="006F0BB0" w:rsidRDefault="006F0BB0" w:rsidP="007D1DBA">
            <w:pPr>
              <w:jc w:val="right"/>
              <w:rPr>
                <w:sz w:val="18"/>
                <w:szCs w:val="18"/>
                <w:lang w:val="es-419" w:eastAsia="es-419"/>
              </w:rPr>
            </w:pPr>
            <w:r w:rsidRPr="006F0BB0">
              <w:rPr>
                <w:sz w:val="18"/>
                <w:szCs w:val="18"/>
                <w:lang w:val="es-419" w:eastAsia="es-419"/>
              </w:rPr>
              <w:t>2 400 744</w:t>
            </w:r>
          </w:p>
        </w:tc>
        <w:tc>
          <w:tcPr>
            <w:tcW w:w="950" w:type="dxa"/>
            <w:tcBorders>
              <w:top w:val="nil"/>
              <w:left w:val="nil"/>
              <w:bottom w:val="single" w:sz="4" w:space="0" w:color="auto"/>
              <w:right w:val="single" w:sz="4" w:space="0" w:color="auto"/>
            </w:tcBorders>
            <w:shd w:val="clear" w:color="auto" w:fill="auto"/>
            <w:noWrap/>
            <w:hideMark/>
          </w:tcPr>
          <w:p w14:paraId="4E3CB990" w14:textId="77777777" w:rsidR="006F0BB0" w:rsidRPr="006F0BB0" w:rsidRDefault="006F0BB0" w:rsidP="007D1DBA">
            <w:pPr>
              <w:jc w:val="right"/>
              <w:rPr>
                <w:sz w:val="18"/>
                <w:szCs w:val="18"/>
                <w:lang w:val="es-419" w:eastAsia="es-419"/>
              </w:rPr>
            </w:pPr>
            <w:r w:rsidRPr="006F0BB0">
              <w:rPr>
                <w:sz w:val="18"/>
                <w:szCs w:val="18"/>
                <w:lang w:val="es-419" w:eastAsia="es-419"/>
              </w:rPr>
              <w:t>2 448 759</w:t>
            </w:r>
          </w:p>
        </w:tc>
        <w:tc>
          <w:tcPr>
            <w:tcW w:w="978" w:type="dxa"/>
            <w:tcBorders>
              <w:top w:val="nil"/>
              <w:left w:val="nil"/>
              <w:bottom w:val="single" w:sz="4" w:space="0" w:color="auto"/>
              <w:right w:val="single" w:sz="4" w:space="0" w:color="auto"/>
            </w:tcBorders>
            <w:shd w:val="clear" w:color="auto" w:fill="auto"/>
            <w:noWrap/>
            <w:hideMark/>
          </w:tcPr>
          <w:p w14:paraId="0AA7B3A4" w14:textId="77777777" w:rsidR="006F0BB0" w:rsidRPr="006F0BB0" w:rsidRDefault="006F0BB0" w:rsidP="007D1DBA">
            <w:pPr>
              <w:jc w:val="right"/>
              <w:rPr>
                <w:sz w:val="18"/>
                <w:szCs w:val="18"/>
                <w:lang w:val="es-419" w:eastAsia="es-419"/>
              </w:rPr>
            </w:pPr>
            <w:r w:rsidRPr="006F0BB0">
              <w:rPr>
                <w:sz w:val="18"/>
                <w:szCs w:val="18"/>
                <w:lang w:val="es-419" w:eastAsia="es-419"/>
              </w:rPr>
              <w:t>2 497 734</w:t>
            </w:r>
          </w:p>
        </w:tc>
        <w:tc>
          <w:tcPr>
            <w:tcW w:w="950" w:type="dxa"/>
            <w:tcBorders>
              <w:top w:val="nil"/>
              <w:left w:val="nil"/>
              <w:bottom w:val="single" w:sz="4" w:space="0" w:color="auto"/>
              <w:right w:val="single" w:sz="4" w:space="0" w:color="auto"/>
            </w:tcBorders>
            <w:shd w:val="clear" w:color="auto" w:fill="auto"/>
            <w:noWrap/>
            <w:hideMark/>
          </w:tcPr>
          <w:p w14:paraId="5EA34463" w14:textId="77777777" w:rsidR="006F0BB0" w:rsidRPr="006F0BB0" w:rsidRDefault="006F0BB0" w:rsidP="007D1DBA">
            <w:pPr>
              <w:jc w:val="right"/>
              <w:rPr>
                <w:sz w:val="18"/>
                <w:szCs w:val="18"/>
                <w:lang w:val="es-419" w:eastAsia="es-419"/>
              </w:rPr>
            </w:pPr>
            <w:r w:rsidRPr="006F0BB0">
              <w:rPr>
                <w:sz w:val="18"/>
                <w:szCs w:val="18"/>
                <w:lang w:val="es-419" w:eastAsia="es-419"/>
              </w:rPr>
              <w:t>2 747 508</w:t>
            </w:r>
          </w:p>
        </w:tc>
        <w:tc>
          <w:tcPr>
            <w:tcW w:w="950" w:type="dxa"/>
            <w:tcBorders>
              <w:top w:val="nil"/>
              <w:left w:val="nil"/>
              <w:bottom w:val="single" w:sz="4" w:space="0" w:color="auto"/>
              <w:right w:val="single" w:sz="4" w:space="0" w:color="auto"/>
            </w:tcBorders>
            <w:shd w:val="clear" w:color="auto" w:fill="auto"/>
            <w:noWrap/>
            <w:hideMark/>
          </w:tcPr>
          <w:p w14:paraId="38837171" w14:textId="77777777" w:rsidR="006F0BB0" w:rsidRPr="006F0BB0" w:rsidRDefault="006F0BB0" w:rsidP="007D1DBA">
            <w:pPr>
              <w:jc w:val="right"/>
              <w:rPr>
                <w:sz w:val="18"/>
                <w:szCs w:val="18"/>
                <w:lang w:val="es-419" w:eastAsia="es-419"/>
              </w:rPr>
            </w:pPr>
            <w:r w:rsidRPr="006F0BB0">
              <w:rPr>
                <w:sz w:val="18"/>
                <w:szCs w:val="18"/>
                <w:lang w:val="es-419" w:eastAsia="es-419"/>
              </w:rPr>
              <w:t>3 022 259</w:t>
            </w:r>
          </w:p>
        </w:tc>
        <w:tc>
          <w:tcPr>
            <w:tcW w:w="1076" w:type="dxa"/>
            <w:tcBorders>
              <w:top w:val="nil"/>
              <w:left w:val="nil"/>
              <w:bottom w:val="single" w:sz="4" w:space="0" w:color="auto"/>
              <w:right w:val="single" w:sz="4" w:space="0" w:color="auto"/>
            </w:tcBorders>
            <w:shd w:val="clear" w:color="auto" w:fill="auto"/>
            <w:noWrap/>
            <w:hideMark/>
          </w:tcPr>
          <w:p w14:paraId="25A3CFF9" w14:textId="77777777" w:rsidR="006F0BB0" w:rsidRPr="006F0BB0" w:rsidRDefault="006F0BB0" w:rsidP="007D1DBA">
            <w:pPr>
              <w:jc w:val="right"/>
              <w:rPr>
                <w:sz w:val="18"/>
                <w:szCs w:val="18"/>
                <w:lang w:val="es-419" w:eastAsia="es-419"/>
              </w:rPr>
            </w:pPr>
            <w:r w:rsidRPr="006F0BB0">
              <w:rPr>
                <w:sz w:val="18"/>
                <w:szCs w:val="18"/>
                <w:lang w:val="es-419" w:eastAsia="es-419"/>
              </w:rPr>
              <w:t>2 449 079</w:t>
            </w:r>
          </w:p>
        </w:tc>
        <w:tc>
          <w:tcPr>
            <w:tcW w:w="1034" w:type="dxa"/>
            <w:tcBorders>
              <w:top w:val="nil"/>
              <w:left w:val="nil"/>
              <w:bottom w:val="single" w:sz="4" w:space="0" w:color="auto"/>
              <w:right w:val="single" w:sz="4" w:space="0" w:color="auto"/>
            </w:tcBorders>
            <w:shd w:val="clear" w:color="auto" w:fill="auto"/>
            <w:noWrap/>
            <w:hideMark/>
          </w:tcPr>
          <w:p w14:paraId="186E47B8" w14:textId="77777777" w:rsidR="006F0BB0" w:rsidRPr="006F0BB0" w:rsidRDefault="006F0BB0" w:rsidP="007D1DBA">
            <w:pPr>
              <w:jc w:val="right"/>
              <w:rPr>
                <w:sz w:val="18"/>
                <w:szCs w:val="18"/>
                <w:lang w:val="es-419" w:eastAsia="es-419"/>
              </w:rPr>
            </w:pPr>
            <w:r w:rsidRPr="006F0BB0">
              <w:rPr>
                <w:sz w:val="18"/>
                <w:szCs w:val="18"/>
                <w:lang w:val="es-419" w:eastAsia="es-419"/>
              </w:rPr>
              <w:t>3 094 919</w:t>
            </w:r>
          </w:p>
        </w:tc>
        <w:tc>
          <w:tcPr>
            <w:tcW w:w="1181" w:type="dxa"/>
            <w:tcBorders>
              <w:top w:val="nil"/>
              <w:left w:val="nil"/>
              <w:bottom w:val="single" w:sz="4" w:space="0" w:color="auto"/>
              <w:right w:val="single" w:sz="4" w:space="0" w:color="auto"/>
            </w:tcBorders>
            <w:shd w:val="clear" w:color="auto" w:fill="auto"/>
            <w:noWrap/>
            <w:hideMark/>
          </w:tcPr>
          <w:p w14:paraId="59C22387" w14:textId="77777777" w:rsidR="006F0BB0" w:rsidRPr="006F0BB0" w:rsidRDefault="006F0BB0" w:rsidP="007D1DBA">
            <w:pPr>
              <w:jc w:val="right"/>
              <w:rPr>
                <w:sz w:val="18"/>
                <w:szCs w:val="18"/>
                <w:lang w:val="es-419" w:eastAsia="es-419"/>
              </w:rPr>
            </w:pPr>
            <w:r w:rsidRPr="006F0BB0">
              <w:rPr>
                <w:sz w:val="18"/>
                <w:szCs w:val="18"/>
                <w:lang w:val="es-419" w:eastAsia="es-419"/>
              </w:rPr>
              <w:t>97,7%</w:t>
            </w:r>
          </w:p>
        </w:tc>
      </w:tr>
      <w:tr w:rsidR="006F0BB0" w:rsidRPr="006F0BB0" w14:paraId="33CE0214"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0233B0" w14:textId="77777777" w:rsidR="006F0BB0" w:rsidRPr="006F0BB0" w:rsidRDefault="006F0BB0" w:rsidP="007D1DBA">
            <w:pPr>
              <w:jc w:val="left"/>
              <w:rPr>
                <w:sz w:val="18"/>
                <w:szCs w:val="18"/>
                <w:lang w:val="es-419" w:eastAsia="es-419"/>
              </w:rPr>
            </w:pPr>
            <w:r w:rsidRPr="006F0BB0">
              <w:rPr>
                <w:sz w:val="18"/>
                <w:szCs w:val="18"/>
                <w:lang w:val="es-419" w:eastAsia="es-419"/>
              </w:rPr>
              <w:t>México</w:t>
            </w:r>
          </w:p>
        </w:tc>
        <w:tc>
          <w:tcPr>
            <w:tcW w:w="950" w:type="dxa"/>
            <w:tcBorders>
              <w:top w:val="nil"/>
              <w:left w:val="nil"/>
              <w:bottom w:val="single" w:sz="4" w:space="0" w:color="auto"/>
              <w:right w:val="single" w:sz="4" w:space="0" w:color="auto"/>
            </w:tcBorders>
            <w:shd w:val="clear" w:color="auto" w:fill="auto"/>
            <w:noWrap/>
            <w:hideMark/>
          </w:tcPr>
          <w:p w14:paraId="7485C379" w14:textId="77777777" w:rsidR="006F0BB0" w:rsidRPr="006F0BB0" w:rsidRDefault="006F0BB0" w:rsidP="007D1DBA">
            <w:pPr>
              <w:jc w:val="right"/>
              <w:rPr>
                <w:sz w:val="18"/>
                <w:szCs w:val="18"/>
                <w:lang w:val="es-419" w:eastAsia="es-419"/>
              </w:rPr>
            </w:pPr>
            <w:r w:rsidRPr="006F0BB0">
              <w:rPr>
                <w:sz w:val="18"/>
                <w:szCs w:val="18"/>
                <w:lang w:val="es-419" w:eastAsia="es-419"/>
              </w:rPr>
              <w:t>50 263 972</w:t>
            </w:r>
          </w:p>
        </w:tc>
        <w:tc>
          <w:tcPr>
            <w:tcW w:w="950" w:type="dxa"/>
            <w:tcBorders>
              <w:top w:val="nil"/>
              <w:left w:val="nil"/>
              <w:bottom w:val="single" w:sz="4" w:space="0" w:color="auto"/>
              <w:right w:val="single" w:sz="4" w:space="0" w:color="auto"/>
            </w:tcBorders>
            <w:shd w:val="clear" w:color="auto" w:fill="auto"/>
            <w:noWrap/>
            <w:hideMark/>
          </w:tcPr>
          <w:p w14:paraId="4AA8DF4F" w14:textId="77777777" w:rsidR="006F0BB0" w:rsidRPr="006F0BB0" w:rsidRDefault="006F0BB0" w:rsidP="007D1DBA">
            <w:pPr>
              <w:jc w:val="right"/>
              <w:rPr>
                <w:sz w:val="18"/>
                <w:szCs w:val="18"/>
                <w:lang w:val="es-419" w:eastAsia="es-419"/>
              </w:rPr>
            </w:pPr>
            <w:r w:rsidRPr="006F0BB0">
              <w:rPr>
                <w:sz w:val="18"/>
                <w:szCs w:val="18"/>
                <w:lang w:val="es-419" w:eastAsia="es-419"/>
              </w:rPr>
              <w:t>51 269 251</w:t>
            </w:r>
          </w:p>
        </w:tc>
        <w:tc>
          <w:tcPr>
            <w:tcW w:w="950" w:type="dxa"/>
            <w:tcBorders>
              <w:top w:val="nil"/>
              <w:left w:val="nil"/>
              <w:bottom w:val="single" w:sz="4" w:space="0" w:color="auto"/>
              <w:right w:val="single" w:sz="4" w:space="0" w:color="auto"/>
            </w:tcBorders>
            <w:shd w:val="clear" w:color="auto" w:fill="auto"/>
            <w:noWrap/>
            <w:hideMark/>
          </w:tcPr>
          <w:p w14:paraId="4B8BB855" w14:textId="77777777" w:rsidR="006F0BB0" w:rsidRPr="006F0BB0" w:rsidRDefault="006F0BB0" w:rsidP="007D1DBA">
            <w:pPr>
              <w:jc w:val="right"/>
              <w:rPr>
                <w:sz w:val="18"/>
                <w:szCs w:val="18"/>
                <w:lang w:val="es-419" w:eastAsia="es-419"/>
              </w:rPr>
            </w:pPr>
            <w:r w:rsidRPr="006F0BB0">
              <w:rPr>
                <w:sz w:val="18"/>
                <w:szCs w:val="18"/>
                <w:lang w:val="es-419" w:eastAsia="es-419"/>
              </w:rPr>
              <w:t>52 294 636</w:t>
            </w:r>
          </w:p>
        </w:tc>
        <w:tc>
          <w:tcPr>
            <w:tcW w:w="978" w:type="dxa"/>
            <w:tcBorders>
              <w:top w:val="nil"/>
              <w:left w:val="nil"/>
              <w:bottom w:val="single" w:sz="4" w:space="0" w:color="auto"/>
              <w:right w:val="single" w:sz="4" w:space="0" w:color="auto"/>
            </w:tcBorders>
            <w:shd w:val="clear" w:color="auto" w:fill="auto"/>
            <w:noWrap/>
            <w:hideMark/>
          </w:tcPr>
          <w:p w14:paraId="4A2B7E87" w14:textId="77777777" w:rsidR="006F0BB0" w:rsidRPr="006F0BB0" w:rsidRDefault="006F0BB0" w:rsidP="007D1DBA">
            <w:pPr>
              <w:jc w:val="right"/>
              <w:rPr>
                <w:sz w:val="18"/>
                <w:szCs w:val="18"/>
                <w:lang w:val="es-419" w:eastAsia="es-419"/>
              </w:rPr>
            </w:pPr>
            <w:r w:rsidRPr="006F0BB0">
              <w:rPr>
                <w:sz w:val="18"/>
                <w:szCs w:val="18"/>
                <w:lang w:val="es-419" w:eastAsia="es-419"/>
              </w:rPr>
              <w:t>53 340 529</w:t>
            </w:r>
          </w:p>
        </w:tc>
        <w:tc>
          <w:tcPr>
            <w:tcW w:w="950" w:type="dxa"/>
            <w:tcBorders>
              <w:top w:val="nil"/>
              <w:left w:val="nil"/>
              <w:bottom w:val="single" w:sz="4" w:space="0" w:color="auto"/>
              <w:right w:val="single" w:sz="4" w:space="0" w:color="auto"/>
            </w:tcBorders>
            <w:shd w:val="clear" w:color="auto" w:fill="auto"/>
            <w:noWrap/>
            <w:hideMark/>
          </w:tcPr>
          <w:p w14:paraId="01A1DF3B" w14:textId="77777777" w:rsidR="006F0BB0" w:rsidRPr="006F0BB0" w:rsidRDefault="006F0BB0" w:rsidP="007D1DBA">
            <w:pPr>
              <w:jc w:val="right"/>
              <w:rPr>
                <w:sz w:val="18"/>
                <w:szCs w:val="18"/>
                <w:lang w:val="es-419" w:eastAsia="es-419"/>
              </w:rPr>
            </w:pPr>
            <w:r w:rsidRPr="006F0BB0">
              <w:rPr>
                <w:sz w:val="18"/>
                <w:szCs w:val="18"/>
                <w:lang w:val="es-419" w:eastAsia="es-419"/>
              </w:rPr>
              <w:t>58 674 582</w:t>
            </w:r>
          </w:p>
        </w:tc>
        <w:tc>
          <w:tcPr>
            <w:tcW w:w="950" w:type="dxa"/>
            <w:tcBorders>
              <w:top w:val="nil"/>
              <w:left w:val="nil"/>
              <w:bottom w:val="single" w:sz="4" w:space="0" w:color="auto"/>
              <w:right w:val="single" w:sz="4" w:space="0" w:color="auto"/>
            </w:tcBorders>
            <w:shd w:val="clear" w:color="auto" w:fill="auto"/>
            <w:noWrap/>
            <w:hideMark/>
          </w:tcPr>
          <w:p w14:paraId="39FD9A46" w14:textId="77777777" w:rsidR="006F0BB0" w:rsidRPr="006F0BB0" w:rsidRDefault="006F0BB0" w:rsidP="007D1DBA">
            <w:pPr>
              <w:jc w:val="right"/>
              <w:rPr>
                <w:sz w:val="18"/>
                <w:szCs w:val="18"/>
                <w:lang w:val="es-419" w:eastAsia="es-419"/>
              </w:rPr>
            </w:pPr>
            <w:r w:rsidRPr="006F0BB0">
              <w:rPr>
                <w:sz w:val="18"/>
                <w:szCs w:val="18"/>
                <w:lang w:val="es-419" w:eastAsia="es-419"/>
              </w:rPr>
              <w:t>64 542 040</w:t>
            </w:r>
          </w:p>
        </w:tc>
        <w:tc>
          <w:tcPr>
            <w:tcW w:w="1076" w:type="dxa"/>
            <w:tcBorders>
              <w:top w:val="nil"/>
              <w:left w:val="nil"/>
              <w:bottom w:val="single" w:sz="4" w:space="0" w:color="auto"/>
              <w:right w:val="single" w:sz="4" w:space="0" w:color="auto"/>
            </w:tcBorders>
            <w:shd w:val="clear" w:color="auto" w:fill="auto"/>
            <w:noWrap/>
            <w:hideMark/>
          </w:tcPr>
          <w:p w14:paraId="51143FFA" w14:textId="77777777" w:rsidR="006F0BB0" w:rsidRPr="006F0BB0" w:rsidRDefault="006F0BB0" w:rsidP="007D1DBA">
            <w:pPr>
              <w:jc w:val="right"/>
              <w:rPr>
                <w:sz w:val="18"/>
                <w:szCs w:val="18"/>
                <w:lang w:val="es-419" w:eastAsia="es-419"/>
              </w:rPr>
            </w:pPr>
            <w:r w:rsidRPr="006F0BB0">
              <w:rPr>
                <w:sz w:val="18"/>
                <w:szCs w:val="18"/>
                <w:lang w:val="es-419" w:eastAsia="es-419"/>
              </w:rPr>
              <w:t>52 301 472</w:t>
            </w:r>
          </w:p>
        </w:tc>
        <w:tc>
          <w:tcPr>
            <w:tcW w:w="1034" w:type="dxa"/>
            <w:tcBorders>
              <w:top w:val="nil"/>
              <w:left w:val="nil"/>
              <w:bottom w:val="single" w:sz="4" w:space="0" w:color="auto"/>
              <w:right w:val="single" w:sz="4" w:space="0" w:color="auto"/>
            </w:tcBorders>
            <w:shd w:val="clear" w:color="auto" w:fill="auto"/>
            <w:noWrap/>
            <w:hideMark/>
          </w:tcPr>
          <w:p w14:paraId="10E7493E" w14:textId="77777777" w:rsidR="006F0BB0" w:rsidRPr="006F0BB0" w:rsidRDefault="006F0BB0" w:rsidP="007D1DBA">
            <w:pPr>
              <w:jc w:val="right"/>
              <w:rPr>
                <w:sz w:val="18"/>
                <w:szCs w:val="18"/>
                <w:lang w:val="es-419" w:eastAsia="es-419"/>
              </w:rPr>
            </w:pPr>
            <w:r w:rsidRPr="006F0BB0">
              <w:rPr>
                <w:sz w:val="18"/>
                <w:szCs w:val="18"/>
                <w:lang w:val="es-419" w:eastAsia="es-419"/>
              </w:rPr>
              <w:t>65 327 456</w:t>
            </w:r>
          </w:p>
        </w:tc>
        <w:tc>
          <w:tcPr>
            <w:tcW w:w="1181" w:type="dxa"/>
            <w:tcBorders>
              <w:top w:val="nil"/>
              <w:left w:val="nil"/>
              <w:bottom w:val="single" w:sz="4" w:space="0" w:color="auto"/>
              <w:right w:val="single" w:sz="4" w:space="0" w:color="auto"/>
            </w:tcBorders>
            <w:shd w:val="clear" w:color="auto" w:fill="auto"/>
            <w:noWrap/>
            <w:hideMark/>
          </w:tcPr>
          <w:p w14:paraId="13F186D3" w14:textId="77777777" w:rsidR="006F0BB0" w:rsidRPr="006F0BB0" w:rsidRDefault="006F0BB0" w:rsidP="007D1DBA">
            <w:pPr>
              <w:jc w:val="right"/>
              <w:rPr>
                <w:sz w:val="18"/>
                <w:szCs w:val="18"/>
                <w:lang w:val="es-419" w:eastAsia="es-419"/>
              </w:rPr>
            </w:pPr>
            <w:r w:rsidRPr="006F0BB0">
              <w:rPr>
                <w:sz w:val="18"/>
                <w:szCs w:val="18"/>
                <w:lang w:val="es-419" w:eastAsia="es-419"/>
              </w:rPr>
              <w:t>98,8%</w:t>
            </w:r>
          </w:p>
        </w:tc>
      </w:tr>
      <w:tr w:rsidR="006F0BB0" w:rsidRPr="006F0BB0" w14:paraId="17C56484"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32804D" w14:textId="77777777" w:rsidR="006F0BB0" w:rsidRPr="006F0BB0" w:rsidRDefault="006F0BB0" w:rsidP="007D1DBA">
            <w:pPr>
              <w:jc w:val="left"/>
              <w:rPr>
                <w:sz w:val="18"/>
                <w:szCs w:val="18"/>
                <w:lang w:val="es-419" w:eastAsia="es-419"/>
              </w:rPr>
            </w:pPr>
            <w:r w:rsidRPr="006F0BB0">
              <w:rPr>
                <w:sz w:val="18"/>
                <w:szCs w:val="18"/>
                <w:lang w:val="es-419" w:eastAsia="es-419"/>
              </w:rPr>
              <w:t>Cuba</w:t>
            </w:r>
          </w:p>
        </w:tc>
        <w:tc>
          <w:tcPr>
            <w:tcW w:w="950" w:type="dxa"/>
            <w:tcBorders>
              <w:top w:val="nil"/>
              <w:left w:val="nil"/>
              <w:bottom w:val="single" w:sz="4" w:space="0" w:color="auto"/>
              <w:right w:val="single" w:sz="4" w:space="0" w:color="auto"/>
            </w:tcBorders>
            <w:shd w:val="clear" w:color="auto" w:fill="auto"/>
            <w:noWrap/>
            <w:hideMark/>
          </w:tcPr>
          <w:p w14:paraId="0970C4F2" w14:textId="77777777" w:rsidR="006F0BB0" w:rsidRPr="006F0BB0" w:rsidRDefault="006F0BB0" w:rsidP="007D1DBA">
            <w:pPr>
              <w:jc w:val="right"/>
              <w:rPr>
                <w:sz w:val="18"/>
                <w:szCs w:val="18"/>
                <w:lang w:val="es-419" w:eastAsia="es-419"/>
              </w:rPr>
            </w:pPr>
            <w:r w:rsidRPr="006F0BB0">
              <w:rPr>
                <w:sz w:val="18"/>
                <w:szCs w:val="18"/>
                <w:lang w:val="es-419" w:eastAsia="es-419"/>
              </w:rPr>
              <w:t>1 254 931</w:t>
            </w:r>
          </w:p>
        </w:tc>
        <w:tc>
          <w:tcPr>
            <w:tcW w:w="950" w:type="dxa"/>
            <w:tcBorders>
              <w:top w:val="nil"/>
              <w:left w:val="nil"/>
              <w:bottom w:val="single" w:sz="4" w:space="0" w:color="auto"/>
              <w:right w:val="single" w:sz="4" w:space="0" w:color="auto"/>
            </w:tcBorders>
            <w:shd w:val="clear" w:color="auto" w:fill="auto"/>
            <w:noWrap/>
            <w:hideMark/>
          </w:tcPr>
          <w:p w14:paraId="46402985" w14:textId="77777777" w:rsidR="006F0BB0" w:rsidRPr="006F0BB0" w:rsidRDefault="006F0BB0" w:rsidP="007D1DBA">
            <w:pPr>
              <w:jc w:val="right"/>
              <w:rPr>
                <w:sz w:val="18"/>
                <w:szCs w:val="18"/>
                <w:lang w:val="es-419" w:eastAsia="es-419"/>
              </w:rPr>
            </w:pPr>
            <w:r w:rsidRPr="006F0BB0">
              <w:rPr>
                <w:sz w:val="18"/>
                <w:szCs w:val="18"/>
                <w:lang w:val="es-419" w:eastAsia="es-419"/>
              </w:rPr>
              <w:t>1 280 030</w:t>
            </w:r>
          </w:p>
        </w:tc>
        <w:tc>
          <w:tcPr>
            <w:tcW w:w="950" w:type="dxa"/>
            <w:tcBorders>
              <w:top w:val="nil"/>
              <w:left w:val="nil"/>
              <w:bottom w:val="single" w:sz="4" w:space="0" w:color="auto"/>
              <w:right w:val="single" w:sz="4" w:space="0" w:color="auto"/>
            </w:tcBorders>
            <w:shd w:val="clear" w:color="auto" w:fill="auto"/>
            <w:noWrap/>
            <w:hideMark/>
          </w:tcPr>
          <w:p w14:paraId="26859BBD" w14:textId="77777777" w:rsidR="006F0BB0" w:rsidRPr="006F0BB0" w:rsidRDefault="006F0BB0" w:rsidP="007D1DBA">
            <w:pPr>
              <w:jc w:val="right"/>
              <w:rPr>
                <w:sz w:val="18"/>
                <w:szCs w:val="18"/>
                <w:lang w:val="es-419" w:eastAsia="es-419"/>
              </w:rPr>
            </w:pPr>
            <w:r w:rsidRPr="006F0BB0">
              <w:rPr>
                <w:sz w:val="18"/>
                <w:szCs w:val="18"/>
                <w:lang w:val="es-419" w:eastAsia="es-419"/>
              </w:rPr>
              <w:t>1 305 630</w:t>
            </w:r>
          </w:p>
        </w:tc>
        <w:tc>
          <w:tcPr>
            <w:tcW w:w="978" w:type="dxa"/>
            <w:tcBorders>
              <w:top w:val="nil"/>
              <w:left w:val="nil"/>
              <w:bottom w:val="single" w:sz="4" w:space="0" w:color="auto"/>
              <w:right w:val="single" w:sz="4" w:space="0" w:color="auto"/>
            </w:tcBorders>
            <w:shd w:val="clear" w:color="auto" w:fill="auto"/>
            <w:noWrap/>
            <w:hideMark/>
          </w:tcPr>
          <w:p w14:paraId="6EB4574E" w14:textId="77777777" w:rsidR="006F0BB0" w:rsidRPr="006F0BB0" w:rsidRDefault="006F0BB0" w:rsidP="007D1DBA">
            <w:pPr>
              <w:jc w:val="right"/>
              <w:rPr>
                <w:sz w:val="18"/>
                <w:szCs w:val="18"/>
                <w:lang w:val="es-419" w:eastAsia="es-419"/>
              </w:rPr>
            </w:pPr>
            <w:r w:rsidRPr="006F0BB0">
              <w:rPr>
                <w:sz w:val="18"/>
                <w:szCs w:val="18"/>
                <w:lang w:val="es-419" w:eastAsia="es-419"/>
              </w:rPr>
              <w:t>1 331 743</w:t>
            </w:r>
          </w:p>
        </w:tc>
        <w:tc>
          <w:tcPr>
            <w:tcW w:w="950" w:type="dxa"/>
            <w:tcBorders>
              <w:top w:val="nil"/>
              <w:left w:val="nil"/>
              <w:bottom w:val="single" w:sz="4" w:space="0" w:color="auto"/>
              <w:right w:val="single" w:sz="4" w:space="0" w:color="auto"/>
            </w:tcBorders>
            <w:shd w:val="clear" w:color="auto" w:fill="auto"/>
            <w:noWrap/>
            <w:hideMark/>
          </w:tcPr>
          <w:p w14:paraId="17864DA4" w14:textId="77777777" w:rsidR="006F0BB0" w:rsidRPr="006F0BB0" w:rsidRDefault="006F0BB0" w:rsidP="007D1DBA">
            <w:pPr>
              <w:jc w:val="right"/>
              <w:rPr>
                <w:sz w:val="18"/>
                <w:szCs w:val="18"/>
                <w:lang w:val="es-419" w:eastAsia="es-419"/>
              </w:rPr>
            </w:pPr>
            <w:r w:rsidRPr="006F0BB0">
              <w:rPr>
                <w:sz w:val="18"/>
                <w:szCs w:val="18"/>
                <w:lang w:val="es-419" w:eastAsia="es-419"/>
              </w:rPr>
              <w:t>1 464 917</w:t>
            </w:r>
          </w:p>
        </w:tc>
        <w:tc>
          <w:tcPr>
            <w:tcW w:w="950" w:type="dxa"/>
            <w:tcBorders>
              <w:top w:val="nil"/>
              <w:left w:val="nil"/>
              <w:bottom w:val="single" w:sz="4" w:space="0" w:color="auto"/>
              <w:right w:val="single" w:sz="4" w:space="0" w:color="auto"/>
            </w:tcBorders>
            <w:shd w:val="clear" w:color="auto" w:fill="auto"/>
            <w:noWrap/>
            <w:hideMark/>
          </w:tcPr>
          <w:p w14:paraId="165D3B43" w14:textId="77777777" w:rsidR="006F0BB0" w:rsidRPr="006F0BB0" w:rsidRDefault="006F0BB0" w:rsidP="007D1DBA">
            <w:pPr>
              <w:jc w:val="right"/>
              <w:rPr>
                <w:sz w:val="18"/>
                <w:szCs w:val="18"/>
                <w:lang w:val="es-419" w:eastAsia="es-419"/>
              </w:rPr>
            </w:pPr>
            <w:r w:rsidRPr="006F0BB0">
              <w:rPr>
                <w:sz w:val="18"/>
                <w:szCs w:val="18"/>
                <w:lang w:val="es-419" w:eastAsia="es-419"/>
              </w:rPr>
              <w:t>1 611 409</w:t>
            </w:r>
          </w:p>
        </w:tc>
        <w:tc>
          <w:tcPr>
            <w:tcW w:w="1076" w:type="dxa"/>
            <w:tcBorders>
              <w:top w:val="nil"/>
              <w:left w:val="nil"/>
              <w:bottom w:val="single" w:sz="4" w:space="0" w:color="auto"/>
              <w:right w:val="single" w:sz="4" w:space="0" w:color="auto"/>
            </w:tcBorders>
            <w:shd w:val="clear" w:color="auto" w:fill="auto"/>
            <w:noWrap/>
            <w:hideMark/>
          </w:tcPr>
          <w:p w14:paraId="11B7330A" w14:textId="77777777" w:rsidR="006F0BB0" w:rsidRPr="006F0BB0" w:rsidRDefault="006F0BB0" w:rsidP="007D1DBA">
            <w:pPr>
              <w:jc w:val="right"/>
              <w:rPr>
                <w:sz w:val="18"/>
                <w:szCs w:val="18"/>
                <w:lang w:val="es-419" w:eastAsia="es-419"/>
              </w:rPr>
            </w:pPr>
            <w:r w:rsidRPr="006F0BB0">
              <w:rPr>
                <w:sz w:val="18"/>
                <w:szCs w:val="18"/>
                <w:lang w:val="es-419" w:eastAsia="es-419"/>
              </w:rPr>
              <w:t>1 305 801</w:t>
            </w:r>
          </w:p>
        </w:tc>
        <w:tc>
          <w:tcPr>
            <w:tcW w:w="1034" w:type="dxa"/>
            <w:tcBorders>
              <w:top w:val="nil"/>
              <w:left w:val="nil"/>
              <w:bottom w:val="single" w:sz="4" w:space="0" w:color="auto"/>
              <w:right w:val="single" w:sz="4" w:space="0" w:color="auto"/>
            </w:tcBorders>
            <w:shd w:val="clear" w:color="auto" w:fill="auto"/>
            <w:noWrap/>
            <w:hideMark/>
          </w:tcPr>
          <w:p w14:paraId="3C2DB4DD" w14:textId="77777777" w:rsidR="006F0BB0" w:rsidRPr="006F0BB0" w:rsidRDefault="006F0BB0" w:rsidP="007D1DBA">
            <w:pPr>
              <w:jc w:val="right"/>
              <w:rPr>
                <w:sz w:val="18"/>
                <w:szCs w:val="18"/>
                <w:lang w:val="es-419" w:eastAsia="es-419"/>
              </w:rPr>
            </w:pPr>
            <w:r w:rsidRPr="006F0BB0">
              <w:rPr>
                <w:sz w:val="18"/>
                <w:szCs w:val="18"/>
                <w:lang w:val="es-419" w:eastAsia="es-419"/>
              </w:rPr>
              <w:t>1 622 234</w:t>
            </w:r>
          </w:p>
        </w:tc>
        <w:tc>
          <w:tcPr>
            <w:tcW w:w="1181" w:type="dxa"/>
            <w:tcBorders>
              <w:top w:val="nil"/>
              <w:left w:val="nil"/>
              <w:bottom w:val="single" w:sz="4" w:space="0" w:color="auto"/>
              <w:right w:val="single" w:sz="4" w:space="0" w:color="auto"/>
            </w:tcBorders>
            <w:shd w:val="clear" w:color="auto" w:fill="auto"/>
            <w:noWrap/>
            <w:hideMark/>
          </w:tcPr>
          <w:p w14:paraId="40805EE6" w14:textId="77777777" w:rsidR="006F0BB0" w:rsidRPr="006F0BB0" w:rsidRDefault="006F0BB0" w:rsidP="007D1DBA">
            <w:pPr>
              <w:jc w:val="right"/>
              <w:rPr>
                <w:sz w:val="18"/>
                <w:szCs w:val="18"/>
                <w:lang w:val="es-419" w:eastAsia="es-419"/>
              </w:rPr>
            </w:pPr>
            <w:r w:rsidRPr="006F0BB0">
              <w:rPr>
                <w:sz w:val="18"/>
                <w:szCs w:val="18"/>
                <w:lang w:val="es-419" w:eastAsia="es-419"/>
              </w:rPr>
              <w:t>99,3%</w:t>
            </w:r>
          </w:p>
        </w:tc>
      </w:tr>
      <w:tr w:rsidR="006F0BB0" w:rsidRPr="006F0BB0" w14:paraId="129EF84E"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AADCFF5" w14:textId="77777777" w:rsidR="006F0BB0" w:rsidRPr="006F0BB0" w:rsidRDefault="006F0BB0" w:rsidP="007D1DBA">
            <w:pPr>
              <w:jc w:val="left"/>
              <w:rPr>
                <w:sz w:val="18"/>
                <w:szCs w:val="18"/>
                <w:lang w:val="es-419" w:eastAsia="es-419"/>
              </w:rPr>
            </w:pPr>
            <w:r w:rsidRPr="006F0BB0">
              <w:rPr>
                <w:sz w:val="18"/>
                <w:szCs w:val="18"/>
                <w:lang w:val="es-419" w:eastAsia="es-419"/>
              </w:rPr>
              <w:t>Chile</w:t>
            </w:r>
          </w:p>
        </w:tc>
        <w:tc>
          <w:tcPr>
            <w:tcW w:w="950" w:type="dxa"/>
            <w:tcBorders>
              <w:top w:val="nil"/>
              <w:left w:val="nil"/>
              <w:bottom w:val="single" w:sz="4" w:space="0" w:color="auto"/>
              <w:right w:val="single" w:sz="4" w:space="0" w:color="auto"/>
            </w:tcBorders>
            <w:shd w:val="clear" w:color="auto" w:fill="auto"/>
            <w:noWrap/>
            <w:hideMark/>
          </w:tcPr>
          <w:p w14:paraId="490F9FBA" w14:textId="77777777" w:rsidR="006F0BB0" w:rsidRPr="006F0BB0" w:rsidRDefault="006F0BB0" w:rsidP="007D1DBA">
            <w:pPr>
              <w:jc w:val="right"/>
              <w:rPr>
                <w:sz w:val="18"/>
                <w:szCs w:val="18"/>
                <w:lang w:val="es-419" w:eastAsia="es-419"/>
              </w:rPr>
            </w:pPr>
            <w:r w:rsidRPr="006F0BB0">
              <w:rPr>
                <w:sz w:val="18"/>
                <w:szCs w:val="18"/>
                <w:lang w:val="es-419" w:eastAsia="es-419"/>
              </w:rPr>
              <w:t>4 763 686</w:t>
            </w:r>
          </w:p>
        </w:tc>
        <w:tc>
          <w:tcPr>
            <w:tcW w:w="950" w:type="dxa"/>
            <w:tcBorders>
              <w:top w:val="nil"/>
              <w:left w:val="nil"/>
              <w:bottom w:val="single" w:sz="4" w:space="0" w:color="auto"/>
              <w:right w:val="single" w:sz="4" w:space="0" w:color="auto"/>
            </w:tcBorders>
            <w:shd w:val="clear" w:color="auto" w:fill="auto"/>
            <w:noWrap/>
            <w:hideMark/>
          </w:tcPr>
          <w:p w14:paraId="776F8579" w14:textId="77777777" w:rsidR="006F0BB0" w:rsidRPr="006F0BB0" w:rsidRDefault="006F0BB0" w:rsidP="007D1DBA">
            <w:pPr>
              <w:jc w:val="right"/>
              <w:rPr>
                <w:sz w:val="18"/>
                <w:szCs w:val="18"/>
                <w:lang w:val="es-419" w:eastAsia="es-419"/>
              </w:rPr>
            </w:pPr>
            <w:r w:rsidRPr="006F0BB0">
              <w:rPr>
                <w:sz w:val="18"/>
                <w:szCs w:val="18"/>
                <w:lang w:val="es-419" w:eastAsia="es-419"/>
              </w:rPr>
              <w:t>4 858 960</w:t>
            </w:r>
          </w:p>
        </w:tc>
        <w:tc>
          <w:tcPr>
            <w:tcW w:w="950" w:type="dxa"/>
            <w:tcBorders>
              <w:top w:val="nil"/>
              <w:left w:val="nil"/>
              <w:bottom w:val="single" w:sz="4" w:space="0" w:color="auto"/>
              <w:right w:val="single" w:sz="4" w:space="0" w:color="auto"/>
            </w:tcBorders>
            <w:shd w:val="clear" w:color="auto" w:fill="auto"/>
            <w:noWrap/>
            <w:hideMark/>
          </w:tcPr>
          <w:p w14:paraId="0C606A2C" w14:textId="77777777" w:rsidR="006F0BB0" w:rsidRPr="006F0BB0" w:rsidRDefault="006F0BB0" w:rsidP="007D1DBA">
            <w:pPr>
              <w:jc w:val="right"/>
              <w:rPr>
                <w:sz w:val="18"/>
                <w:szCs w:val="18"/>
                <w:lang w:val="es-419" w:eastAsia="es-419"/>
              </w:rPr>
            </w:pPr>
            <w:r w:rsidRPr="006F0BB0">
              <w:rPr>
                <w:sz w:val="18"/>
                <w:szCs w:val="18"/>
                <w:lang w:val="es-419" w:eastAsia="es-419"/>
              </w:rPr>
              <w:t>4 956 139</w:t>
            </w:r>
          </w:p>
        </w:tc>
        <w:tc>
          <w:tcPr>
            <w:tcW w:w="978" w:type="dxa"/>
            <w:tcBorders>
              <w:top w:val="nil"/>
              <w:left w:val="nil"/>
              <w:bottom w:val="single" w:sz="4" w:space="0" w:color="auto"/>
              <w:right w:val="single" w:sz="4" w:space="0" w:color="auto"/>
            </w:tcBorders>
            <w:shd w:val="clear" w:color="auto" w:fill="auto"/>
            <w:noWrap/>
            <w:hideMark/>
          </w:tcPr>
          <w:p w14:paraId="69D5CD28" w14:textId="77777777" w:rsidR="006F0BB0" w:rsidRPr="006F0BB0" w:rsidRDefault="006F0BB0" w:rsidP="007D1DBA">
            <w:pPr>
              <w:jc w:val="right"/>
              <w:rPr>
                <w:sz w:val="18"/>
                <w:szCs w:val="18"/>
                <w:lang w:val="es-419" w:eastAsia="es-419"/>
              </w:rPr>
            </w:pPr>
            <w:r w:rsidRPr="006F0BB0">
              <w:rPr>
                <w:sz w:val="18"/>
                <w:szCs w:val="18"/>
                <w:lang w:val="es-419" w:eastAsia="es-419"/>
              </w:rPr>
              <w:t>5 055 262</w:t>
            </w:r>
          </w:p>
        </w:tc>
        <w:tc>
          <w:tcPr>
            <w:tcW w:w="950" w:type="dxa"/>
            <w:tcBorders>
              <w:top w:val="nil"/>
              <w:left w:val="nil"/>
              <w:bottom w:val="single" w:sz="4" w:space="0" w:color="auto"/>
              <w:right w:val="single" w:sz="4" w:space="0" w:color="auto"/>
            </w:tcBorders>
            <w:shd w:val="clear" w:color="auto" w:fill="auto"/>
            <w:noWrap/>
            <w:hideMark/>
          </w:tcPr>
          <w:p w14:paraId="4A2C7A0E" w14:textId="77777777" w:rsidR="006F0BB0" w:rsidRPr="006F0BB0" w:rsidRDefault="006F0BB0" w:rsidP="007D1DBA">
            <w:pPr>
              <w:jc w:val="right"/>
              <w:rPr>
                <w:sz w:val="18"/>
                <w:szCs w:val="18"/>
                <w:lang w:val="es-419" w:eastAsia="es-419"/>
              </w:rPr>
            </w:pPr>
            <w:r w:rsidRPr="006F0BB0">
              <w:rPr>
                <w:sz w:val="18"/>
                <w:szCs w:val="18"/>
                <w:lang w:val="es-419" w:eastAsia="es-419"/>
              </w:rPr>
              <w:t>5 560 788</w:t>
            </w:r>
          </w:p>
        </w:tc>
        <w:tc>
          <w:tcPr>
            <w:tcW w:w="950" w:type="dxa"/>
            <w:tcBorders>
              <w:top w:val="nil"/>
              <w:left w:val="nil"/>
              <w:bottom w:val="single" w:sz="4" w:space="0" w:color="auto"/>
              <w:right w:val="single" w:sz="4" w:space="0" w:color="auto"/>
            </w:tcBorders>
            <w:shd w:val="clear" w:color="auto" w:fill="auto"/>
            <w:noWrap/>
            <w:hideMark/>
          </w:tcPr>
          <w:p w14:paraId="275354F6" w14:textId="77777777" w:rsidR="006F0BB0" w:rsidRPr="006F0BB0" w:rsidRDefault="006F0BB0" w:rsidP="007D1DBA">
            <w:pPr>
              <w:jc w:val="right"/>
              <w:rPr>
                <w:sz w:val="18"/>
                <w:szCs w:val="18"/>
                <w:lang w:val="es-419" w:eastAsia="es-419"/>
              </w:rPr>
            </w:pPr>
            <w:r w:rsidRPr="006F0BB0">
              <w:rPr>
                <w:sz w:val="18"/>
                <w:szCs w:val="18"/>
                <w:lang w:val="es-419" w:eastAsia="es-419"/>
              </w:rPr>
              <w:t>6 116 867</w:t>
            </w:r>
          </w:p>
        </w:tc>
        <w:tc>
          <w:tcPr>
            <w:tcW w:w="1076" w:type="dxa"/>
            <w:tcBorders>
              <w:top w:val="nil"/>
              <w:left w:val="nil"/>
              <w:bottom w:val="single" w:sz="4" w:space="0" w:color="auto"/>
              <w:right w:val="single" w:sz="4" w:space="0" w:color="auto"/>
            </w:tcBorders>
            <w:shd w:val="clear" w:color="auto" w:fill="auto"/>
            <w:noWrap/>
            <w:hideMark/>
          </w:tcPr>
          <w:p w14:paraId="42EF2E18" w14:textId="77777777" w:rsidR="006F0BB0" w:rsidRPr="006F0BB0" w:rsidRDefault="006F0BB0" w:rsidP="007D1DBA">
            <w:pPr>
              <w:jc w:val="right"/>
              <w:rPr>
                <w:sz w:val="18"/>
                <w:szCs w:val="18"/>
                <w:lang w:val="es-419" w:eastAsia="es-419"/>
              </w:rPr>
            </w:pPr>
            <w:r w:rsidRPr="006F0BB0">
              <w:rPr>
                <w:sz w:val="18"/>
                <w:szCs w:val="18"/>
                <w:lang w:val="es-419" w:eastAsia="es-419"/>
              </w:rPr>
              <w:t>4 956 787</w:t>
            </w:r>
          </w:p>
        </w:tc>
        <w:tc>
          <w:tcPr>
            <w:tcW w:w="1034" w:type="dxa"/>
            <w:tcBorders>
              <w:top w:val="nil"/>
              <w:left w:val="nil"/>
              <w:bottom w:val="single" w:sz="4" w:space="0" w:color="auto"/>
              <w:right w:val="single" w:sz="4" w:space="0" w:color="auto"/>
            </w:tcBorders>
            <w:shd w:val="clear" w:color="auto" w:fill="auto"/>
            <w:noWrap/>
            <w:hideMark/>
          </w:tcPr>
          <w:p w14:paraId="6CC8288E" w14:textId="77777777" w:rsidR="006F0BB0" w:rsidRPr="006F0BB0" w:rsidRDefault="006F0BB0" w:rsidP="007D1DBA">
            <w:pPr>
              <w:jc w:val="right"/>
              <w:rPr>
                <w:sz w:val="18"/>
                <w:szCs w:val="18"/>
                <w:lang w:val="es-419" w:eastAsia="es-419"/>
              </w:rPr>
            </w:pPr>
            <w:r w:rsidRPr="006F0BB0">
              <w:rPr>
                <w:sz w:val="18"/>
                <w:szCs w:val="18"/>
                <w:lang w:val="es-419" w:eastAsia="es-419"/>
              </w:rPr>
              <w:t>6 150 432</w:t>
            </w:r>
          </w:p>
        </w:tc>
        <w:tc>
          <w:tcPr>
            <w:tcW w:w="1181" w:type="dxa"/>
            <w:tcBorders>
              <w:top w:val="nil"/>
              <w:left w:val="nil"/>
              <w:bottom w:val="single" w:sz="4" w:space="0" w:color="auto"/>
              <w:right w:val="single" w:sz="4" w:space="0" w:color="auto"/>
            </w:tcBorders>
            <w:shd w:val="clear" w:color="auto" w:fill="auto"/>
            <w:noWrap/>
            <w:hideMark/>
          </w:tcPr>
          <w:p w14:paraId="55C8C79F" w14:textId="77777777" w:rsidR="006F0BB0" w:rsidRPr="006F0BB0" w:rsidRDefault="006F0BB0" w:rsidP="007D1DBA">
            <w:pPr>
              <w:jc w:val="right"/>
              <w:rPr>
                <w:sz w:val="18"/>
                <w:szCs w:val="18"/>
                <w:lang w:val="es-419" w:eastAsia="es-419"/>
              </w:rPr>
            </w:pPr>
            <w:r w:rsidRPr="006F0BB0">
              <w:rPr>
                <w:sz w:val="18"/>
                <w:szCs w:val="18"/>
                <w:lang w:val="es-419" w:eastAsia="es-419"/>
              </w:rPr>
              <w:t>99,5%</w:t>
            </w:r>
          </w:p>
        </w:tc>
      </w:tr>
      <w:tr w:rsidR="006F0BB0" w:rsidRPr="006F0BB0" w14:paraId="31BF730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A87E22" w14:textId="77777777" w:rsidR="006F0BB0" w:rsidRPr="006F0BB0" w:rsidRDefault="006F0BB0" w:rsidP="007D1DBA">
            <w:pPr>
              <w:jc w:val="left"/>
              <w:rPr>
                <w:sz w:val="18"/>
                <w:szCs w:val="18"/>
                <w:lang w:val="es-419" w:eastAsia="es-419"/>
              </w:rPr>
            </w:pPr>
            <w:r w:rsidRPr="006F0BB0">
              <w:rPr>
                <w:sz w:val="18"/>
                <w:szCs w:val="18"/>
                <w:lang w:val="es-419" w:eastAsia="es-419"/>
              </w:rPr>
              <w:t>Kirguistán</w:t>
            </w:r>
          </w:p>
        </w:tc>
        <w:tc>
          <w:tcPr>
            <w:tcW w:w="950" w:type="dxa"/>
            <w:tcBorders>
              <w:top w:val="nil"/>
              <w:left w:val="nil"/>
              <w:bottom w:val="single" w:sz="4" w:space="0" w:color="auto"/>
              <w:right w:val="single" w:sz="4" w:space="0" w:color="auto"/>
            </w:tcBorders>
            <w:shd w:val="clear" w:color="auto" w:fill="auto"/>
            <w:noWrap/>
            <w:hideMark/>
          </w:tcPr>
          <w:p w14:paraId="15FBC83A" w14:textId="77777777" w:rsidR="006F0BB0" w:rsidRPr="006F0BB0" w:rsidRDefault="006F0BB0" w:rsidP="007D1DBA">
            <w:pPr>
              <w:jc w:val="right"/>
              <w:rPr>
                <w:sz w:val="18"/>
                <w:szCs w:val="18"/>
                <w:lang w:val="es-419" w:eastAsia="es-419"/>
              </w:rPr>
            </w:pPr>
            <w:r w:rsidRPr="006F0BB0">
              <w:rPr>
                <w:sz w:val="18"/>
                <w:szCs w:val="18"/>
                <w:lang w:val="es-419" w:eastAsia="es-419"/>
              </w:rPr>
              <w:t>304 301</w:t>
            </w:r>
          </w:p>
        </w:tc>
        <w:tc>
          <w:tcPr>
            <w:tcW w:w="950" w:type="dxa"/>
            <w:tcBorders>
              <w:top w:val="nil"/>
              <w:left w:val="nil"/>
              <w:bottom w:val="single" w:sz="4" w:space="0" w:color="auto"/>
              <w:right w:val="single" w:sz="4" w:space="0" w:color="auto"/>
            </w:tcBorders>
            <w:shd w:val="clear" w:color="auto" w:fill="auto"/>
            <w:noWrap/>
            <w:hideMark/>
          </w:tcPr>
          <w:p w14:paraId="773D25DE" w14:textId="77777777" w:rsidR="006F0BB0" w:rsidRPr="006F0BB0" w:rsidRDefault="006F0BB0" w:rsidP="007D1DBA">
            <w:pPr>
              <w:jc w:val="right"/>
              <w:rPr>
                <w:sz w:val="18"/>
                <w:szCs w:val="18"/>
                <w:lang w:val="es-419" w:eastAsia="es-419"/>
              </w:rPr>
            </w:pPr>
            <w:r w:rsidRPr="006F0BB0">
              <w:rPr>
                <w:sz w:val="18"/>
                <w:szCs w:val="18"/>
                <w:lang w:val="es-419" w:eastAsia="es-419"/>
              </w:rPr>
              <w:t>310 387</w:t>
            </w:r>
          </w:p>
        </w:tc>
        <w:tc>
          <w:tcPr>
            <w:tcW w:w="950" w:type="dxa"/>
            <w:tcBorders>
              <w:top w:val="nil"/>
              <w:left w:val="nil"/>
              <w:bottom w:val="single" w:sz="4" w:space="0" w:color="auto"/>
              <w:right w:val="single" w:sz="4" w:space="0" w:color="auto"/>
            </w:tcBorders>
            <w:shd w:val="clear" w:color="auto" w:fill="auto"/>
            <w:noWrap/>
            <w:hideMark/>
          </w:tcPr>
          <w:p w14:paraId="7FE2BCD1" w14:textId="77777777" w:rsidR="006F0BB0" w:rsidRPr="006F0BB0" w:rsidRDefault="006F0BB0" w:rsidP="007D1DBA">
            <w:pPr>
              <w:jc w:val="right"/>
              <w:rPr>
                <w:sz w:val="18"/>
                <w:szCs w:val="18"/>
                <w:lang w:val="es-419" w:eastAsia="es-419"/>
              </w:rPr>
            </w:pPr>
            <w:r w:rsidRPr="006F0BB0">
              <w:rPr>
                <w:sz w:val="18"/>
                <w:szCs w:val="18"/>
                <w:lang w:val="es-419" w:eastAsia="es-419"/>
              </w:rPr>
              <w:t>316 595</w:t>
            </w:r>
          </w:p>
        </w:tc>
        <w:tc>
          <w:tcPr>
            <w:tcW w:w="978" w:type="dxa"/>
            <w:tcBorders>
              <w:top w:val="nil"/>
              <w:left w:val="nil"/>
              <w:bottom w:val="single" w:sz="4" w:space="0" w:color="auto"/>
              <w:right w:val="single" w:sz="4" w:space="0" w:color="auto"/>
            </w:tcBorders>
            <w:shd w:val="clear" w:color="auto" w:fill="auto"/>
            <w:noWrap/>
            <w:hideMark/>
          </w:tcPr>
          <w:p w14:paraId="387291D7" w14:textId="77777777" w:rsidR="006F0BB0" w:rsidRPr="006F0BB0" w:rsidRDefault="006F0BB0" w:rsidP="007D1DBA">
            <w:pPr>
              <w:jc w:val="right"/>
              <w:rPr>
                <w:sz w:val="18"/>
                <w:szCs w:val="18"/>
                <w:lang w:val="es-419" w:eastAsia="es-419"/>
              </w:rPr>
            </w:pPr>
            <w:r w:rsidRPr="006F0BB0">
              <w:rPr>
                <w:sz w:val="18"/>
                <w:szCs w:val="18"/>
                <w:lang w:val="es-419" w:eastAsia="es-419"/>
              </w:rPr>
              <w:t>322 927</w:t>
            </w:r>
          </w:p>
        </w:tc>
        <w:tc>
          <w:tcPr>
            <w:tcW w:w="950" w:type="dxa"/>
            <w:tcBorders>
              <w:top w:val="nil"/>
              <w:left w:val="nil"/>
              <w:bottom w:val="single" w:sz="4" w:space="0" w:color="auto"/>
              <w:right w:val="single" w:sz="4" w:space="0" w:color="auto"/>
            </w:tcBorders>
            <w:shd w:val="clear" w:color="auto" w:fill="auto"/>
            <w:noWrap/>
            <w:hideMark/>
          </w:tcPr>
          <w:p w14:paraId="1E51BEF2" w14:textId="77777777" w:rsidR="006F0BB0" w:rsidRPr="006F0BB0" w:rsidRDefault="006F0BB0" w:rsidP="007D1DBA">
            <w:pPr>
              <w:jc w:val="right"/>
              <w:rPr>
                <w:sz w:val="18"/>
                <w:szCs w:val="18"/>
                <w:lang w:val="es-419" w:eastAsia="es-419"/>
              </w:rPr>
            </w:pPr>
            <w:r w:rsidRPr="006F0BB0">
              <w:rPr>
                <w:sz w:val="18"/>
                <w:szCs w:val="18"/>
                <w:lang w:val="es-419" w:eastAsia="es-419"/>
              </w:rPr>
              <w:t>355 219</w:t>
            </w:r>
          </w:p>
        </w:tc>
        <w:tc>
          <w:tcPr>
            <w:tcW w:w="950" w:type="dxa"/>
            <w:tcBorders>
              <w:top w:val="nil"/>
              <w:left w:val="nil"/>
              <w:bottom w:val="single" w:sz="4" w:space="0" w:color="auto"/>
              <w:right w:val="single" w:sz="4" w:space="0" w:color="auto"/>
            </w:tcBorders>
            <w:shd w:val="clear" w:color="auto" w:fill="auto"/>
            <w:noWrap/>
            <w:hideMark/>
          </w:tcPr>
          <w:p w14:paraId="41171B96" w14:textId="77777777" w:rsidR="006F0BB0" w:rsidRPr="006F0BB0" w:rsidRDefault="006F0BB0" w:rsidP="007D1DBA">
            <w:pPr>
              <w:jc w:val="right"/>
              <w:rPr>
                <w:sz w:val="18"/>
                <w:szCs w:val="18"/>
                <w:lang w:val="es-419" w:eastAsia="es-419"/>
              </w:rPr>
            </w:pPr>
            <w:r w:rsidRPr="006F0BB0">
              <w:rPr>
                <w:sz w:val="18"/>
                <w:szCs w:val="18"/>
                <w:lang w:val="es-419" w:eastAsia="es-419"/>
              </w:rPr>
              <w:t>390 741</w:t>
            </w:r>
          </w:p>
        </w:tc>
        <w:tc>
          <w:tcPr>
            <w:tcW w:w="1076" w:type="dxa"/>
            <w:tcBorders>
              <w:top w:val="nil"/>
              <w:left w:val="nil"/>
              <w:bottom w:val="single" w:sz="4" w:space="0" w:color="auto"/>
              <w:right w:val="single" w:sz="4" w:space="0" w:color="auto"/>
            </w:tcBorders>
            <w:shd w:val="clear" w:color="auto" w:fill="auto"/>
            <w:noWrap/>
            <w:hideMark/>
          </w:tcPr>
          <w:p w14:paraId="2E8A22E2" w14:textId="77777777" w:rsidR="006F0BB0" w:rsidRPr="006F0BB0" w:rsidRDefault="006F0BB0" w:rsidP="007D1DBA">
            <w:pPr>
              <w:jc w:val="right"/>
              <w:rPr>
                <w:sz w:val="18"/>
                <w:szCs w:val="18"/>
                <w:lang w:val="es-419" w:eastAsia="es-419"/>
              </w:rPr>
            </w:pPr>
            <w:r w:rsidRPr="006F0BB0">
              <w:rPr>
                <w:sz w:val="18"/>
                <w:szCs w:val="18"/>
                <w:lang w:val="es-419" w:eastAsia="es-419"/>
              </w:rPr>
              <w:t>316 636</w:t>
            </w:r>
          </w:p>
        </w:tc>
        <w:tc>
          <w:tcPr>
            <w:tcW w:w="1034" w:type="dxa"/>
            <w:tcBorders>
              <w:top w:val="nil"/>
              <w:left w:val="nil"/>
              <w:bottom w:val="single" w:sz="4" w:space="0" w:color="auto"/>
              <w:right w:val="single" w:sz="4" w:space="0" w:color="auto"/>
            </w:tcBorders>
            <w:shd w:val="clear" w:color="auto" w:fill="auto"/>
            <w:noWrap/>
            <w:hideMark/>
          </w:tcPr>
          <w:p w14:paraId="04690655" w14:textId="77777777" w:rsidR="006F0BB0" w:rsidRPr="006F0BB0" w:rsidRDefault="006F0BB0" w:rsidP="007D1DBA">
            <w:pPr>
              <w:jc w:val="right"/>
              <w:rPr>
                <w:sz w:val="18"/>
                <w:szCs w:val="18"/>
                <w:lang w:val="es-419" w:eastAsia="es-419"/>
              </w:rPr>
            </w:pPr>
            <w:r w:rsidRPr="006F0BB0">
              <w:rPr>
                <w:sz w:val="18"/>
                <w:szCs w:val="18"/>
                <w:lang w:val="es-419" w:eastAsia="es-419"/>
              </w:rPr>
              <w:t>391 179</w:t>
            </w:r>
          </w:p>
        </w:tc>
        <w:tc>
          <w:tcPr>
            <w:tcW w:w="1181" w:type="dxa"/>
            <w:tcBorders>
              <w:top w:val="nil"/>
              <w:left w:val="nil"/>
              <w:bottom w:val="single" w:sz="4" w:space="0" w:color="auto"/>
              <w:right w:val="single" w:sz="4" w:space="0" w:color="auto"/>
            </w:tcBorders>
            <w:shd w:val="clear" w:color="auto" w:fill="auto"/>
            <w:noWrap/>
            <w:hideMark/>
          </w:tcPr>
          <w:p w14:paraId="4C249045" w14:textId="77777777" w:rsidR="006F0BB0" w:rsidRPr="006F0BB0" w:rsidRDefault="006F0BB0" w:rsidP="007D1DBA">
            <w:pPr>
              <w:jc w:val="right"/>
              <w:rPr>
                <w:sz w:val="18"/>
                <w:szCs w:val="18"/>
                <w:lang w:val="es-419" w:eastAsia="es-419"/>
              </w:rPr>
            </w:pPr>
            <w:r w:rsidRPr="006F0BB0">
              <w:rPr>
                <w:sz w:val="18"/>
                <w:szCs w:val="18"/>
                <w:lang w:val="es-419" w:eastAsia="es-419"/>
              </w:rPr>
              <w:t>99,9%</w:t>
            </w:r>
          </w:p>
        </w:tc>
      </w:tr>
      <w:tr w:rsidR="006F0BB0" w:rsidRPr="006F0BB0" w14:paraId="63DD292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AD4DE2" w14:textId="77777777" w:rsidR="006F0BB0" w:rsidRPr="006F0BB0" w:rsidRDefault="006F0BB0" w:rsidP="007D1DBA">
            <w:pPr>
              <w:jc w:val="left"/>
              <w:rPr>
                <w:sz w:val="18"/>
                <w:szCs w:val="18"/>
                <w:lang w:val="es-419" w:eastAsia="es-419"/>
              </w:rPr>
            </w:pPr>
            <w:r w:rsidRPr="006F0BB0">
              <w:rPr>
                <w:sz w:val="18"/>
                <w:szCs w:val="18"/>
                <w:lang w:val="es-419" w:eastAsia="es-419"/>
              </w:rPr>
              <w:t>Namibia</w:t>
            </w:r>
          </w:p>
        </w:tc>
        <w:tc>
          <w:tcPr>
            <w:tcW w:w="950" w:type="dxa"/>
            <w:tcBorders>
              <w:top w:val="nil"/>
              <w:left w:val="nil"/>
              <w:bottom w:val="single" w:sz="4" w:space="0" w:color="auto"/>
              <w:right w:val="single" w:sz="4" w:space="0" w:color="auto"/>
            </w:tcBorders>
            <w:shd w:val="clear" w:color="auto" w:fill="auto"/>
            <w:noWrap/>
            <w:hideMark/>
          </w:tcPr>
          <w:p w14:paraId="4B918542" w14:textId="77777777" w:rsidR="006F0BB0" w:rsidRPr="006F0BB0" w:rsidRDefault="006F0BB0" w:rsidP="007D1DBA">
            <w:pPr>
              <w:jc w:val="right"/>
              <w:rPr>
                <w:sz w:val="18"/>
                <w:szCs w:val="18"/>
                <w:lang w:val="es-419" w:eastAsia="es-419"/>
              </w:rPr>
            </w:pPr>
            <w:r w:rsidRPr="006F0BB0">
              <w:rPr>
                <w:sz w:val="18"/>
                <w:szCs w:val="18"/>
                <w:lang w:val="es-419" w:eastAsia="es-419"/>
              </w:rPr>
              <w:t>729 875</w:t>
            </w:r>
          </w:p>
        </w:tc>
        <w:tc>
          <w:tcPr>
            <w:tcW w:w="950" w:type="dxa"/>
            <w:tcBorders>
              <w:top w:val="nil"/>
              <w:left w:val="nil"/>
              <w:bottom w:val="single" w:sz="4" w:space="0" w:color="auto"/>
              <w:right w:val="single" w:sz="4" w:space="0" w:color="auto"/>
            </w:tcBorders>
            <w:shd w:val="clear" w:color="auto" w:fill="auto"/>
            <w:noWrap/>
            <w:hideMark/>
          </w:tcPr>
          <w:p w14:paraId="28B20A9F" w14:textId="77777777" w:rsidR="006F0BB0" w:rsidRPr="006F0BB0" w:rsidRDefault="006F0BB0" w:rsidP="007D1DBA">
            <w:pPr>
              <w:jc w:val="right"/>
              <w:rPr>
                <w:sz w:val="18"/>
                <w:szCs w:val="18"/>
                <w:lang w:val="es-419" w:eastAsia="es-419"/>
              </w:rPr>
            </w:pPr>
            <w:r w:rsidRPr="006F0BB0">
              <w:rPr>
                <w:sz w:val="18"/>
                <w:szCs w:val="18"/>
                <w:lang w:val="es-419" w:eastAsia="es-419"/>
              </w:rPr>
              <w:t>744 473</w:t>
            </w:r>
          </w:p>
        </w:tc>
        <w:tc>
          <w:tcPr>
            <w:tcW w:w="950" w:type="dxa"/>
            <w:tcBorders>
              <w:top w:val="nil"/>
              <w:left w:val="nil"/>
              <w:bottom w:val="single" w:sz="4" w:space="0" w:color="auto"/>
              <w:right w:val="single" w:sz="4" w:space="0" w:color="auto"/>
            </w:tcBorders>
            <w:shd w:val="clear" w:color="auto" w:fill="auto"/>
            <w:noWrap/>
            <w:hideMark/>
          </w:tcPr>
          <w:p w14:paraId="514E40D7" w14:textId="77777777" w:rsidR="006F0BB0" w:rsidRPr="006F0BB0" w:rsidRDefault="006F0BB0" w:rsidP="007D1DBA">
            <w:pPr>
              <w:jc w:val="right"/>
              <w:rPr>
                <w:sz w:val="18"/>
                <w:szCs w:val="18"/>
                <w:lang w:val="es-419" w:eastAsia="es-419"/>
              </w:rPr>
            </w:pPr>
            <w:r w:rsidRPr="006F0BB0">
              <w:rPr>
                <w:sz w:val="18"/>
                <w:szCs w:val="18"/>
                <w:lang w:val="es-419" w:eastAsia="es-419"/>
              </w:rPr>
              <w:t>759 362</w:t>
            </w:r>
          </w:p>
        </w:tc>
        <w:tc>
          <w:tcPr>
            <w:tcW w:w="978" w:type="dxa"/>
            <w:tcBorders>
              <w:top w:val="nil"/>
              <w:left w:val="nil"/>
              <w:bottom w:val="single" w:sz="4" w:space="0" w:color="auto"/>
              <w:right w:val="single" w:sz="4" w:space="0" w:color="auto"/>
            </w:tcBorders>
            <w:shd w:val="clear" w:color="auto" w:fill="auto"/>
            <w:noWrap/>
            <w:hideMark/>
          </w:tcPr>
          <w:p w14:paraId="421A5218" w14:textId="77777777" w:rsidR="006F0BB0" w:rsidRPr="006F0BB0" w:rsidRDefault="006F0BB0" w:rsidP="007D1DBA">
            <w:pPr>
              <w:jc w:val="right"/>
              <w:rPr>
                <w:sz w:val="18"/>
                <w:szCs w:val="18"/>
                <w:lang w:val="es-419" w:eastAsia="es-419"/>
              </w:rPr>
            </w:pPr>
            <w:r w:rsidRPr="006F0BB0">
              <w:rPr>
                <w:sz w:val="18"/>
                <w:szCs w:val="18"/>
                <w:lang w:val="es-419" w:eastAsia="es-419"/>
              </w:rPr>
              <w:t>774 549</w:t>
            </w:r>
          </w:p>
        </w:tc>
        <w:tc>
          <w:tcPr>
            <w:tcW w:w="950" w:type="dxa"/>
            <w:tcBorders>
              <w:top w:val="nil"/>
              <w:left w:val="nil"/>
              <w:bottom w:val="single" w:sz="4" w:space="0" w:color="auto"/>
              <w:right w:val="single" w:sz="4" w:space="0" w:color="auto"/>
            </w:tcBorders>
            <w:shd w:val="clear" w:color="auto" w:fill="auto"/>
            <w:noWrap/>
            <w:hideMark/>
          </w:tcPr>
          <w:p w14:paraId="06CC4255" w14:textId="77777777" w:rsidR="006F0BB0" w:rsidRPr="006F0BB0" w:rsidRDefault="006F0BB0" w:rsidP="007D1DBA">
            <w:pPr>
              <w:jc w:val="right"/>
              <w:rPr>
                <w:sz w:val="18"/>
                <w:szCs w:val="18"/>
                <w:lang w:val="es-419" w:eastAsia="es-419"/>
              </w:rPr>
            </w:pPr>
            <w:r w:rsidRPr="006F0BB0">
              <w:rPr>
                <w:sz w:val="18"/>
                <w:szCs w:val="18"/>
                <w:lang w:val="es-419" w:eastAsia="es-419"/>
              </w:rPr>
              <w:t>852 004</w:t>
            </w:r>
          </w:p>
        </w:tc>
        <w:tc>
          <w:tcPr>
            <w:tcW w:w="950" w:type="dxa"/>
            <w:tcBorders>
              <w:top w:val="nil"/>
              <w:left w:val="nil"/>
              <w:bottom w:val="single" w:sz="4" w:space="0" w:color="auto"/>
              <w:right w:val="single" w:sz="4" w:space="0" w:color="auto"/>
            </w:tcBorders>
            <w:shd w:val="clear" w:color="auto" w:fill="auto"/>
            <w:noWrap/>
            <w:hideMark/>
          </w:tcPr>
          <w:p w14:paraId="651961A9" w14:textId="77777777" w:rsidR="006F0BB0" w:rsidRPr="006F0BB0" w:rsidRDefault="006F0BB0" w:rsidP="007D1DBA">
            <w:pPr>
              <w:jc w:val="right"/>
              <w:rPr>
                <w:sz w:val="18"/>
                <w:szCs w:val="18"/>
                <w:lang w:val="es-419" w:eastAsia="es-419"/>
              </w:rPr>
            </w:pPr>
            <w:r w:rsidRPr="006F0BB0">
              <w:rPr>
                <w:sz w:val="18"/>
                <w:szCs w:val="18"/>
                <w:lang w:val="es-419" w:eastAsia="es-419"/>
              </w:rPr>
              <w:t>937 205</w:t>
            </w:r>
          </w:p>
        </w:tc>
        <w:tc>
          <w:tcPr>
            <w:tcW w:w="1076" w:type="dxa"/>
            <w:tcBorders>
              <w:top w:val="nil"/>
              <w:left w:val="nil"/>
              <w:bottom w:val="single" w:sz="4" w:space="0" w:color="auto"/>
              <w:right w:val="single" w:sz="4" w:space="0" w:color="auto"/>
            </w:tcBorders>
            <w:shd w:val="clear" w:color="auto" w:fill="auto"/>
            <w:noWrap/>
            <w:hideMark/>
          </w:tcPr>
          <w:p w14:paraId="19C485BC" w14:textId="77777777" w:rsidR="006F0BB0" w:rsidRPr="006F0BB0" w:rsidRDefault="006F0BB0" w:rsidP="007D1DBA">
            <w:pPr>
              <w:jc w:val="right"/>
              <w:rPr>
                <w:sz w:val="18"/>
                <w:szCs w:val="18"/>
                <w:lang w:val="es-419" w:eastAsia="es-419"/>
              </w:rPr>
            </w:pPr>
            <w:r w:rsidRPr="006F0BB0">
              <w:rPr>
                <w:sz w:val="18"/>
                <w:szCs w:val="18"/>
                <w:lang w:val="es-419" w:eastAsia="es-419"/>
              </w:rPr>
              <w:t>759 461</w:t>
            </w:r>
          </w:p>
        </w:tc>
        <w:tc>
          <w:tcPr>
            <w:tcW w:w="1034" w:type="dxa"/>
            <w:tcBorders>
              <w:top w:val="nil"/>
              <w:left w:val="nil"/>
              <w:bottom w:val="single" w:sz="4" w:space="0" w:color="auto"/>
              <w:right w:val="single" w:sz="4" w:space="0" w:color="auto"/>
            </w:tcBorders>
            <w:shd w:val="clear" w:color="auto" w:fill="auto"/>
            <w:noWrap/>
            <w:hideMark/>
          </w:tcPr>
          <w:p w14:paraId="234B4202" w14:textId="77777777" w:rsidR="006F0BB0" w:rsidRPr="006F0BB0" w:rsidRDefault="006F0BB0" w:rsidP="007D1DBA">
            <w:pPr>
              <w:jc w:val="right"/>
              <w:rPr>
                <w:sz w:val="18"/>
                <w:szCs w:val="18"/>
                <w:lang w:val="es-419" w:eastAsia="es-419"/>
              </w:rPr>
            </w:pPr>
            <w:r w:rsidRPr="006F0BB0">
              <w:rPr>
                <w:sz w:val="18"/>
                <w:szCs w:val="18"/>
                <w:lang w:val="es-419" w:eastAsia="es-419"/>
              </w:rPr>
              <w:t>933 961</w:t>
            </w:r>
          </w:p>
        </w:tc>
        <w:tc>
          <w:tcPr>
            <w:tcW w:w="1181" w:type="dxa"/>
            <w:tcBorders>
              <w:top w:val="nil"/>
              <w:left w:val="nil"/>
              <w:bottom w:val="single" w:sz="4" w:space="0" w:color="auto"/>
              <w:right w:val="single" w:sz="4" w:space="0" w:color="auto"/>
            </w:tcBorders>
            <w:shd w:val="clear" w:color="auto" w:fill="auto"/>
            <w:noWrap/>
            <w:hideMark/>
          </w:tcPr>
          <w:p w14:paraId="19300FDC" w14:textId="77777777" w:rsidR="006F0BB0" w:rsidRPr="006F0BB0" w:rsidRDefault="006F0BB0" w:rsidP="007D1DBA">
            <w:pPr>
              <w:jc w:val="right"/>
              <w:rPr>
                <w:sz w:val="18"/>
                <w:szCs w:val="18"/>
                <w:lang w:val="es-419" w:eastAsia="es-419"/>
              </w:rPr>
            </w:pPr>
            <w:r w:rsidRPr="006F0BB0">
              <w:rPr>
                <w:sz w:val="18"/>
                <w:szCs w:val="18"/>
                <w:lang w:val="es-419" w:eastAsia="es-419"/>
              </w:rPr>
              <w:t>100,3%</w:t>
            </w:r>
          </w:p>
        </w:tc>
      </w:tr>
      <w:tr w:rsidR="006F0BB0" w:rsidRPr="006F0BB0" w14:paraId="0FFCDF06"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681EE1B" w14:textId="77777777" w:rsidR="006F0BB0" w:rsidRPr="006F0BB0" w:rsidRDefault="006F0BB0" w:rsidP="007D1DBA">
            <w:pPr>
              <w:jc w:val="left"/>
              <w:rPr>
                <w:sz w:val="18"/>
                <w:szCs w:val="18"/>
                <w:lang w:val="es-419" w:eastAsia="es-419"/>
              </w:rPr>
            </w:pPr>
            <w:r w:rsidRPr="006F0BB0">
              <w:rPr>
                <w:sz w:val="18"/>
                <w:szCs w:val="18"/>
                <w:lang w:val="es-419" w:eastAsia="es-419"/>
              </w:rPr>
              <w:t>Maldivas</w:t>
            </w:r>
          </w:p>
        </w:tc>
        <w:tc>
          <w:tcPr>
            <w:tcW w:w="950" w:type="dxa"/>
            <w:tcBorders>
              <w:top w:val="nil"/>
              <w:left w:val="nil"/>
              <w:bottom w:val="single" w:sz="4" w:space="0" w:color="auto"/>
              <w:right w:val="single" w:sz="4" w:space="0" w:color="auto"/>
            </w:tcBorders>
            <w:shd w:val="clear" w:color="auto" w:fill="auto"/>
            <w:noWrap/>
            <w:hideMark/>
          </w:tcPr>
          <w:p w14:paraId="31984937" w14:textId="77777777" w:rsidR="006F0BB0" w:rsidRPr="006F0BB0" w:rsidRDefault="006F0BB0" w:rsidP="007D1DBA">
            <w:pPr>
              <w:jc w:val="right"/>
              <w:rPr>
                <w:sz w:val="18"/>
                <w:szCs w:val="18"/>
                <w:lang w:val="es-419" w:eastAsia="es-419"/>
              </w:rPr>
            </w:pPr>
            <w:r w:rsidRPr="006F0BB0">
              <w:rPr>
                <w:sz w:val="18"/>
                <w:szCs w:val="18"/>
                <w:lang w:val="es-419" w:eastAsia="es-419"/>
              </w:rPr>
              <w:t>358 171</w:t>
            </w:r>
          </w:p>
        </w:tc>
        <w:tc>
          <w:tcPr>
            <w:tcW w:w="950" w:type="dxa"/>
            <w:tcBorders>
              <w:top w:val="nil"/>
              <w:left w:val="nil"/>
              <w:bottom w:val="single" w:sz="4" w:space="0" w:color="auto"/>
              <w:right w:val="single" w:sz="4" w:space="0" w:color="auto"/>
            </w:tcBorders>
            <w:shd w:val="clear" w:color="auto" w:fill="auto"/>
            <w:noWrap/>
            <w:hideMark/>
          </w:tcPr>
          <w:p w14:paraId="3A3DA0CB" w14:textId="77777777" w:rsidR="006F0BB0" w:rsidRPr="006F0BB0" w:rsidRDefault="006F0BB0" w:rsidP="007D1DBA">
            <w:pPr>
              <w:jc w:val="right"/>
              <w:rPr>
                <w:sz w:val="18"/>
                <w:szCs w:val="18"/>
                <w:lang w:val="es-419" w:eastAsia="es-419"/>
              </w:rPr>
            </w:pPr>
            <w:r w:rsidRPr="006F0BB0">
              <w:rPr>
                <w:sz w:val="18"/>
                <w:szCs w:val="18"/>
                <w:lang w:val="es-419" w:eastAsia="es-419"/>
              </w:rPr>
              <w:t>365 334</w:t>
            </w:r>
          </w:p>
        </w:tc>
        <w:tc>
          <w:tcPr>
            <w:tcW w:w="950" w:type="dxa"/>
            <w:tcBorders>
              <w:top w:val="nil"/>
              <w:left w:val="nil"/>
              <w:bottom w:val="single" w:sz="4" w:space="0" w:color="auto"/>
              <w:right w:val="single" w:sz="4" w:space="0" w:color="auto"/>
            </w:tcBorders>
            <w:shd w:val="clear" w:color="auto" w:fill="auto"/>
            <w:noWrap/>
            <w:hideMark/>
          </w:tcPr>
          <w:p w14:paraId="694E4F1B" w14:textId="77777777" w:rsidR="006F0BB0" w:rsidRPr="006F0BB0" w:rsidRDefault="006F0BB0" w:rsidP="007D1DBA">
            <w:pPr>
              <w:jc w:val="right"/>
              <w:rPr>
                <w:sz w:val="18"/>
                <w:szCs w:val="18"/>
                <w:lang w:val="es-419" w:eastAsia="es-419"/>
              </w:rPr>
            </w:pPr>
            <w:r w:rsidRPr="006F0BB0">
              <w:rPr>
                <w:sz w:val="18"/>
                <w:szCs w:val="18"/>
                <w:lang w:val="es-419" w:eastAsia="es-419"/>
              </w:rPr>
              <w:t>372 641</w:t>
            </w:r>
          </w:p>
        </w:tc>
        <w:tc>
          <w:tcPr>
            <w:tcW w:w="978" w:type="dxa"/>
            <w:tcBorders>
              <w:top w:val="nil"/>
              <w:left w:val="nil"/>
              <w:bottom w:val="single" w:sz="4" w:space="0" w:color="auto"/>
              <w:right w:val="single" w:sz="4" w:space="0" w:color="auto"/>
            </w:tcBorders>
            <w:shd w:val="clear" w:color="auto" w:fill="auto"/>
            <w:noWrap/>
            <w:hideMark/>
          </w:tcPr>
          <w:p w14:paraId="7C3DA3F5" w14:textId="77777777" w:rsidR="006F0BB0" w:rsidRPr="006F0BB0" w:rsidRDefault="006F0BB0" w:rsidP="007D1DBA">
            <w:pPr>
              <w:jc w:val="right"/>
              <w:rPr>
                <w:sz w:val="18"/>
                <w:szCs w:val="18"/>
                <w:lang w:val="es-419" w:eastAsia="es-419"/>
              </w:rPr>
            </w:pPr>
            <w:r w:rsidRPr="006F0BB0">
              <w:rPr>
                <w:sz w:val="18"/>
                <w:szCs w:val="18"/>
                <w:lang w:val="es-419" w:eastAsia="es-419"/>
              </w:rPr>
              <w:t>380 094</w:t>
            </w:r>
          </w:p>
        </w:tc>
        <w:tc>
          <w:tcPr>
            <w:tcW w:w="950" w:type="dxa"/>
            <w:tcBorders>
              <w:top w:val="nil"/>
              <w:left w:val="nil"/>
              <w:bottom w:val="single" w:sz="4" w:space="0" w:color="auto"/>
              <w:right w:val="single" w:sz="4" w:space="0" w:color="auto"/>
            </w:tcBorders>
            <w:shd w:val="clear" w:color="auto" w:fill="auto"/>
            <w:noWrap/>
            <w:hideMark/>
          </w:tcPr>
          <w:p w14:paraId="63C7F672" w14:textId="77777777" w:rsidR="006F0BB0" w:rsidRPr="006F0BB0" w:rsidRDefault="006F0BB0" w:rsidP="007D1DBA">
            <w:pPr>
              <w:jc w:val="right"/>
              <w:rPr>
                <w:sz w:val="18"/>
                <w:szCs w:val="18"/>
                <w:lang w:val="es-419" w:eastAsia="es-419"/>
              </w:rPr>
            </w:pPr>
            <w:r w:rsidRPr="006F0BB0">
              <w:rPr>
                <w:sz w:val="18"/>
                <w:szCs w:val="18"/>
                <w:lang w:val="es-419" w:eastAsia="es-419"/>
              </w:rPr>
              <w:t>418 103</w:t>
            </w:r>
          </w:p>
        </w:tc>
        <w:tc>
          <w:tcPr>
            <w:tcW w:w="950" w:type="dxa"/>
            <w:tcBorders>
              <w:top w:val="nil"/>
              <w:left w:val="nil"/>
              <w:bottom w:val="single" w:sz="4" w:space="0" w:color="auto"/>
              <w:right w:val="single" w:sz="4" w:space="0" w:color="auto"/>
            </w:tcBorders>
            <w:shd w:val="clear" w:color="auto" w:fill="auto"/>
            <w:noWrap/>
            <w:hideMark/>
          </w:tcPr>
          <w:p w14:paraId="09466AC7" w14:textId="77777777" w:rsidR="006F0BB0" w:rsidRPr="006F0BB0" w:rsidRDefault="006F0BB0" w:rsidP="007D1DBA">
            <w:pPr>
              <w:jc w:val="right"/>
              <w:rPr>
                <w:sz w:val="18"/>
                <w:szCs w:val="18"/>
                <w:lang w:val="es-419" w:eastAsia="es-419"/>
              </w:rPr>
            </w:pPr>
            <w:r w:rsidRPr="006F0BB0">
              <w:rPr>
                <w:sz w:val="18"/>
                <w:szCs w:val="18"/>
                <w:lang w:val="es-419" w:eastAsia="es-419"/>
              </w:rPr>
              <w:t>459 914</w:t>
            </w:r>
          </w:p>
        </w:tc>
        <w:tc>
          <w:tcPr>
            <w:tcW w:w="1076" w:type="dxa"/>
            <w:tcBorders>
              <w:top w:val="nil"/>
              <w:left w:val="nil"/>
              <w:bottom w:val="single" w:sz="4" w:space="0" w:color="auto"/>
              <w:right w:val="single" w:sz="4" w:space="0" w:color="auto"/>
            </w:tcBorders>
            <w:shd w:val="clear" w:color="auto" w:fill="auto"/>
            <w:noWrap/>
            <w:hideMark/>
          </w:tcPr>
          <w:p w14:paraId="6D7B1554" w14:textId="77777777" w:rsidR="006F0BB0" w:rsidRPr="006F0BB0" w:rsidRDefault="006F0BB0" w:rsidP="007D1DBA">
            <w:pPr>
              <w:jc w:val="right"/>
              <w:rPr>
                <w:sz w:val="18"/>
                <w:szCs w:val="18"/>
                <w:lang w:val="es-419" w:eastAsia="es-419"/>
              </w:rPr>
            </w:pPr>
            <w:r w:rsidRPr="006F0BB0">
              <w:rPr>
                <w:sz w:val="18"/>
                <w:szCs w:val="18"/>
                <w:lang w:val="es-419" w:eastAsia="es-419"/>
              </w:rPr>
              <w:t>372 690</w:t>
            </w:r>
          </w:p>
        </w:tc>
        <w:tc>
          <w:tcPr>
            <w:tcW w:w="1034" w:type="dxa"/>
            <w:tcBorders>
              <w:top w:val="nil"/>
              <w:left w:val="nil"/>
              <w:bottom w:val="single" w:sz="4" w:space="0" w:color="auto"/>
              <w:right w:val="single" w:sz="4" w:space="0" w:color="auto"/>
            </w:tcBorders>
            <w:shd w:val="clear" w:color="auto" w:fill="auto"/>
            <w:noWrap/>
            <w:hideMark/>
          </w:tcPr>
          <w:p w14:paraId="25EE2AD5" w14:textId="77777777" w:rsidR="006F0BB0" w:rsidRPr="006F0BB0" w:rsidRDefault="006F0BB0" w:rsidP="007D1DBA">
            <w:pPr>
              <w:jc w:val="right"/>
              <w:rPr>
                <w:sz w:val="18"/>
                <w:szCs w:val="18"/>
                <w:lang w:val="es-419" w:eastAsia="es-419"/>
              </w:rPr>
            </w:pPr>
            <w:r w:rsidRPr="006F0BB0">
              <w:rPr>
                <w:sz w:val="18"/>
                <w:szCs w:val="18"/>
                <w:lang w:val="es-419" w:eastAsia="es-419"/>
              </w:rPr>
              <w:t>458 238</w:t>
            </w:r>
          </w:p>
        </w:tc>
        <w:tc>
          <w:tcPr>
            <w:tcW w:w="1181" w:type="dxa"/>
            <w:tcBorders>
              <w:top w:val="nil"/>
              <w:left w:val="nil"/>
              <w:bottom w:val="single" w:sz="4" w:space="0" w:color="auto"/>
              <w:right w:val="single" w:sz="4" w:space="0" w:color="auto"/>
            </w:tcBorders>
            <w:shd w:val="clear" w:color="auto" w:fill="auto"/>
            <w:noWrap/>
            <w:hideMark/>
          </w:tcPr>
          <w:p w14:paraId="3CEDF5D6" w14:textId="77777777" w:rsidR="006F0BB0" w:rsidRPr="006F0BB0" w:rsidRDefault="006F0BB0" w:rsidP="007D1DBA">
            <w:pPr>
              <w:jc w:val="right"/>
              <w:rPr>
                <w:sz w:val="18"/>
                <w:szCs w:val="18"/>
                <w:lang w:val="es-419" w:eastAsia="es-419"/>
              </w:rPr>
            </w:pPr>
            <w:r w:rsidRPr="006F0BB0">
              <w:rPr>
                <w:sz w:val="18"/>
                <w:szCs w:val="18"/>
                <w:lang w:val="es-419" w:eastAsia="es-419"/>
              </w:rPr>
              <w:t>100,4%</w:t>
            </w:r>
          </w:p>
        </w:tc>
      </w:tr>
      <w:tr w:rsidR="006F0BB0" w:rsidRPr="006F0BB0" w14:paraId="7AC3E554"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3049935" w14:textId="77777777" w:rsidR="006F0BB0" w:rsidRPr="006F0BB0" w:rsidRDefault="006F0BB0" w:rsidP="007D1DBA">
            <w:pPr>
              <w:jc w:val="left"/>
              <w:rPr>
                <w:sz w:val="18"/>
                <w:szCs w:val="18"/>
                <w:lang w:val="es-419" w:eastAsia="es-419"/>
              </w:rPr>
            </w:pPr>
            <w:r w:rsidRPr="006F0BB0">
              <w:rPr>
                <w:sz w:val="18"/>
                <w:szCs w:val="18"/>
                <w:lang w:val="es-419" w:eastAsia="es-419"/>
              </w:rPr>
              <w:t>Nicaragua</w:t>
            </w:r>
          </w:p>
        </w:tc>
        <w:tc>
          <w:tcPr>
            <w:tcW w:w="950" w:type="dxa"/>
            <w:tcBorders>
              <w:top w:val="nil"/>
              <w:left w:val="nil"/>
              <w:bottom w:val="single" w:sz="4" w:space="0" w:color="auto"/>
              <w:right w:val="single" w:sz="4" w:space="0" w:color="auto"/>
            </w:tcBorders>
            <w:shd w:val="clear" w:color="auto" w:fill="auto"/>
            <w:noWrap/>
            <w:hideMark/>
          </w:tcPr>
          <w:p w14:paraId="127670A8" w14:textId="77777777" w:rsidR="006F0BB0" w:rsidRPr="006F0BB0" w:rsidRDefault="006F0BB0" w:rsidP="007D1DBA">
            <w:pPr>
              <w:jc w:val="right"/>
              <w:rPr>
                <w:sz w:val="18"/>
                <w:szCs w:val="18"/>
                <w:lang w:val="es-419" w:eastAsia="es-419"/>
              </w:rPr>
            </w:pPr>
            <w:r w:rsidRPr="006F0BB0">
              <w:rPr>
                <w:sz w:val="18"/>
                <w:szCs w:val="18"/>
                <w:lang w:val="es-419" w:eastAsia="es-419"/>
              </w:rPr>
              <w:t>558 528</w:t>
            </w:r>
          </w:p>
        </w:tc>
        <w:tc>
          <w:tcPr>
            <w:tcW w:w="950" w:type="dxa"/>
            <w:tcBorders>
              <w:top w:val="nil"/>
              <w:left w:val="nil"/>
              <w:bottom w:val="single" w:sz="4" w:space="0" w:color="auto"/>
              <w:right w:val="single" w:sz="4" w:space="0" w:color="auto"/>
            </w:tcBorders>
            <w:shd w:val="clear" w:color="auto" w:fill="auto"/>
            <w:noWrap/>
            <w:hideMark/>
          </w:tcPr>
          <w:p w14:paraId="64CC8DCF" w14:textId="77777777" w:rsidR="006F0BB0" w:rsidRPr="006F0BB0" w:rsidRDefault="006F0BB0" w:rsidP="007D1DBA">
            <w:pPr>
              <w:jc w:val="right"/>
              <w:rPr>
                <w:sz w:val="18"/>
                <w:szCs w:val="18"/>
                <w:lang w:val="es-419" w:eastAsia="es-419"/>
              </w:rPr>
            </w:pPr>
            <w:r w:rsidRPr="006F0BB0">
              <w:rPr>
                <w:sz w:val="18"/>
                <w:szCs w:val="18"/>
                <w:lang w:val="es-419" w:eastAsia="es-419"/>
              </w:rPr>
              <w:t>569 699</w:t>
            </w:r>
          </w:p>
        </w:tc>
        <w:tc>
          <w:tcPr>
            <w:tcW w:w="950" w:type="dxa"/>
            <w:tcBorders>
              <w:top w:val="nil"/>
              <w:left w:val="nil"/>
              <w:bottom w:val="single" w:sz="4" w:space="0" w:color="auto"/>
              <w:right w:val="single" w:sz="4" w:space="0" w:color="auto"/>
            </w:tcBorders>
            <w:shd w:val="clear" w:color="auto" w:fill="auto"/>
            <w:noWrap/>
            <w:hideMark/>
          </w:tcPr>
          <w:p w14:paraId="1669218F" w14:textId="77777777" w:rsidR="006F0BB0" w:rsidRPr="006F0BB0" w:rsidRDefault="006F0BB0" w:rsidP="007D1DBA">
            <w:pPr>
              <w:jc w:val="right"/>
              <w:rPr>
                <w:sz w:val="18"/>
                <w:szCs w:val="18"/>
                <w:lang w:val="es-419" w:eastAsia="es-419"/>
              </w:rPr>
            </w:pPr>
            <w:r w:rsidRPr="006F0BB0">
              <w:rPr>
                <w:sz w:val="18"/>
                <w:szCs w:val="18"/>
                <w:lang w:val="es-419" w:eastAsia="es-419"/>
              </w:rPr>
              <w:t>581 093</w:t>
            </w:r>
          </w:p>
        </w:tc>
        <w:tc>
          <w:tcPr>
            <w:tcW w:w="978" w:type="dxa"/>
            <w:tcBorders>
              <w:top w:val="nil"/>
              <w:left w:val="nil"/>
              <w:bottom w:val="single" w:sz="4" w:space="0" w:color="auto"/>
              <w:right w:val="single" w:sz="4" w:space="0" w:color="auto"/>
            </w:tcBorders>
            <w:shd w:val="clear" w:color="auto" w:fill="auto"/>
            <w:noWrap/>
            <w:hideMark/>
          </w:tcPr>
          <w:p w14:paraId="5A3918E1" w14:textId="77777777" w:rsidR="006F0BB0" w:rsidRPr="006F0BB0" w:rsidRDefault="006F0BB0" w:rsidP="007D1DBA">
            <w:pPr>
              <w:jc w:val="right"/>
              <w:rPr>
                <w:sz w:val="18"/>
                <w:szCs w:val="18"/>
                <w:lang w:val="es-419" w:eastAsia="es-419"/>
              </w:rPr>
            </w:pPr>
            <w:r w:rsidRPr="006F0BB0">
              <w:rPr>
                <w:sz w:val="18"/>
                <w:szCs w:val="18"/>
                <w:lang w:val="es-419" w:eastAsia="es-419"/>
              </w:rPr>
              <w:t>592 714</w:t>
            </w:r>
          </w:p>
        </w:tc>
        <w:tc>
          <w:tcPr>
            <w:tcW w:w="950" w:type="dxa"/>
            <w:tcBorders>
              <w:top w:val="nil"/>
              <w:left w:val="nil"/>
              <w:bottom w:val="single" w:sz="4" w:space="0" w:color="auto"/>
              <w:right w:val="single" w:sz="4" w:space="0" w:color="auto"/>
            </w:tcBorders>
            <w:shd w:val="clear" w:color="auto" w:fill="auto"/>
            <w:noWrap/>
            <w:hideMark/>
          </w:tcPr>
          <w:p w14:paraId="5B7C56D7" w14:textId="77777777" w:rsidR="006F0BB0" w:rsidRPr="006F0BB0" w:rsidRDefault="006F0BB0" w:rsidP="007D1DBA">
            <w:pPr>
              <w:jc w:val="right"/>
              <w:rPr>
                <w:sz w:val="18"/>
                <w:szCs w:val="18"/>
                <w:lang w:val="es-419" w:eastAsia="es-419"/>
              </w:rPr>
            </w:pPr>
            <w:r w:rsidRPr="006F0BB0">
              <w:rPr>
                <w:sz w:val="18"/>
                <w:szCs w:val="18"/>
                <w:lang w:val="es-419" w:eastAsia="es-419"/>
              </w:rPr>
              <w:t>651 986</w:t>
            </w:r>
          </w:p>
        </w:tc>
        <w:tc>
          <w:tcPr>
            <w:tcW w:w="950" w:type="dxa"/>
            <w:tcBorders>
              <w:top w:val="nil"/>
              <w:left w:val="nil"/>
              <w:bottom w:val="single" w:sz="4" w:space="0" w:color="auto"/>
              <w:right w:val="single" w:sz="4" w:space="0" w:color="auto"/>
            </w:tcBorders>
            <w:shd w:val="clear" w:color="auto" w:fill="auto"/>
            <w:noWrap/>
            <w:hideMark/>
          </w:tcPr>
          <w:p w14:paraId="4C1C4D8C" w14:textId="77777777" w:rsidR="006F0BB0" w:rsidRPr="006F0BB0" w:rsidRDefault="006F0BB0" w:rsidP="007D1DBA">
            <w:pPr>
              <w:jc w:val="right"/>
              <w:rPr>
                <w:sz w:val="18"/>
                <w:szCs w:val="18"/>
                <w:lang w:val="es-419" w:eastAsia="es-419"/>
              </w:rPr>
            </w:pPr>
            <w:r w:rsidRPr="006F0BB0">
              <w:rPr>
                <w:sz w:val="18"/>
                <w:szCs w:val="18"/>
                <w:lang w:val="es-419" w:eastAsia="es-419"/>
              </w:rPr>
              <w:t>717 184</w:t>
            </w:r>
          </w:p>
        </w:tc>
        <w:tc>
          <w:tcPr>
            <w:tcW w:w="1076" w:type="dxa"/>
            <w:tcBorders>
              <w:top w:val="nil"/>
              <w:left w:val="nil"/>
              <w:bottom w:val="single" w:sz="4" w:space="0" w:color="auto"/>
              <w:right w:val="single" w:sz="4" w:space="0" w:color="auto"/>
            </w:tcBorders>
            <w:shd w:val="clear" w:color="auto" w:fill="auto"/>
            <w:noWrap/>
            <w:hideMark/>
          </w:tcPr>
          <w:p w14:paraId="74D7CCB9" w14:textId="77777777" w:rsidR="006F0BB0" w:rsidRPr="006F0BB0" w:rsidRDefault="006F0BB0" w:rsidP="007D1DBA">
            <w:pPr>
              <w:jc w:val="right"/>
              <w:rPr>
                <w:sz w:val="18"/>
                <w:szCs w:val="18"/>
                <w:lang w:val="es-419" w:eastAsia="es-419"/>
              </w:rPr>
            </w:pPr>
            <w:r w:rsidRPr="006F0BB0">
              <w:rPr>
                <w:sz w:val="18"/>
                <w:szCs w:val="18"/>
                <w:lang w:val="es-419" w:eastAsia="es-419"/>
              </w:rPr>
              <w:t>581 168</w:t>
            </w:r>
          </w:p>
        </w:tc>
        <w:tc>
          <w:tcPr>
            <w:tcW w:w="1034" w:type="dxa"/>
            <w:tcBorders>
              <w:top w:val="nil"/>
              <w:left w:val="nil"/>
              <w:bottom w:val="single" w:sz="4" w:space="0" w:color="auto"/>
              <w:right w:val="single" w:sz="4" w:space="0" w:color="auto"/>
            </w:tcBorders>
            <w:shd w:val="clear" w:color="auto" w:fill="auto"/>
            <w:noWrap/>
            <w:hideMark/>
          </w:tcPr>
          <w:p w14:paraId="15D5BF62" w14:textId="77777777" w:rsidR="006F0BB0" w:rsidRPr="006F0BB0" w:rsidRDefault="006F0BB0" w:rsidP="007D1DBA">
            <w:pPr>
              <w:jc w:val="right"/>
              <w:rPr>
                <w:sz w:val="18"/>
                <w:szCs w:val="18"/>
                <w:lang w:val="es-419" w:eastAsia="es-419"/>
              </w:rPr>
            </w:pPr>
            <w:r w:rsidRPr="006F0BB0">
              <w:rPr>
                <w:sz w:val="18"/>
                <w:szCs w:val="18"/>
                <w:lang w:val="es-419" w:eastAsia="es-419"/>
              </w:rPr>
              <w:t>714 476</w:t>
            </w:r>
          </w:p>
        </w:tc>
        <w:tc>
          <w:tcPr>
            <w:tcW w:w="1181" w:type="dxa"/>
            <w:tcBorders>
              <w:top w:val="nil"/>
              <w:left w:val="nil"/>
              <w:bottom w:val="single" w:sz="4" w:space="0" w:color="auto"/>
              <w:right w:val="single" w:sz="4" w:space="0" w:color="auto"/>
            </w:tcBorders>
            <w:shd w:val="clear" w:color="auto" w:fill="auto"/>
            <w:noWrap/>
            <w:hideMark/>
          </w:tcPr>
          <w:p w14:paraId="441BD4EA" w14:textId="77777777" w:rsidR="006F0BB0" w:rsidRPr="006F0BB0" w:rsidRDefault="006F0BB0" w:rsidP="007D1DBA">
            <w:pPr>
              <w:jc w:val="right"/>
              <w:rPr>
                <w:sz w:val="18"/>
                <w:szCs w:val="18"/>
                <w:lang w:val="es-419" w:eastAsia="es-419"/>
              </w:rPr>
            </w:pPr>
            <w:r w:rsidRPr="006F0BB0">
              <w:rPr>
                <w:sz w:val="18"/>
                <w:szCs w:val="18"/>
                <w:lang w:val="es-419" w:eastAsia="es-419"/>
              </w:rPr>
              <w:t>100,4%</w:t>
            </w:r>
          </w:p>
        </w:tc>
      </w:tr>
      <w:tr w:rsidR="006F0BB0" w:rsidRPr="006F0BB0" w14:paraId="2B0C7044"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41BCEE" w14:textId="77777777" w:rsidR="006F0BB0" w:rsidRPr="006F0BB0" w:rsidRDefault="006F0BB0" w:rsidP="007D1DBA">
            <w:pPr>
              <w:jc w:val="left"/>
              <w:rPr>
                <w:sz w:val="18"/>
                <w:szCs w:val="18"/>
                <w:lang w:val="es-419" w:eastAsia="es-419"/>
              </w:rPr>
            </w:pPr>
            <w:r w:rsidRPr="006F0BB0">
              <w:rPr>
                <w:sz w:val="18"/>
                <w:szCs w:val="18"/>
                <w:lang w:val="es-419" w:eastAsia="es-419"/>
              </w:rPr>
              <w:t>Costa Rica</w:t>
            </w:r>
          </w:p>
        </w:tc>
        <w:tc>
          <w:tcPr>
            <w:tcW w:w="950" w:type="dxa"/>
            <w:tcBorders>
              <w:top w:val="nil"/>
              <w:left w:val="nil"/>
              <w:bottom w:val="single" w:sz="4" w:space="0" w:color="auto"/>
              <w:right w:val="single" w:sz="4" w:space="0" w:color="auto"/>
            </w:tcBorders>
            <w:shd w:val="clear" w:color="auto" w:fill="auto"/>
            <w:noWrap/>
            <w:hideMark/>
          </w:tcPr>
          <w:p w14:paraId="1CF9C237" w14:textId="77777777" w:rsidR="006F0BB0" w:rsidRPr="006F0BB0" w:rsidRDefault="006F0BB0" w:rsidP="007D1DBA">
            <w:pPr>
              <w:jc w:val="right"/>
              <w:rPr>
                <w:sz w:val="18"/>
                <w:szCs w:val="18"/>
                <w:lang w:val="es-419" w:eastAsia="es-419"/>
              </w:rPr>
            </w:pPr>
            <w:r w:rsidRPr="006F0BB0">
              <w:rPr>
                <w:sz w:val="18"/>
                <w:szCs w:val="18"/>
                <w:lang w:val="es-419" w:eastAsia="es-419"/>
              </w:rPr>
              <w:t>1 099 195</w:t>
            </w:r>
          </w:p>
        </w:tc>
        <w:tc>
          <w:tcPr>
            <w:tcW w:w="950" w:type="dxa"/>
            <w:tcBorders>
              <w:top w:val="nil"/>
              <w:left w:val="nil"/>
              <w:bottom w:val="single" w:sz="4" w:space="0" w:color="auto"/>
              <w:right w:val="single" w:sz="4" w:space="0" w:color="auto"/>
            </w:tcBorders>
            <w:shd w:val="clear" w:color="auto" w:fill="auto"/>
            <w:noWrap/>
            <w:hideMark/>
          </w:tcPr>
          <w:p w14:paraId="349C83F5" w14:textId="77777777" w:rsidR="006F0BB0" w:rsidRPr="006F0BB0" w:rsidRDefault="006F0BB0" w:rsidP="007D1DBA">
            <w:pPr>
              <w:jc w:val="right"/>
              <w:rPr>
                <w:sz w:val="18"/>
                <w:szCs w:val="18"/>
                <w:lang w:val="es-419" w:eastAsia="es-419"/>
              </w:rPr>
            </w:pPr>
            <w:r w:rsidRPr="006F0BB0">
              <w:rPr>
                <w:sz w:val="18"/>
                <w:szCs w:val="18"/>
                <w:lang w:val="es-419" w:eastAsia="es-419"/>
              </w:rPr>
              <w:t>1 121 179</w:t>
            </w:r>
          </w:p>
        </w:tc>
        <w:tc>
          <w:tcPr>
            <w:tcW w:w="950" w:type="dxa"/>
            <w:tcBorders>
              <w:top w:val="nil"/>
              <w:left w:val="nil"/>
              <w:bottom w:val="single" w:sz="4" w:space="0" w:color="auto"/>
              <w:right w:val="single" w:sz="4" w:space="0" w:color="auto"/>
            </w:tcBorders>
            <w:shd w:val="clear" w:color="auto" w:fill="auto"/>
            <w:noWrap/>
            <w:hideMark/>
          </w:tcPr>
          <w:p w14:paraId="737F2EE2" w14:textId="77777777" w:rsidR="006F0BB0" w:rsidRPr="006F0BB0" w:rsidRDefault="006F0BB0" w:rsidP="007D1DBA">
            <w:pPr>
              <w:jc w:val="right"/>
              <w:rPr>
                <w:sz w:val="18"/>
                <w:szCs w:val="18"/>
                <w:lang w:val="es-419" w:eastAsia="es-419"/>
              </w:rPr>
            </w:pPr>
            <w:r w:rsidRPr="006F0BB0">
              <w:rPr>
                <w:sz w:val="18"/>
                <w:szCs w:val="18"/>
                <w:lang w:val="es-419" w:eastAsia="es-419"/>
              </w:rPr>
              <w:t>1 143 602</w:t>
            </w:r>
          </w:p>
        </w:tc>
        <w:tc>
          <w:tcPr>
            <w:tcW w:w="978" w:type="dxa"/>
            <w:tcBorders>
              <w:top w:val="nil"/>
              <w:left w:val="nil"/>
              <w:bottom w:val="single" w:sz="4" w:space="0" w:color="auto"/>
              <w:right w:val="single" w:sz="4" w:space="0" w:color="auto"/>
            </w:tcBorders>
            <w:shd w:val="clear" w:color="auto" w:fill="auto"/>
            <w:noWrap/>
            <w:hideMark/>
          </w:tcPr>
          <w:p w14:paraId="71368EFB" w14:textId="77777777" w:rsidR="006F0BB0" w:rsidRPr="006F0BB0" w:rsidRDefault="006F0BB0" w:rsidP="007D1DBA">
            <w:pPr>
              <w:jc w:val="right"/>
              <w:rPr>
                <w:sz w:val="18"/>
                <w:szCs w:val="18"/>
                <w:lang w:val="es-419" w:eastAsia="es-419"/>
              </w:rPr>
            </w:pPr>
            <w:r w:rsidRPr="006F0BB0">
              <w:rPr>
                <w:sz w:val="18"/>
                <w:szCs w:val="18"/>
                <w:lang w:val="es-419" w:eastAsia="es-419"/>
              </w:rPr>
              <w:t>1 166 475</w:t>
            </w:r>
          </w:p>
        </w:tc>
        <w:tc>
          <w:tcPr>
            <w:tcW w:w="950" w:type="dxa"/>
            <w:tcBorders>
              <w:top w:val="nil"/>
              <w:left w:val="nil"/>
              <w:bottom w:val="single" w:sz="4" w:space="0" w:color="auto"/>
              <w:right w:val="single" w:sz="4" w:space="0" w:color="auto"/>
            </w:tcBorders>
            <w:shd w:val="clear" w:color="auto" w:fill="auto"/>
            <w:noWrap/>
            <w:hideMark/>
          </w:tcPr>
          <w:p w14:paraId="55182F30" w14:textId="77777777" w:rsidR="006F0BB0" w:rsidRPr="006F0BB0" w:rsidRDefault="006F0BB0" w:rsidP="007D1DBA">
            <w:pPr>
              <w:jc w:val="right"/>
              <w:rPr>
                <w:sz w:val="18"/>
                <w:szCs w:val="18"/>
                <w:lang w:val="es-419" w:eastAsia="es-419"/>
              </w:rPr>
            </w:pPr>
            <w:r w:rsidRPr="006F0BB0">
              <w:rPr>
                <w:sz w:val="18"/>
                <w:szCs w:val="18"/>
                <w:lang w:val="es-419" w:eastAsia="es-419"/>
              </w:rPr>
              <w:t>1 283 122</w:t>
            </w:r>
          </w:p>
        </w:tc>
        <w:tc>
          <w:tcPr>
            <w:tcW w:w="950" w:type="dxa"/>
            <w:tcBorders>
              <w:top w:val="nil"/>
              <w:left w:val="nil"/>
              <w:bottom w:val="single" w:sz="4" w:space="0" w:color="auto"/>
              <w:right w:val="single" w:sz="4" w:space="0" w:color="auto"/>
            </w:tcBorders>
            <w:shd w:val="clear" w:color="auto" w:fill="auto"/>
            <w:noWrap/>
            <w:hideMark/>
          </w:tcPr>
          <w:p w14:paraId="1BD735F5" w14:textId="77777777" w:rsidR="006F0BB0" w:rsidRPr="006F0BB0" w:rsidRDefault="006F0BB0" w:rsidP="007D1DBA">
            <w:pPr>
              <w:jc w:val="right"/>
              <w:rPr>
                <w:sz w:val="18"/>
                <w:szCs w:val="18"/>
                <w:lang w:val="es-419" w:eastAsia="es-419"/>
              </w:rPr>
            </w:pPr>
            <w:r w:rsidRPr="006F0BB0">
              <w:rPr>
                <w:sz w:val="18"/>
                <w:szCs w:val="18"/>
                <w:lang w:val="es-419" w:eastAsia="es-419"/>
              </w:rPr>
              <w:t>1 411 434</w:t>
            </w:r>
          </w:p>
        </w:tc>
        <w:tc>
          <w:tcPr>
            <w:tcW w:w="1076" w:type="dxa"/>
            <w:tcBorders>
              <w:top w:val="nil"/>
              <w:left w:val="nil"/>
              <w:bottom w:val="single" w:sz="4" w:space="0" w:color="auto"/>
              <w:right w:val="single" w:sz="4" w:space="0" w:color="auto"/>
            </w:tcBorders>
            <w:shd w:val="clear" w:color="auto" w:fill="auto"/>
            <w:noWrap/>
            <w:hideMark/>
          </w:tcPr>
          <w:p w14:paraId="2A3DB299" w14:textId="77777777" w:rsidR="006F0BB0" w:rsidRPr="006F0BB0" w:rsidRDefault="006F0BB0" w:rsidP="007D1DBA">
            <w:pPr>
              <w:jc w:val="right"/>
              <w:rPr>
                <w:sz w:val="18"/>
                <w:szCs w:val="18"/>
                <w:lang w:val="es-419" w:eastAsia="es-419"/>
              </w:rPr>
            </w:pPr>
            <w:r w:rsidRPr="006F0BB0">
              <w:rPr>
                <w:sz w:val="18"/>
                <w:szCs w:val="18"/>
                <w:lang w:val="es-419" w:eastAsia="es-419"/>
              </w:rPr>
              <w:t>1 143 752</w:t>
            </w:r>
          </w:p>
        </w:tc>
        <w:tc>
          <w:tcPr>
            <w:tcW w:w="1034" w:type="dxa"/>
            <w:tcBorders>
              <w:top w:val="nil"/>
              <w:left w:val="nil"/>
              <w:bottom w:val="single" w:sz="4" w:space="0" w:color="auto"/>
              <w:right w:val="single" w:sz="4" w:space="0" w:color="auto"/>
            </w:tcBorders>
            <w:shd w:val="clear" w:color="auto" w:fill="auto"/>
            <w:noWrap/>
            <w:hideMark/>
          </w:tcPr>
          <w:p w14:paraId="1BF97312" w14:textId="77777777" w:rsidR="006F0BB0" w:rsidRPr="006F0BB0" w:rsidRDefault="006F0BB0" w:rsidP="007D1DBA">
            <w:pPr>
              <w:jc w:val="right"/>
              <w:rPr>
                <w:sz w:val="18"/>
                <w:szCs w:val="18"/>
                <w:lang w:val="es-419" w:eastAsia="es-419"/>
              </w:rPr>
            </w:pPr>
            <w:r w:rsidRPr="006F0BB0">
              <w:rPr>
                <w:sz w:val="18"/>
                <w:szCs w:val="18"/>
                <w:lang w:val="es-419" w:eastAsia="es-419"/>
              </w:rPr>
              <w:t>1 382 354</w:t>
            </w:r>
          </w:p>
        </w:tc>
        <w:tc>
          <w:tcPr>
            <w:tcW w:w="1181" w:type="dxa"/>
            <w:tcBorders>
              <w:top w:val="nil"/>
              <w:left w:val="nil"/>
              <w:bottom w:val="single" w:sz="4" w:space="0" w:color="auto"/>
              <w:right w:val="single" w:sz="4" w:space="0" w:color="auto"/>
            </w:tcBorders>
            <w:shd w:val="clear" w:color="auto" w:fill="auto"/>
            <w:noWrap/>
            <w:hideMark/>
          </w:tcPr>
          <w:p w14:paraId="4BC04B10" w14:textId="77777777" w:rsidR="006F0BB0" w:rsidRPr="006F0BB0" w:rsidRDefault="006F0BB0" w:rsidP="007D1DBA">
            <w:pPr>
              <w:jc w:val="right"/>
              <w:rPr>
                <w:sz w:val="18"/>
                <w:szCs w:val="18"/>
                <w:lang w:val="es-419" w:eastAsia="es-419"/>
              </w:rPr>
            </w:pPr>
            <w:r w:rsidRPr="006F0BB0">
              <w:rPr>
                <w:sz w:val="18"/>
                <w:szCs w:val="18"/>
                <w:lang w:val="es-419" w:eastAsia="es-419"/>
              </w:rPr>
              <w:t>102,1%</w:t>
            </w:r>
          </w:p>
        </w:tc>
      </w:tr>
      <w:tr w:rsidR="006F0BB0" w:rsidRPr="006F0BB0" w14:paraId="51B61992"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3BB72C" w14:textId="77777777" w:rsidR="006F0BB0" w:rsidRPr="006F0BB0" w:rsidRDefault="006F0BB0" w:rsidP="007D1DBA">
            <w:pPr>
              <w:jc w:val="left"/>
              <w:rPr>
                <w:sz w:val="18"/>
                <w:szCs w:val="18"/>
                <w:lang w:val="es-419" w:eastAsia="es-419"/>
              </w:rPr>
            </w:pPr>
            <w:r w:rsidRPr="006F0BB0">
              <w:rPr>
                <w:sz w:val="18"/>
                <w:szCs w:val="18"/>
                <w:lang w:val="es-419" w:eastAsia="es-419"/>
              </w:rPr>
              <w:t>Samoa</w:t>
            </w:r>
          </w:p>
        </w:tc>
        <w:tc>
          <w:tcPr>
            <w:tcW w:w="950" w:type="dxa"/>
            <w:tcBorders>
              <w:top w:val="nil"/>
              <w:left w:val="nil"/>
              <w:bottom w:val="single" w:sz="4" w:space="0" w:color="auto"/>
              <w:right w:val="single" w:sz="4" w:space="0" w:color="auto"/>
            </w:tcBorders>
            <w:shd w:val="clear" w:color="auto" w:fill="auto"/>
            <w:noWrap/>
            <w:hideMark/>
          </w:tcPr>
          <w:p w14:paraId="68EEDDFC" w14:textId="77777777" w:rsidR="006F0BB0" w:rsidRPr="006F0BB0" w:rsidRDefault="006F0BB0" w:rsidP="007D1DBA">
            <w:pPr>
              <w:jc w:val="right"/>
              <w:rPr>
                <w:sz w:val="18"/>
                <w:szCs w:val="18"/>
                <w:lang w:val="es-419" w:eastAsia="es-419"/>
              </w:rPr>
            </w:pPr>
            <w:r w:rsidRPr="006F0BB0">
              <w:rPr>
                <w:sz w:val="18"/>
                <w:szCs w:val="18"/>
                <w:lang w:val="es-419" w:eastAsia="es-419"/>
              </w:rPr>
              <w:t>25 170</w:t>
            </w:r>
          </w:p>
        </w:tc>
        <w:tc>
          <w:tcPr>
            <w:tcW w:w="950" w:type="dxa"/>
            <w:tcBorders>
              <w:top w:val="nil"/>
              <w:left w:val="nil"/>
              <w:bottom w:val="single" w:sz="4" w:space="0" w:color="auto"/>
              <w:right w:val="single" w:sz="4" w:space="0" w:color="auto"/>
            </w:tcBorders>
            <w:shd w:val="clear" w:color="auto" w:fill="auto"/>
            <w:noWrap/>
            <w:hideMark/>
          </w:tcPr>
          <w:p w14:paraId="2EC705EF" w14:textId="77777777" w:rsidR="006F0BB0" w:rsidRPr="006F0BB0" w:rsidRDefault="006F0BB0" w:rsidP="007D1DBA">
            <w:pPr>
              <w:jc w:val="right"/>
              <w:rPr>
                <w:sz w:val="18"/>
                <w:szCs w:val="18"/>
                <w:lang w:val="es-419" w:eastAsia="es-419"/>
              </w:rPr>
            </w:pPr>
            <w:r w:rsidRPr="006F0BB0">
              <w:rPr>
                <w:sz w:val="18"/>
                <w:szCs w:val="18"/>
                <w:lang w:val="es-419" w:eastAsia="es-419"/>
              </w:rPr>
              <w:t>25 673</w:t>
            </w:r>
          </w:p>
        </w:tc>
        <w:tc>
          <w:tcPr>
            <w:tcW w:w="950" w:type="dxa"/>
            <w:tcBorders>
              <w:top w:val="nil"/>
              <w:left w:val="nil"/>
              <w:bottom w:val="single" w:sz="4" w:space="0" w:color="auto"/>
              <w:right w:val="single" w:sz="4" w:space="0" w:color="auto"/>
            </w:tcBorders>
            <w:shd w:val="clear" w:color="auto" w:fill="auto"/>
            <w:noWrap/>
            <w:hideMark/>
          </w:tcPr>
          <w:p w14:paraId="243B5F31" w14:textId="77777777" w:rsidR="006F0BB0" w:rsidRPr="006F0BB0" w:rsidRDefault="006F0BB0" w:rsidP="007D1DBA">
            <w:pPr>
              <w:jc w:val="right"/>
              <w:rPr>
                <w:sz w:val="18"/>
                <w:szCs w:val="18"/>
                <w:lang w:val="es-419" w:eastAsia="es-419"/>
              </w:rPr>
            </w:pPr>
            <w:r w:rsidRPr="006F0BB0">
              <w:rPr>
                <w:sz w:val="18"/>
                <w:szCs w:val="18"/>
                <w:lang w:val="es-419" w:eastAsia="es-419"/>
              </w:rPr>
              <w:t>26 187</w:t>
            </w:r>
          </w:p>
        </w:tc>
        <w:tc>
          <w:tcPr>
            <w:tcW w:w="978" w:type="dxa"/>
            <w:tcBorders>
              <w:top w:val="nil"/>
              <w:left w:val="nil"/>
              <w:bottom w:val="single" w:sz="4" w:space="0" w:color="auto"/>
              <w:right w:val="single" w:sz="4" w:space="0" w:color="auto"/>
            </w:tcBorders>
            <w:shd w:val="clear" w:color="auto" w:fill="auto"/>
            <w:noWrap/>
            <w:hideMark/>
          </w:tcPr>
          <w:p w14:paraId="14BFAB94" w14:textId="77777777" w:rsidR="006F0BB0" w:rsidRPr="006F0BB0" w:rsidRDefault="006F0BB0" w:rsidP="007D1DBA">
            <w:pPr>
              <w:jc w:val="right"/>
              <w:rPr>
                <w:sz w:val="18"/>
                <w:szCs w:val="18"/>
                <w:lang w:val="es-419" w:eastAsia="es-419"/>
              </w:rPr>
            </w:pPr>
            <w:r w:rsidRPr="006F0BB0">
              <w:rPr>
                <w:sz w:val="18"/>
                <w:szCs w:val="18"/>
                <w:lang w:val="es-419" w:eastAsia="es-419"/>
              </w:rPr>
              <w:t>26 711</w:t>
            </w:r>
          </w:p>
        </w:tc>
        <w:tc>
          <w:tcPr>
            <w:tcW w:w="950" w:type="dxa"/>
            <w:tcBorders>
              <w:top w:val="nil"/>
              <w:left w:val="nil"/>
              <w:bottom w:val="single" w:sz="4" w:space="0" w:color="auto"/>
              <w:right w:val="single" w:sz="4" w:space="0" w:color="auto"/>
            </w:tcBorders>
            <w:shd w:val="clear" w:color="auto" w:fill="auto"/>
            <w:noWrap/>
            <w:hideMark/>
          </w:tcPr>
          <w:p w14:paraId="1825F8E7" w14:textId="77777777" w:rsidR="006F0BB0" w:rsidRPr="006F0BB0" w:rsidRDefault="006F0BB0" w:rsidP="007D1DBA">
            <w:pPr>
              <w:jc w:val="right"/>
              <w:rPr>
                <w:sz w:val="18"/>
                <w:szCs w:val="18"/>
                <w:lang w:val="es-419" w:eastAsia="es-419"/>
              </w:rPr>
            </w:pPr>
            <w:r w:rsidRPr="006F0BB0">
              <w:rPr>
                <w:sz w:val="18"/>
                <w:szCs w:val="18"/>
                <w:lang w:val="es-419" w:eastAsia="es-419"/>
              </w:rPr>
              <w:t>29 382</w:t>
            </w:r>
          </w:p>
        </w:tc>
        <w:tc>
          <w:tcPr>
            <w:tcW w:w="950" w:type="dxa"/>
            <w:tcBorders>
              <w:top w:val="nil"/>
              <w:left w:val="nil"/>
              <w:bottom w:val="single" w:sz="4" w:space="0" w:color="auto"/>
              <w:right w:val="single" w:sz="4" w:space="0" w:color="auto"/>
            </w:tcBorders>
            <w:shd w:val="clear" w:color="auto" w:fill="auto"/>
            <w:noWrap/>
            <w:hideMark/>
          </w:tcPr>
          <w:p w14:paraId="03CA68E0" w14:textId="77777777" w:rsidR="006F0BB0" w:rsidRPr="006F0BB0" w:rsidRDefault="006F0BB0" w:rsidP="007D1DBA">
            <w:pPr>
              <w:jc w:val="right"/>
              <w:rPr>
                <w:sz w:val="18"/>
                <w:szCs w:val="18"/>
                <w:lang w:val="es-419" w:eastAsia="es-419"/>
              </w:rPr>
            </w:pPr>
            <w:r w:rsidRPr="006F0BB0">
              <w:rPr>
                <w:sz w:val="18"/>
                <w:szCs w:val="18"/>
                <w:lang w:val="es-419" w:eastAsia="es-419"/>
              </w:rPr>
              <w:t>32 320</w:t>
            </w:r>
          </w:p>
        </w:tc>
        <w:tc>
          <w:tcPr>
            <w:tcW w:w="1076" w:type="dxa"/>
            <w:tcBorders>
              <w:top w:val="nil"/>
              <w:left w:val="nil"/>
              <w:bottom w:val="single" w:sz="4" w:space="0" w:color="auto"/>
              <w:right w:val="single" w:sz="4" w:space="0" w:color="auto"/>
            </w:tcBorders>
            <w:shd w:val="clear" w:color="auto" w:fill="auto"/>
            <w:noWrap/>
            <w:hideMark/>
          </w:tcPr>
          <w:p w14:paraId="0725FA46" w14:textId="77777777" w:rsidR="006F0BB0" w:rsidRPr="006F0BB0" w:rsidRDefault="006F0BB0" w:rsidP="007D1DBA">
            <w:pPr>
              <w:jc w:val="right"/>
              <w:rPr>
                <w:sz w:val="18"/>
                <w:szCs w:val="18"/>
                <w:lang w:val="es-419" w:eastAsia="es-419"/>
              </w:rPr>
            </w:pPr>
            <w:r w:rsidRPr="006F0BB0">
              <w:rPr>
                <w:sz w:val="18"/>
                <w:szCs w:val="18"/>
                <w:lang w:val="es-419" w:eastAsia="es-419"/>
              </w:rPr>
              <w:t>26 190</w:t>
            </w:r>
          </w:p>
        </w:tc>
        <w:tc>
          <w:tcPr>
            <w:tcW w:w="1034" w:type="dxa"/>
            <w:tcBorders>
              <w:top w:val="nil"/>
              <w:left w:val="nil"/>
              <w:bottom w:val="single" w:sz="4" w:space="0" w:color="auto"/>
              <w:right w:val="single" w:sz="4" w:space="0" w:color="auto"/>
            </w:tcBorders>
            <w:shd w:val="clear" w:color="auto" w:fill="auto"/>
            <w:noWrap/>
            <w:hideMark/>
          </w:tcPr>
          <w:p w14:paraId="56FEF8F0" w14:textId="77777777" w:rsidR="006F0BB0" w:rsidRPr="006F0BB0" w:rsidRDefault="006F0BB0" w:rsidP="007D1DBA">
            <w:pPr>
              <w:jc w:val="right"/>
              <w:rPr>
                <w:sz w:val="18"/>
                <w:szCs w:val="18"/>
                <w:lang w:val="es-419" w:eastAsia="es-419"/>
              </w:rPr>
            </w:pPr>
            <w:r w:rsidRPr="006F0BB0">
              <w:rPr>
                <w:sz w:val="18"/>
                <w:szCs w:val="18"/>
                <w:lang w:val="es-419" w:eastAsia="es-419"/>
              </w:rPr>
              <w:t>31 602</w:t>
            </w:r>
          </w:p>
        </w:tc>
        <w:tc>
          <w:tcPr>
            <w:tcW w:w="1181" w:type="dxa"/>
            <w:tcBorders>
              <w:top w:val="nil"/>
              <w:left w:val="nil"/>
              <w:bottom w:val="single" w:sz="4" w:space="0" w:color="auto"/>
              <w:right w:val="single" w:sz="4" w:space="0" w:color="auto"/>
            </w:tcBorders>
            <w:shd w:val="clear" w:color="auto" w:fill="auto"/>
            <w:noWrap/>
            <w:hideMark/>
          </w:tcPr>
          <w:p w14:paraId="0EA10128" w14:textId="77777777" w:rsidR="006F0BB0" w:rsidRPr="006F0BB0" w:rsidRDefault="006F0BB0" w:rsidP="007D1DBA">
            <w:pPr>
              <w:jc w:val="right"/>
              <w:rPr>
                <w:sz w:val="18"/>
                <w:szCs w:val="18"/>
                <w:lang w:val="es-419" w:eastAsia="es-419"/>
              </w:rPr>
            </w:pPr>
            <w:r w:rsidRPr="006F0BB0">
              <w:rPr>
                <w:sz w:val="18"/>
                <w:szCs w:val="18"/>
                <w:lang w:val="es-419" w:eastAsia="es-419"/>
              </w:rPr>
              <w:t>102,3%</w:t>
            </w:r>
          </w:p>
        </w:tc>
      </w:tr>
      <w:tr w:rsidR="006F0BB0" w:rsidRPr="006F0BB0" w14:paraId="52650E6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1FFDF2A" w14:textId="77777777" w:rsidR="006F0BB0" w:rsidRPr="006F0BB0" w:rsidRDefault="006F0BB0" w:rsidP="007D1DBA">
            <w:pPr>
              <w:ind w:right="-90"/>
              <w:jc w:val="left"/>
              <w:rPr>
                <w:sz w:val="18"/>
                <w:szCs w:val="18"/>
                <w:lang w:val="es-419" w:eastAsia="es-419"/>
              </w:rPr>
            </w:pPr>
            <w:r w:rsidRPr="006F0BB0">
              <w:rPr>
                <w:sz w:val="18"/>
                <w:szCs w:val="18"/>
                <w:lang w:val="es-419" w:eastAsia="es-419"/>
              </w:rPr>
              <w:t>Micronesia (Estados Federados de)</w:t>
            </w:r>
          </w:p>
        </w:tc>
        <w:tc>
          <w:tcPr>
            <w:tcW w:w="950" w:type="dxa"/>
            <w:tcBorders>
              <w:top w:val="nil"/>
              <w:left w:val="nil"/>
              <w:bottom w:val="single" w:sz="4" w:space="0" w:color="auto"/>
              <w:right w:val="single" w:sz="4" w:space="0" w:color="auto"/>
            </w:tcBorders>
            <w:shd w:val="clear" w:color="auto" w:fill="auto"/>
            <w:noWrap/>
            <w:hideMark/>
          </w:tcPr>
          <w:p w14:paraId="60212207" w14:textId="77777777" w:rsidR="006F0BB0" w:rsidRPr="006F0BB0" w:rsidRDefault="006F0BB0" w:rsidP="007D1DBA">
            <w:pPr>
              <w:jc w:val="right"/>
              <w:rPr>
                <w:sz w:val="18"/>
                <w:szCs w:val="18"/>
                <w:lang w:val="es-419" w:eastAsia="es-419"/>
              </w:rPr>
            </w:pPr>
            <w:r w:rsidRPr="006F0BB0">
              <w:rPr>
                <w:sz w:val="18"/>
                <w:szCs w:val="18"/>
                <w:lang w:val="es-419" w:eastAsia="es-419"/>
              </w:rPr>
              <w:t>14 020</w:t>
            </w:r>
          </w:p>
        </w:tc>
        <w:tc>
          <w:tcPr>
            <w:tcW w:w="950" w:type="dxa"/>
            <w:tcBorders>
              <w:top w:val="nil"/>
              <w:left w:val="nil"/>
              <w:bottom w:val="single" w:sz="4" w:space="0" w:color="auto"/>
              <w:right w:val="single" w:sz="4" w:space="0" w:color="auto"/>
            </w:tcBorders>
            <w:shd w:val="clear" w:color="auto" w:fill="auto"/>
            <w:noWrap/>
            <w:hideMark/>
          </w:tcPr>
          <w:p w14:paraId="7223433A" w14:textId="77777777" w:rsidR="006F0BB0" w:rsidRPr="006F0BB0" w:rsidRDefault="006F0BB0" w:rsidP="007D1DBA">
            <w:pPr>
              <w:jc w:val="right"/>
              <w:rPr>
                <w:sz w:val="18"/>
                <w:szCs w:val="18"/>
                <w:lang w:val="es-419" w:eastAsia="es-419"/>
              </w:rPr>
            </w:pPr>
            <w:r w:rsidRPr="006F0BB0">
              <w:rPr>
                <w:sz w:val="18"/>
                <w:szCs w:val="18"/>
                <w:lang w:val="es-419" w:eastAsia="es-419"/>
              </w:rPr>
              <w:t>14 300</w:t>
            </w:r>
          </w:p>
        </w:tc>
        <w:tc>
          <w:tcPr>
            <w:tcW w:w="950" w:type="dxa"/>
            <w:tcBorders>
              <w:top w:val="nil"/>
              <w:left w:val="nil"/>
              <w:bottom w:val="single" w:sz="4" w:space="0" w:color="auto"/>
              <w:right w:val="single" w:sz="4" w:space="0" w:color="auto"/>
            </w:tcBorders>
            <w:shd w:val="clear" w:color="auto" w:fill="auto"/>
            <w:noWrap/>
            <w:hideMark/>
          </w:tcPr>
          <w:p w14:paraId="4DD6FC5C" w14:textId="77777777" w:rsidR="006F0BB0" w:rsidRPr="006F0BB0" w:rsidRDefault="006F0BB0" w:rsidP="007D1DBA">
            <w:pPr>
              <w:jc w:val="right"/>
              <w:rPr>
                <w:sz w:val="18"/>
                <w:szCs w:val="18"/>
                <w:lang w:val="es-419" w:eastAsia="es-419"/>
              </w:rPr>
            </w:pPr>
            <w:r w:rsidRPr="006F0BB0">
              <w:rPr>
                <w:sz w:val="18"/>
                <w:szCs w:val="18"/>
                <w:lang w:val="es-419" w:eastAsia="es-419"/>
              </w:rPr>
              <w:t>14 586</w:t>
            </w:r>
          </w:p>
        </w:tc>
        <w:tc>
          <w:tcPr>
            <w:tcW w:w="978" w:type="dxa"/>
            <w:tcBorders>
              <w:top w:val="nil"/>
              <w:left w:val="nil"/>
              <w:bottom w:val="single" w:sz="4" w:space="0" w:color="auto"/>
              <w:right w:val="single" w:sz="4" w:space="0" w:color="auto"/>
            </w:tcBorders>
            <w:shd w:val="clear" w:color="auto" w:fill="auto"/>
            <w:noWrap/>
            <w:hideMark/>
          </w:tcPr>
          <w:p w14:paraId="4B9C2BAA" w14:textId="77777777" w:rsidR="006F0BB0" w:rsidRPr="006F0BB0" w:rsidRDefault="006F0BB0" w:rsidP="007D1DBA">
            <w:pPr>
              <w:jc w:val="right"/>
              <w:rPr>
                <w:sz w:val="18"/>
                <w:szCs w:val="18"/>
                <w:lang w:val="es-419" w:eastAsia="es-419"/>
              </w:rPr>
            </w:pPr>
            <w:r w:rsidRPr="006F0BB0">
              <w:rPr>
                <w:sz w:val="18"/>
                <w:szCs w:val="18"/>
                <w:lang w:val="es-419" w:eastAsia="es-419"/>
              </w:rPr>
              <w:t>14 878</w:t>
            </w:r>
          </w:p>
        </w:tc>
        <w:tc>
          <w:tcPr>
            <w:tcW w:w="950" w:type="dxa"/>
            <w:tcBorders>
              <w:top w:val="nil"/>
              <w:left w:val="nil"/>
              <w:bottom w:val="single" w:sz="4" w:space="0" w:color="auto"/>
              <w:right w:val="single" w:sz="4" w:space="0" w:color="auto"/>
            </w:tcBorders>
            <w:shd w:val="clear" w:color="auto" w:fill="auto"/>
            <w:noWrap/>
            <w:hideMark/>
          </w:tcPr>
          <w:p w14:paraId="4143F538" w14:textId="77777777" w:rsidR="006F0BB0" w:rsidRPr="006F0BB0" w:rsidRDefault="006F0BB0" w:rsidP="007D1DBA">
            <w:pPr>
              <w:jc w:val="right"/>
              <w:rPr>
                <w:sz w:val="18"/>
                <w:szCs w:val="18"/>
                <w:lang w:val="es-419" w:eastAsia="es-419"/>
              </w:rPr>
            </w:pPr>
            <w:r w:rsidRPr="006F0BB0">
              <w:rPr>
                <w:sz w:val="18"/>
                <w:szCs w:val="18"/>
                <w:lang w:val="es-419" w:eastAsia="es-419"/>
              </w:rPr>
              <w:t>16 366</w:t>
            </w:r>
          </w:p>
        </w:tc>
        <w:tc>
          <w:tcPr>
            <w:tcW w:w="950" w:type="dxa"/>
            <w:tcBorders>
              <w:top w:val="nil"/>
              <w:left w:val="nil"/>
              <w:bottom w:val="single" w:sz="4" w:space="0" w:color="auto"/>
              <w:right w:val="single" w:sz="4" w:space="0" w:color="auto"/>
            </w:tcBorders>
            <w:shd w:val="clear" w:color="auto" w:fill="auto"/>
            <w:noWrap/>
            <w:hideMark/>
          </w:tcPr>
          <w:p w14:paraId="672344BA" w14:textId="77777777" w:rsidR="006F0BB0" w:rsidRPr="006F0BB0" w:rsidRDefault="006F0BB0" w:rsidP="007D1DBA">
            <w:pPr>
              <w:jc w:val="right"/>
              <w:rPr>
                <w:sz w:val="18"/>
                <w:szCs w:val="18"/>
                <w:lang w:val="es-419" w:eastAsia="es-419"/>
              </w:rPr>
            </w:pPr>
            <w:r w:rsidRPr="006F0BB0">
              <w:rPr>
                <w:sz w:val="18"/>
                <w:szCs w:val="18"/>
                <w:lang w:val="es-419" w:eastAsia="es-419"/>
              </w:rPr>
              <w:t>18 003</w:t>
            </w:r>
          </w:p>
        </w:tc>
        <w:tc>
          <w:tcPr>
            <w:tcW w:w="1076" w:type="dxa"/>
            <w:tcBorders>
              <w:top w:val="nil"/>
              <w:left w:val="nil"/>
              <w:bottom w:val="single" w:sz="4" w:space="0" w:color="auto"/>
              <w:right w:val="single" w:sz="4" w:space="0" w:color="auto"/>
            </w:tcBorders>
            <w:shd w:val="clear" w:color="auto" w:fill="auto"/>
            <w:noWrap/>
            <w:hideMark/>
          </w:tcPr>
          <w:p w14:paraId="4F10762D" w14:textId="77777777" w:rsidR="006F0BB0" w:rsidRPr="006F0BB0" w:rsidRDefault="006F0BB0" w:rsidP="007D1DBA">
            <w:pPr>
              <w:jc w:val="right"/>
              <w:rPr>
                <w:sz w:val="18"/>
                <w:szCs w:val="18"/>
                <w:lang w:val="es-419" w:eastAsia="es-419"/>
              </w:rPr>
            </w:pPr>
            <w:r w:rsidRPr="006F0BB0">
              <w:rPr>
                <w:sz w:val="18"/>
                <w:szCs w:val="18"/>
                <w:lang w:val="es-419" w:eastAsia="es-419"/>
              </w:rPr>
              <w:t>14 588</w:t>
            </w:r>
          </w:p>
        </w:tc>
        <w:tc>
          <w:tcPr>
            <w:tcW w:w="1034" w:type="dxa"/>
            <w:tcBorders>
              <w:top w:val="nil"/>
              <w:left w:val="nil"/>
              <w:bottom w:val="single" w:sz="4" w:space="0" w:color="auto"/>
              <w:right w:val="single" w:sz="4" w:space="0" w:color="auto"/>
            </w:tcBorders>
            <w:shd w:val="clear" w:color="auto" w:fill="auto"/>
            <w:noWrap/>
            <w:hideMark/>
          </w:tcPr>
          <w:p w14:paraId="459277AF" w14:textId="77777777" w:rsidR="006F0BB0" w:rsidRPr="006F0BB0" w:rsidRDefault="006F0BB0" w:rsidP="007D1DBA">
            <w:pPr>
              <w:jc w:val="right"/>
              <w:rPr>
                <w:sz w:val="18"/>
                <w:szCs w:val="18"/>
                <w:lang w:val="es-419" w:eastAsia="es-419"/>
              </w:rPr>
            </w:pPr>
            <w:r w:rsidRPr="006F0BB0">
              <w:rPr>
                <w:sz w:val="18"/>
                <w:szCs w:val="18"/>
                <w:lang w:val="es-419" w:eastAsia="es-419"/>
              </w:rPr>
              <w:t>17 514</w:t>
            </w:r>
          </w:p>
        </w:tc>
        <w:tc>
          <w:tcPr>
            <w:tcW w:w="1181" w:type="dxa"/>
            <w:tcBorders>
              <w:top w:val="nil"/>
              <w:left w:val="nil"/>
              <w:bottom w:val="single" w:sz="4" w:space="0" w:color="auto"/>
              <w:right w:val="single" w:sz="4" w:space="0" w:color="auto"/>
            </w:tcBorders>
            <w:shd w:val="clear" w:color="auto" w:fill="auto"/>
            <w:noWrap/>
            <w:hideMark/>
          </w:tcPr>
          <w:p w14:paraId="1F065E86" w14:textId="77777777" w:rsidR="006F0BB0" w:rsidRPr="006F0BB0" w:rsidRDefault="006F0BB0" w:rsidP="007D1DBA">
            <w:pPr>
              <w:jc w:val="right"/>
              <w:rPr>
                <w:sz w:val="18"/>
                <w:szCs w:val="18"/>
                <w:lang w:val="es-419" w:eastAsia="es-419"/>
              </w:rPr>
            </w:pPr>
            <w:r w:rsidRPr="006F0BB0">
              <w:rPr>
                <w:sz w:val="18"/>
                <w:szCs w:val="18"/>
                <w:lang w:val="es-419" w:eastAsia="es-419"/>
              </w:rPr>
              <w:t>102,8%</w:t>
            </w:r>
          </w:p>
        </w:tc>
      </w:tr>
      <w:tr w:rsidR="006F0BB0" w:rsidRPr="006F0BB0" w14:paraId="5FF3CA3E"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E54E99" w14:textId="77777777" w:rsidR="006F0BB0" w:rsidRPr="006F0BB0" w:rsidRDefault="006F0BB0" w:rsidP="007D1DBA">
            <w:pPr>
              <w:jc w:val="left"/>
              <w:rPr>
                <w:sz w:val="18"/>
                <w:szCs w:val="18"/>
                <w:lang w:val="es-419" w:eastAsia="es-419"/>
              </w:rPr>
            </w:pPr>
            <w:r w:rsidRPr="006F0BB0">
              <w:rPr>
                <w:sz w:val="18"/>
                <w:szCs w:val="18"/>
                <w:lang w:val="es-419" w:eastAsia="es-419"/>
              </w:rPr>
              <w:t>Kiribati</w:t>
            </w:r>
          </w:p>
        </w:tc>
        <w:tc>
          <w:tcPr>
            <w:tcW w:w="950" w:type="dxa"/>
            <w:tcBorders>
              <w:top w:val="nil"/>
              <w:left w:val="nil"/>
              <w:bottom w:val="single" w:sz="4" w:space="0" w:color="auto"/>
              <w:right w:val="single" w:sz="4" w:space="0" w:color="auto"/>
            </w:tcBorders>
            <w:shd w:val="clear" w:color="auto" w:fill="auto"/>
            <w:noWrap/>
            <w:hideMark/>
          </w:tcPr>
          <w:p w14:paraId="3D04EF44" w14:textId="77777777" w:rsidR="006F0BB0" w:rsidRPr="006F0BB0" w:rsidRDefault="006F0BB0" w:rsidP="007D1DBA">
            <w:pPr>
              <w:jc w:val="right"/>
              <w:rPr>
                <w:sz w:val="18"/>
                <w:szCs w:val="18"/>
                <w:lang w:val="es-419" w:eastAsia="es-419"/>
              </w:rPr>
            </w:pPr>
            <w:r w:rsidRPr="006F0BB0">
              <w:rPr>
                <w:sz w:val="18"/>
                <w:szCs w:val="18"/>
                <w:lang w:val="es-419" w:eastAsia="es-419"/>
              </w:rPr>
              <w:t>5 572</w:t>
            </w:r>
          </w:p>
        </w:tc>
        <w:tc>
          <w:tcPr>
            <w:tcW w:w="950" w:type="dxa"/>
            <w:tcBorders>
              <w:top w:val="nil"/>
              <w:left w:val="nil"/>
              <w:bottom w:val="single" w:sz="4" w:space="0" w:color="auto"/>
              <w:right w:val="single" w:sz="4" w:space="0" w:color="auto"/>
            </w:tcBorders>
            <w:shd w:val="clear" w:color="auto" w:fill="auto"/>
            <w:noWrap/>
            <w:hideMark/>
          </w:tcPr>
          <w:p w14:paraId="015BD993" w14:textId="77777777" w:rsidR="006F0BB0" w:rsidRPr="006F0BB0" w:rsidRDefault="006F0BB0" w:rsidP="007D1DBA">
            <w:pPr>
              <w:jc w:val="right"/>
              <w:rPr>
                <w:sz w:val="18"/>
                <w:szCs w:val="18"/>
                <w:lang w:val="es-419" w:eastAsia="es-419"/>
              </w:rPr>
            </w:pPr>
            <w:r w:rsidRPr="006F0BB0">
              <w:rPr>
                <w:sz w:val="18"/>
                <w:szCs w:val="18"/>
                <w:lang w:val="es-419" w:eastAsia="es-419"/>
              </w:rPr>
              <w:t>5 683</w:t>
            </w:r>
          </w:p>
        </w:tc>
        <w:tc>
          <w:tcPr>
            <w:tcW w:w="950" w:type="dxa"/>
            <w:tcBorders>
              <w:top w:val="nil"/>
              <w:left w:val="nil"/>
              <w:bottom w:val="single" w:sz="4" w:space="0" w:color="auto"/>
              <w:right w:val="single" w:sz="4" w:space="0" w:color="auto"/>
            </w:tcBorders>
            <w:shd w:val="clear" w:color="auto" w:fill="auto"/>
            <w:noWrap/>
            <w:hideMark/>
          </w:tcPr>
          <w:p w14:paraId="3BB69606" w14:textId="77777777" w:rsidR="006F0BB0" w:rsidRPr="006F0BB0" w:rsidRDefault="006F0BB0" w:rsidP="007D1DBA">
            <w:pPr>
              <w:jc w:val="right"/>
              <w:rPr>
                <w:sz w:val="18"/>
                <w:szCs w:val="18"/>
                <w:lang w:val="es-419" w:eastAsia="es-419"/>
              </w:rPr>
            </w:pPr>
            <w:r w:rsidRPr="006F0BB0">
              <w:rPr>
                <w:sz w:val="18"/>
                <w:szCs w:val="18"/>
                <w:lang w:val="es-419" w:eastAsia="es-419"/>
              </w:rPr>
              <w:t>5 797</w:t>
            </w:r>
          </w:p>
        </w:tc>
        <w:tc>
          <w:tcPr>
            <w:tcW w:w="978" w:type="dxa"/>
            <w:tcBorders>
              <w:top w:val="nil"/>
              <w:left w:val="nil"/>
              <w:bottom w:val="single" w:sz="4" w:space="0" w:color="auto"/>
              <w:right w:val="single" w:sz="4" w:space="0" w:color="auto"/>
            </w:tcBorders>
            <w:shd w:val="clear" w:color="auto" w:fill="auto"/>
            <w:noWrap/>
            <w:hideMark/>
          </w:tcPr>
          <w:p w14:paraId="66A631CE" w14:textId="77777777" w:rsidR="006F0BB0" w:rsidRPr="006F0BB0" w:rsidRDefault="006F0BB0" w:rsidP="007D1DBA">
            <w:pPr>
              <w:jc w:val="right"/>
              <w:rPr>
                <w:sz w:val="18"/>
                <w:szCs w:val="18"/>
                <w:lang w:val="es-419" w:eastAsia="es-419"/>
              </w:rPr>
            </w:pPr>
            <w:r w:rsidRPr="006F0BB0">
              <w:rPr>
                <w:sz w:val="18"/>
                <w:szCs w:val="18"/>
                <w:lang w:val="es-419" w:eastAsia="es-419"/>
              </w:rPr>
              <w:t>5 913</w:t>
            </w:r>
          </w:p>
        </w:tc>
        <w:tc>
          <w:tcPr>
            <w:tcW w:w="950" w:type="dxa"/>
            <w:tcBorders>
              <w:top w:val="nil"/>
              <w:left w:val="nil"/>
              <w:bottom w:val="single" w:sz="4" w:space="0" w:color="auto"/>
              <w:right w:val="single" w:sz="4" w:space="0" w:color="auto"/>
            </w:tcBorders>
            <w:shd w:val="clear" w:color="auto" w:fill="auto"/>
            <w:noWrap/>
            <w:hideMark/>
          </w:tcPr>
          <w:p w14:paraId="10D19809" w14:textId="77777777" w:rsidR="006F0BB0" w:rsidRPr="006F0BB0" w:rsidRDefault="006F0BB0" w:rsidP="007D1DBA">
            <w:pPr>
              <w:jc w:val="right"/>
              <w:rPr>
                <w:sz w:val="18"/>
                <w:szCs w:val="18"/>
                <w:lang w:val="es-419" w:eastAsia="es-419"/>
              </w:rPr>
            </w:pPr>
            <w:r w:rsidRPr="006F0BB0">
              <w:rPr>
                <w:sz w:val="18"/>
                <w:szCs w:val="18"/>
                <w:lang w:val="es-419" w:eastAsia="es-419"/>
              </w:rPr>
              <w:t>6 504</w:t>
            </w:r>
          </w:p>
        </w:tc>
        <w:tc>
          <w:tcPr>
            <w:tcW w:w="950" w:type="dxa"/>
            <w:tcBorders>
              <w:top w:val="nil"/>
              <w:left w:val="nil"/>
              <w:bottom w:val="single" w:sz="4" w:space="0" w:color="auto"/>
              <w:right w:val="single" w:sz="4" w:space="0" w:color="auto"/>
            </w:tcBorders>
            <w:shd w:val="clear" w:color="auto" w:fill="auto"/>
            <w:noWrap/>
            <w:hideMark/>
          </w:tcPr>
          <w:p w14:paraId="53C24FD5" w14:textId="77777777" w:rsidR="006F0BB0" w:rsidRPr="006F0BB0" w:rsidRDefault="006F0BB0" w:rsidP="007D1DBA">
            <w:pPr>
              <w:jc w:val="right"/>
              <w:rPr>
                <w:sz w:val="18"/>
                <w:szCs w:val="18"/>
                <w:lang w:val="es-419" w:eastAsia="es-419"/>
              </w:rPr>
            </w:pPr>
            <w:r w:rsidRPr="006F0BB0">
              <w:rPr>
                <w:sz w:val="18"/>
                <w:szCs w:val="18"/>
                <w:lang w:val="es-419" w:eastAsia="es-419"/>
              </w:rPr>
              <w:t>7 155</w:t>
            </w:r>
          </w:p>
        </w:tc>
        <w:tc>
          <w:tcPr>
            <w:tcW w:w="1076" w:type="dxa"/>
            <w:tcBorders>
              <w:top w:val="nil"/>
              <w:left w:val="nil"/>
              <w:bottom w:val="single" w:sz="4" w:space="0" w:color="auto"/>
              <w:right w:val="single" w:sz="4" w:space="0" w:color="auto"/>
            </w:tcBorders>
            <w:shd w:val="clear" w:color="auto" w:fill="auto"/>
            <w:noWrap/>
            <w:hideMark/>
          </w:tcPr>
          <w:p w14:paraId="607D91EB" w14:textId="77777777" w:rsidR="006F0BB0" w:rsidRPr="006F0BB0" w:rsidRDefault="006F0BB0" w:rsidP="007D1DBA">
            <w:pPr>
              <w:jc w:val="right"/>
              <w:rPr>
                <w:sz w:val="18"/>
                <w:szCs w:val="18"/>
                <w:lang w:val="es-419" w:eastAsia="es-419"/>
              </w:rPr>
            </w:pPr>
            <w:r w:rsidRPr="006F0BB0">
              <w:rPr>
                <w:sz w:val="18"/>
                <w:szCs w:val="18"/>
                <w:lang w:val="es-419" w:eastAsia="es-419"/>
              </w:rPr>
              <w:t>5 798</w:t>
            </w:r>
          </w:p>
        </w:tc>
        <w:tc>
          <w:tcPr>
            <w:tcW w:w="1034" w:type="dxa"/>
            <w:tcBorders>
              <w:top w:val="nil"/>
              <w:left w:val="nil"/>
              <w:bottom w:val="single" w:sz="4" w:space="0" w:color="auto"/>
              <w:right w:val="single" w:sz="4" w:space="0" w:color="auto"/>
            </w:tcBorders>
            <w:shd w:val="clear" w:color="auto" w:fill="auto"/>
            <w:noWrap/>
            <w:hideMark/>
          </w:tcPr>
          <w:p w14:paraId="4C53C1A8" w14:textId="77777777" w:rsidR="006F0BB0" w:rsidRPr="006F0BB0" w:rsidRDefault="006F0BB0" w:rsidP="007D1DBA">
            <w:pPr>
              <w:jc w:val="right"/>
              <w:rPr>
                <w:sz w:val="18"/>
                <w:szCs w:val="18"/>
                <w:lang w:val="es-419" w:eastAsia="es-419"/>
              </w:rPr>
            </w:pPr>
            <w:r w:rsidRPr="006F0BB0">
              <w:rPr>
                <w:sz w:val="18"/>
                <w:szCs w:val="18"/>
                <w:lang w:val="es-419" w:eastAsia="es-419"/>
              </w:rPr>
              <w:t>6 939</w:t>
            </w:r>
          </w:p>
        </w:tc>
        <w:tc>
          <w:tcPr>
            <w:tcW w:w="1181" w:type="dxa"/>
            <w:tcBorders>
              <w:top w:val="nil"/>
              <w:left w:val="nil"/>
              <w:bottom w:val="single" w:sz="4" w:space="0" w:color="auto"/>
              <w:right w:val="single" w:sz="4" w:space="0" w:color="auto"/>
            </w:tcBorders>
            <w:shd w:val="clear" w:color="auto" w:fill="auto"/>
            <w:noWrap/>
            <w:hideMark/>
          </w:tcPr>
          <w:p w14:paraId="44392957" w14:textId="77777777" w:rsidR="006F0BB0" w:rsidRPr="006F0BB0" w:rsidRDefault="006F0BB0" w:rsidP="007D1DBA">
            <w:pPr>
              <w:jc w:val="right"/>
              <w:rPr>
                <w:sz w:val="18"/>
                <w:szCs w:val="18"/>
                <w:lang w:val="es-419" w:eastAsia="es-419"/>
              </w:rPr>
            </w:pPr>
            <w:r w:rsidRPr="006F0BB0">
              <w:rPr>
                <w:sz w:val="18"/>
                <w:szCs w:val="18"/>
                <w:lang w:val="es-419" w:eastAsia="es-419"/>
              </w:rPr>
              <w:t>103,1%</w:t>
            </w:r>
          </w:p>
        </w:tc>
      </w:tr>
      <w:tr w:rsidR="006F0BB0" w:rsidRPr="006F0BB0" w14:paraId="27602B7C"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A28BFC" w14:textId="77777777" w:rsidR="006F0BB0" w:rsidRPr="006F0BB0" w:rsidRDefault="006F0BB0" w:rsidP="007D1DBA">
            <w:pPr>
              <w:jc w:val="left"/>
              <w:rPr>
                <w:sz w:val="18"/>
                <w:szCs w:val="18"/>
                <w:lang w:val="es-419" w:eastAsia="es-419"/>
              </w:rPr>
            </w:pPr>
            <w:r w:rsidRPr="006F0BB0">
              <w:rPr>
                <w:sz w:val="18"/>
                <w:szCs w:val="18"/>
                <w:lang w:val="es-419" w:eastAsia="es-419"/>
              </w:rPr>
              <w:t>Ecuador</w:t>
            </w:r>
          </w:p>
        </w:tc>
        <w:tc>
          <w:tcPr>
            <w:tcW w:w="950" w:type="dxa"/>
            <w:tcBorders>
              <w:top w:val="nil"/>
              <w:left w:val="nil"/>
              <w:bottom w:val="single" w:sz="4" w:space="0" w:color="auto"/>
              <w:right w:val="single" w:sz="4" w:space="0" w:color="auto"/>
            </w:tcBorders>
            <w:shd w:val="clear" w:color="auto" w:fill="auto"/>
            <w:noWrap/>
            <w:hideMark/>
          </w:tcPr>
          <w:p w14:paraId="44E105C2" w14:textId="77777777" w:rsidR="006F0BB0" w:rsidRPr="006F0BB0" w:rsidRDefault="006F0BB0" w:rsidP="007D1DBA">
            <w:pPr>
              <w:jc w:val="right"/>
              <w:rPr>
                <w:sz w:val="18"/>
                <w:szCs w:val="18"/>
                <w:lang w:val="es-419" w:eastAsia="es-419"/>
              </w:rPr>
            </w:pPr>
            <w:r w:rsidRPr="006F0BB0">
              <w:rPr>
                <w:sz w:val="18"/>
                <w:szCs w:val="18"/>
                <w:lang w:val="es-419" w:eastAsia="es-419"/>
              </w:rPr>
              <w:t>2 370 319</w:t>
            </w:r>
          </w:p>
        </w:tc>
        <w:tc>
          <w:tcPr>
            <w:tcW w:w="950" w:type="dxa"/>
            <w:tcBorders>
              <w:top w:val="nil"/>
              <w:left w:val="nil"/>
              <w:bottom w:val="single" w:sz="4" w:space="0" w:color="auto"/>
              <w:right w:val="single" w:sz="4" w:space="0" w:color="auto"/>
            </w:tcBorders>
            <w:shd w:val="clear" w:color="auto" w:fill="auto"/>
            <w:noWrap/>
            <w:hideMark/>
          </w:tcPr>
          <w:p w14:paraId="07A6BAB2" w14:textId="77777777" w:rsidR="006F0BB0" w:rsidRPr="006F0BB0" w:rsidRDefault="006F0BB0" w:rsidP="007D1DBA">
            <w:pPr>
              <w:jc w:val="right"/>
              <w:rPr>
                <w:sz w:val="18"/>
                <w:szCs w:val="18"/>
                <w:lang w:val="es-419" w:eastAsia="es-419"/>
              </w:rPr>
            </w:pPr>
            <w:r w:rsidRPr="006F0BB0">
              <w:rPr>
                <w:sz w:val="18"/>
                <w:szCs w:val="18"/>
                <w:lang w:val="es-419" w:eastAsia="es-419"/>
              </w:rPr>
              <w:t>2 417 725</w:t>
            </w:r>
          </w:p>
        </w:tc>
        <w:tc>
          <w:tcPr>
            <w:tcW w:w="950" w:type="dxa"/>
            <w:tcBorders>
              <w:top w:val="nil"/>
              <w:left w:val="nil"/>
              <w:bottom w:val="single" w:sz="4" w:space="0" w:color="auto"/>
              <w:right w:val="single" w:sz="4" w:space="0" w:color="auto"/>
            </w:tcBorders>
            <w:shd w:val="clear" w:color="auto" w:fill="auto"/>
            <w:noWrap/>
            <w:hideMark/>
          </w:tcPr>
          <w:p w14:paraId="225502A0" w14:textId="77777777" w:rsidR="006F0BB0" w:rsidRPr="006F0BB0" w:rsidRDefault="006F0BB0" w:rsidP="007D1DBA">
            <w:pPr>
              <w:jc w:val="right"/>
              <w:rPr>
                <w:sz w:val="18"/>
                <w:szCs w:val="18"/>
                <w:lang w:val="es-419" w:eastAsia="es-419"/>
              </w:rPr>
            </w:pPr>
            <w:r w:rsidRPr="006F0BB0">
              <w:rPr>
                <w:sz w:val="18"/>
                <w:szCs w:val="18"/>
                <w:lang w:val="es-419" w:eastAsia="es-419"/>
              </w:rPr>
              <w:t>2 466 080</w:t>
            </w:r>
          </w:p>
        </w:tc>
        <w:tc>
          <w:tcPr>
            <w:tcW w:w="978" w:type="dxa"/>
            <w:tcBorders>
              <w:top w:val="nil"/>
              <w:left w:val="nil"/>
              <w:bottom w:val="single" w:sz="4" w:space="0" w:color="auto"/>
              <w:right w:val="single" w:sz="4" w:space="0" w:color="auto"/>
            </w:tcBorders>
            <w:shd w:val="clear" w:color="auto" w:fill="auto"/>
            <w:noWrap/>
            <w:hideMark/>
          </w:tcPr>
          <w:p w14:paraId="3252844D" w14:textId="77777777" w:rsidR="006F0BB0" w:rsidRPr="006F0BB0" w:rsidRDefault="006F0BB0" w:rsidP="007D1DBA">
            <w:pPr>
              <w:jc w:val="right"/>
              <w:rPr>
                <w:sz w:val="18"/>
                <w:szCs w:val="18"/>
                <w:lang w:val="es-419" w:eastAsia="es-419"/>
              </w:rPr>
            </w:pPr>
            <w:r w:rsidRPr="006F0BB0">
              <w:rPr>
                <w:sz w:val="18"/>
                <w:szCs w:val="18"/>
                <w:lang w:val="es-419" w:eastAsia="es-419"/>
              </w:rPr>
              <w:t>2 515 401</w:t>
            </w:r>
          </w:p>
        </w:tc>
        <w:tc>
          <w:tcPr>
            <w:tcW w:w="950" w:type="dxa"/>
            <w:tcBorders>
              <w:top w:val="nil"/>
              <w:left w:val="nil"/>
              <w:bottom w:val="single" w:sz="4" w:space="0" w:color="auto"/>
              <w:right w:val="single" w:sz="4" w:space="0" w:color="auto"/>
            </w:tcBorders>
            <w:shd w:val="clear" w:color="auto" w:fill="auto"/>
            <w:noWrap/>
            <w:hideMark/>
          </w:tcPr>
          <w:p w14:paraId="22AA3F16" w14:textId="77777777" w:rsidR="006F0BB0" w:rsidRPr="006F0BB0" w:rsidRDefault="006F0BB0" w:rsidP="007D1DBA">
            <w:pPr>
              <w:jc w:val="right"/>
              <w:rPr>
                <w:sz w:val="18"/>
                <w:szCs w:val="18"/>
                <w:lang w:val="es-419" w:eastAsia="es-419"/>
              </w:rPr>
            </w:pPr>
            <w:r w:rsidRPr="006F0BB0">
              <w:rPr>
                <w:sz w:val="18"/>
                <w:szCs w:val="18"/>
                <w:lang w:val="es-419" w:eastAsia="es-419"/>
              </w:rPr>
              <w:t>2 766 942</w:t>
            </w:r>
          </w:p>
        </w:tc>
        <w:tc>
          <w:tcPr>
            <w:tcW w:w="950" w:type="dxa"/>
            <w:tcBorders>
              <w:top w:val="nil"/>
              <w:left w:val="nil"/>
              <w:bottom w:val="single" w:sz="4" w:space="0" w:color="auto"/>
              <w:right w:val="single" w:sz="4" w:space="0" w:color="auto"/>
            </w:tcBorders>
            <w:shd w:val="clear" w:color="auto" w:fill="auto"/>
            <w:noWrap/>
            <w:hideMark/>
          </w:tcPr>
          <w:p w14:paraId="784302E9" w14:textId="77777777" w:rsidR="006F0BB0" w:rsidRPr="006F0BB0" w:rsidRDefault="006F0BB0" w:rsidP="007D1DBA">
            <w:pPr>
              <w:jc w:val="right"/>
              <w:rPr>
                <w:sz w:val="18"/>
                <w:szCs w:val="18"/>
                <w:lang w:val="es-419" w:eastAsia="es-419"/>
              </w:rPr>
            </w:pPr>
            <w:r w:rsidRPr="006F0BB0">
              <w:rPr>
                <w:sz w:val="18"/>
                <w:szCs w:val="18"/>
                <w:lang w:val="es-419" w:eastAsia="es-419"/>
              </w:rPr>
              <w:t>3 043 636</w:t>
            </w:r>
          </w:p>
        </w:tc>
        <w:tc>
          <w:tcPr>
            <w:tcW w:w="1076" w:type="dxa"/>
            <w:tcBorders>
              <w:top w:val="nil"/>
              <w:left w:val="nil"/>
              <w:bottom w:val="single" w:sz="4" w:space="0" w:color="auto"/>
              <w:right w:val="single" w:sz="4" w:space="0" w:color="auto"/>
            </w:tcBorders>
            <w:shd w:val="clear" w:color="auto" w:fill="auto"/>
            <w:noWrap/>
            <w:hideMark/>
          </w:tcPr>
          <w:p w14:paraId="3DD38F45" w14:textId="77777777" w:rsidR="006F0BB0" w:rsidRPr="006F0BB0" w:rsidRDefault="006F0BB0" w:rsidP="007D1DBA">
            <w:pPr>
              <w:jc w:val="right"/>
              <w:rPr>
                <w:sz w:val="18"/>
                <w:szCs w:val="18"/>
                <w:lang w:val="es-419" w:eastAsia="es-419"/>
              </w:rPr>
            </w:pPr>
            <w:r w:rsidRPr="006F0BB0">
              <w:rPr>
                <w:sz w:val="18"/>
                <w:szCs w:val="18"/>
                <w:lang w:val="es-419" w:eastAsia="es-419"/>
              </w:rPr>
              <w:t>2 466 402</w:t>
            </w:r>
          </w:p>
        </w:tc>
        <w:tc>
          <w:tcPr>
            <w:tcW w:w="1034" w:type="dxa"/>
            <w:tcBorders>
              <w:top w:val="nil"/>
              <w:left w:val="nil"/>
              <w:bottom w:val="single" w:sz="4" w:space="0" w:color="auto"/>
              <w:right w:val="single" w:sz="4" w:space="0" w:color="auto"/>
            </w:tcBorders>
            <w:shd w:val="clear" w:color="auto" w:fill="auto"/>
            <w:noWrap/>
            <w:hideMark/>
          </w:tcPr>
          <w:p w14:paraId="782C0FD2" w14:textId="77777777" w:rsidR="006F0BB0" w:rsidRPr="006F0BB0" w:rsidRDefault="006F0BB0" w:rsidP="007D1DBA">
            <w:pPr>
              <w:jc w:val="right"/>
              <w:rPr>
                <w:sz w:val="18"/>
                <w:szCs w:val="18"/>
                <w:lang w:val="es-419" w:eastAsia="es-419"/>
              </w:rPr>
            </w:pPr>
            <w:r w:rsidRPr="006F0BB0">
              <w:rPr>
                <w:sz w:val="18"/>
                <w:szCs w:val="18"/>
                <w:lang w:val="es-419" w:eastAsia="es-419"/>
              </w:rPr>
              <w:t>2 947 540</w:t>
            </w:r>
          </w:p>
        </w:tc>
        <w:tc>
          <w:tcPr>
            <w:tcW w:w="1181" w:type="dxa"/>
            <w:tcBorders>
              <w:top w:val="nil"/>
              <w:left w:val="nil"/>
              <w:bottom w:val="single" w:sz="4" w:space="0" w:color="auto"/>
              <w:right w:val="single" w:sz="4" w:space="0" w:color="auto"/>
            </w:tcBorders>
            <w:shd w:val="clear" w:color="auto" w:fill="auto"/>
            <w:noWrap/>
            <w:hideMark/>
          </w:tcPr>
          <w:p w14:paraId="4D67EF9D" w14:textId="77777777" w:rsidR="006F0BB0" w:rsidRPr="006F0BB0" w:rsidRDefault="006F0BB0" w:rsidP="007D1DBA">
            <w:pPr>
              <w:jc w:val="right"/>
              <w:rPr>
                <w:sz w:val="18"/>
                <w:szCs w:val="18"/>
                <w:lang w:val="es-419" w:eastAsia="es-419"/>
              </w:rPr>
            </w:pPr>
            <w:r w:rsidRPr="006F0BB0">
              <w:rPr>
                <w:sz w:val="18"/>
                <w:szCs w:val="18"/>
                <w:lang w:val="es-419" w:eastAsia="es-419"/>
              </w:rPr>
              <w:t>103,3%</w:t>
            </w:r>
          </w:p>
        </w:tc>
      </w:tr>
      <w:tr w:rsidR="006F0BB0" w:rsidRPr="006F0BB0" w14:paraId="0110BD9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70F888" w14:textId="77777777" w:rsidR="006F0BB0" w:rsidRPr="006F0BB0" w:rsidRDefault="006F0BB0" w:rsidP="007D1DBA">
            <w:pPr>
              <w:jc w:val="left"/>
              <w:rPr>
                <w:sz w:val="18"/>
                <w:szCs w:val="18"/>
                <w:lang w:val="es-419" w:eastAsia="es-419"/>
              </w:rPr>
            </w:pPr>
            <w:r w:rsidRPr="006F0BB0">
              <w:rPr>
                <w:sz w:val="18"/>
                <w:szCs w:val="18"/>
                <w:lang w:val="es-419" w:eastAsia="es-419"/>
              </w:rPr>
              <w:t>Níger</w:t>
            </w:r>
          </w:p>
        </w:tc>
        <w:tc>
          <w:tcPr>
            <w:tcW w:w="950" w:type="dxa"/>
            <w:tcBorders>
              <w:top w:val="nil"/>
              <w:left w:val="nil"/>
              <w:bottom w:val="single" w:sz="4" w:space="0" w:color="auto"/>
              <w:right w:val="single" w:sz="4" w:space="0" w:color="auto"/>
            </w:tcBorders>
            <w:shd w:val="clear" w:color="auto" w:fill="auto"/>
            <w:noWrap/>
            <w:hideMark/>
          </w:tcPr>
          <w:p w14:paraId="1BFB53FF" w14:textId="77777777" w:rsidR="006F0BB0" w:rsidRPr="006F0BB0" w:rsidRDefault="006F0BB0" w:rsidP="007D1DBA">
            <w:pPr>
              <w:jc w:val="right"/>
              <w:rPr>
                <w:sz w:val="18"/>
                <w:szCs w:val="18"/>
                <w:lang w:val="es-419" w:eastAsia="es-419"/>
              </w:rPr>
            </w:pPr>
            <w:r w:rsidRPr="006F0BB0">
              <w:rPr>
                <w:sz w:val="18"/>
                <w:szCs w:val="18"/>
                <w:lang w:val="es-419" w:eastAsia="es-419"/>
              </w:rPr>
              <w:t>1 730 118</w:t>
            </w:r>
          </w:p>
        </w:tc>
        <w:tc>
          <w:tcPr>
            <w:tcW w:w="950" w:type="dxa"/>
            <w:tcBorders>
              <w:top w:val="nil"/>
              <w:left w:val="nil"/>
              <w:bottom w:val="single" w:sz="4" w:space="0" w:color="auto"/>
              <w:right w:val="single" w:sz="4" w:space="0" w:color="auto"/>
            </w:tcBorders>
            <w:shd w:val="clear" w:color="auto" w:fill="auto"/>
            <w:noWrap/>
            <w:hideMark/>
          </w:tcPr>
          <w:p w14:paraId="13D22845" w14:textId="77777777" w:rsidR="006F0BB0" w:rsidRPr="006F0BB0" w:rsidRDefault="006F0BB0" w:rsidP="007D1DBA">
            <w:pPr>
              <w:jc w:val="right"/>
              <w:rPr>
                <w:sz w:val="18"/>
                <w:szCs w:val="18"/>
                <w:lang w:val="es-419" w:eastAsia="es-419"/>
              </w:rPr>
            </w:pPr>
            <w:r w:rsidRPr="006F0BB0">
              <w:rPr>
                <w:sz w:val="18"/>
                <w:szCs w:val="18"/>
                <w:lang w:val="es-419" w:eastAsia="es-419"/>
              </w:rPr>
              <w:t>1 764 720</w:t>
            </w:r>
          </w:p>
        </w:tc>
        <w:tc>
          <w:tcPr>
            <w:tcW w:w="950" w:type="dxa"/>
            <w:tcBorders>
              <w:top w:val="nil"/>
              <w:left w:val="nil"/>
              <w:bottom w:val="single" w:sz="4" w:space="0" w:color="auto"/>
              <w:right w:val="single" w:sz="4" w:space="0" w:color="auto"/>
            </w:tcBorders>
            <w:shd w:val="clear" w:color="auto" w:fill="auto"/>
            <w:noWrap/>
            <w:hideMark/>
          </w:tcPr>
          <w:p w14:paraId="005F8F40" w14:textId="77777777" w:rsidR="006F0BB0" w:rsidRPr="006F0BB0" w:rsidRDefault="006F0BB0" w:rsidP="007D1DBA">
            <w:pPr>
              <w:jc w:val="right"/>
              <w:rPr>
                <w:sz w:val="18"/>
                <w:szCs w:val="18"/>
                <w:lang w:val="es-419" w:eastAsia="es-419"/>
              </w:rPr>
            </w:pPr>
            <w:r w:rsidRPr="006F0BB0">
              <w:rPr>
                <w:sz w:val="18"/>
                <w:szCs w:val="18"/>
                <w:lang w:val="es-419" w:eastAsia="es-419"/>
              </w:rPr>
              <w:t>1 800 015</w:t>
            </w:r>
          </w:p>
        </w:tc>
        <w:tc>
          <w:tcPr>
            <w:tcW w:w="978" w:type="dxa"/>
            <w:tcBorders>
              <w:top w:val="nil"/>
              <w:left w:val="nil"/>
              <w:bottom w:val="single" w:sz="4" w:space="0" w:color="auto"/>
              <w:right w:val="single" w:sz="4" w:space="0" w:color="auto"/>
            </w:tcBorders>
            <w:shd w:val="clear" w:color="auto" w:fill="auto"/>
            <w:noWrap/>
            <w:hideMark/>
          </w:tcPr>
          <w:p w14:paraId="6D0735DB" w14:textId="77777777" w:rsidR="006F0BB0" w:rsidRPr="006F0BB0" w:rsidRDefault="006F0BB0" w:rsidP="007D1DBA">
            <w:pPr>
              <w:jc w:val="right"/>
              <w:rPr>
                <w:sz w:val="18"/>
                <w:szCs w:val="18"/>
                <w:lang w:val="es-419" w:eastAsia="es-419"/>
              </w:rPr>
            </w:pPr>
            <w:r w:rsidRPr="006F0BB0">
              <w:rPr>
                <w:sz w:val="18"/>
                <w:szCs w:val="18"/>
                <w:lang w:val="es-419" w:eastAsia="es-419"/>
              </w:rPr>
              <w:t>1 836 015</w:t>
            </w:r>
          </w:p>
        </w:tc>
        <w:tc>
          <w:tcPr>
            <w:tcW w:w="950" w:type="dxa"/>
            <w:tcBorders>
              <w:top w:val="nil"/>
              <w:left w:val="nil"/>
              <w:bottom w:val="single" w:sz="4" w:space="0" w:color="auto"/>
              <w:right w:val="single" w:sz="4" w:space="0" w:color="auto"/>
            </w:tcBorders>
            <w:shd w:val="clear" w:color="auto" w:fill="auto"/>
            <w:noWrap/>
            <w:hideMark/>
          </w:tcPr>
          <w:p w14:paraId="48AA07D3" w14:textId="77777777" w:rsidR="006F0BB0" w:rsidRPr="006F0BB0" w:rsidRDefault="006F0BB0" w:rsidP="007D1DBA">
            <w:pPr>
              <w:jc w:val="right"/>
              <w:rPr>
                <w:sz w:val="18"/>
                <w:szCs w:val="18"/>
                <w:lang w:val="es-419" w:eastAsia="es-419"/>
              </w:rPr>
            </w:pPr>
            <w:r w:rsidRPr="006F0BB0">
              <w:rPr>
                <w:sz w:val="18"/>
                <w:szCs w:val="18"/>
                <w:lang w:val="es-419" w:eastAsia="es-419"/>
              </w:rPr>
              <w:t>2 019 617</w:t>
            </w:r>
          </w:p>
        </w:tc>
        <w:tc>
          <w:tcPr>
            <w:tcW w:w="950" w:type="dxa"/>
            <w:tcBorders>
              <w:top w:val="nil"/>
              <w:left w:val="nil"/>
              <w:bottom w:val="single" w:sz="4" w:space="0" w:color="auto"/>
              <w:right w:val="single" w:sz="4" w:space="0" w:color="auto"/>
            </w:tcBorders>
            <w:shd w:val="clear" w:color="auto" w:fill="auto"/>
            <w:noWrap/>
            <w:hideMark/>
          </w:tcPr>
          <w:p w14:paraId="3DFAF5DB" w14:textId="77777777" w:rsidR="006F0BB0" w:rsidRPr="006F0BB0" w:rsidRDefault="006F0BB0" w:rsidP="007D1DBA">
            <w:pPr>
              <w:jc w:val="right"/>
              <w:rPr>
                <w:sz w:val="18"/>
                <w:szCs w:val="18"/>
                <w:lang w:val="es-419" w:eastAsia="es-419"/>
              </w:rPr>
            </w:pPr>
            <w:r w:rsidRPr="006F0BB0">
              <w:rPr>
                <w:sz w:val="18"/>
                <w:szCs w:val="18"/>
                <w:lang w:val="es-419" w:eastAsia="es-419"/>
              </w:rPr>
              <w:t>2 221 578</w:t>
            </w:r>
          </w:p>
        </w:tc>
        <w:tc>
          <w:tcPr>
            <w:tcW w:w="1076" w:type="dxa"/>
            <w:tcBorders>
              <w:top w:val="nil"/>
              <w:left w:val="nil"/>
              <w:bottom w:val="single" w:sz="4" w:space="0" w:color="auto"/>
              <w:right w:val="single" w:sz="4" w:space="0" w:color="auto"/>
            </w:tcBorders>
            <w:shd w:val="clear" w:color="auto" w:fill="auto"/>
            <w:noWrap/>
            <w:hideMark/>
          </w:tcPr>
          <w:p w14:paraId="5FB6A1FB" w14:textId="77777777" w:rsidR="006F0BB0" w:rsidRPr="006F0BB0" w:rsidRDefault="006F0BB0" w:rsidP="007D1DBA">
            <w:pPr>
              <w:jc w:val="right"/>
              <w:rPr>
                <w:sz w:val="18"/>
                <w:szCs w:val="18"/>
                <w:lang w:val="es-419" w:eastAsia="es-419"/>
              </w:rPr>
            </w:pPr>
            <w:r w:rsidRPr="006F0BB0">
              <w:rPr>
                <w:sz w:val="18"/>
                <w:szCs w:val="18"/>
                <w:lang w:val="es-419" w:eastAsia="es-419"/>
              </w:rPr>
              <w:t>1 800 250</w:t>
            </w:r>
          </w:p>
        </w:tc>
        <w:tc>
          <w:tcPr>
            <w:tcW w:w="1034" w:type="dxa"/>
            <w:tcBorders>
              <w:top w:val="nil"/>
              <w:left w:val="nil"/>
              <w:bottom w:val="single" w:sz="4" w:space="0" w:color="auto"/>
              <w:right w:val="single" w:sz="4" w:space="0" w:color="auto"/>
            </w:tcBorders>
            <w:shd w:val="clear" w:color="auto" w:fill="auto"/>
            <w:noWrap/>
            <w:hideMark/>
          </w:tcPr>
          <w:p w14:paraId="7C7108B3" w14:textId="77777777" w:rsidR="006F0BB0" w:rsidRPr="006F0BB0" w:rsidRDefault="006F0BB0" w:rsidP="007D1DBA">
            <w:pPr>
              <w:jc w:val="right"/>
              <w:rPr>
                <w:sz w:val="18"/>
                <w:szCs w:val="18"/>
                <w:lang w:val="es-419" w:eastAsia="es-419"/>
              </w:rPr>
            </w:pPr>
            <w:r w:rsidRPr="006F0BB0">
              <w:rPr>
                <w:sz w:val="18"/>
                <w:szCs w:val="18"/>
                <w:lang w:val="es-419" w:eastAsia="es-419"/>
              </w:rPr>
              <w:t>2 141 888</w:t>
            </w:r>
          </w:p>
        </w:tc>
        <w:tc>
          <w:tcPr>
            <w:tcW w:w="1181" w:type="dxa"/>
            <w:tcBorders>
              <w:top w:val="nil"/>
              <w:left w:val="nil"/>
              <w:bottom w:val="single" w:sz="4" w:space="0" w:color="auto"/>
              <w:right w:val="single" w:sz="4" w:space="0" w:color="auto"/>
            </w:tcBorders>
            <w:shd w:val="clear" w:color="auto" w:fill="auto"/>
            <w:noWrap/>
            <w:hideMark/>
          </w:tcPr>
          <w:p w14:paraId="1767B829" w14:textId="77777777" w:rsidR="006F0BB0" w:rsidRPr="006F0BB0" w:rsidRDefault="006F0BB0" w:rsidP="007D1DBA">
            <w:pPr>
              <w:jc w:val="right"/>
              <w:rPr>
                <w:sz w:val="18"/>
                <w:szCs w:val="18"/>
                <w:lang w:val="es-419" w:eastAsia="es-419"/>
              </w:rPr>
            </w:pPr>
            <w:r w:rsidRPr="006F0BB0">
              <w:rPr>
                <w:sz w:val="18"/>
                <w:szCs w:val="18"/>
                <w:lang w:val="es-419" w:eastAsia="es-419"/>
              </w:rPr>
              <w:t>103,7%</w:t>
            </w:r>
          </w:p>
        </w:tc>
      </w:tr>
      <w:tr w:rsidR="006F0BB0" w:rsidRPr="006F0BB0" w14:paraId="63BFF8E4"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A44E76B" w14:textId="77777777" w:rsidR="006F0BB0" w:rsidRPr="006F0BB0" w:rsidRDefault="006F0BB0" w:rsidP="007D1DBA">
            <w:pPr>
              <w:jc w:val="left"/>
              <w:rPr>
                <w:sz w:val="18"/>
                <w:szCs w:val="18"/>
                <w:lang w:val="es-ES" w:eastAsia="es-419"/>
              </w:rPr>
            </w:pPr>
            <w:r w:rsidRPr="006F0BB0">
              <w:rPr>
                <w:sz w:val="18"/>
                <w:szCs w:val="18"/>
                <w:lang w:val="es-ES" w:eastAsia="es-419"/>
              </w:rPr>
              <w:t>San Vicente y las Granadinas</w:t>
            </w:r>
          </w:p>
        </w:tc>
        <w:tc>
          <w:tcPr>
            <w:tcW w:w="950" w:type="dxa"/>
            <w:tcBorders>
              <w:top w:val="nil"/>
              <w:left w:val="nil"/>
              <w:bottom w:val="single" w:sz="4" w:space="0" w:color="auto"/>
              <w:right w:val="single" w:sz="4" w:space="0" w:color="auto"/>
            </w:tcBorders>
            <w:shd w:val="clear" w:color="auto" w:fill="auto"/>
            <w:noWrap/>
            <w:hideMark/>
          </w:tcPr>
          <w:p w14:paraId="406EF739" w14:textId="77777777" w:rsidR="006F0BB0" w:rsidRPr="006F0BB0" w:rsidRDefault="006F0BB0" w:rsidP="007D1DBA">
            <w:pPr>
              <w:jc w:val="right"/>
              <w:rPr>
                <w:sz w:val="18"/>
                <w:szCs w:val="18"/>
                <w:lang w:val="es-419" w:eastAsia="es-419"/>
              </w:rPr>
            </w:pPr>
            <w:r w:rsidRPr="006F0BB0">
              <w:rPr>
                <w:sz w:val="18"/>
                <w:szCs w:val="18"/>
                <w:lang w:val="es-419" w:eastAsia="es-419"/>
              </w:rPr>
              <w:t>30 664</w:t>
            </w:r>
          </w:p>
        </w:tc>
        <w:tc>
          <w:tcPr>
            <w:tcW w:w="950" w:type="dxa"/>
            <w:tcBorders>
              <w:top w:val="nil"/>
              <w:left w:val="nil"/>
              <w:bottom w:val="single" w:sz="4" w:space="0" w:color="auto"/>
              <w:right w:val="single" w:sz="4" w:space="0" w:color="auto"/>
            </w:tcBorders>
            <w:shd w:val="clear" w:color="auto" w:fill="auto"/>
            <w:noWrap/>
            <w:hideMark/>
          </w:tcPr>
          <w:p w14:paraId="7C0F14C1" w14:textId="77777777" w:rsidR="006F0BB0" w:rsidRPr="006F0BB0" w:rsidRDefault="006F0BB0" w:rsidP="007D1DBA">
            <w:pPr>
              <w:jc w:val="right"/>
              <w:rPr>
                <w:sz w:val="18"/>
                <w:szCs w:val="18"/>
                <w:lang w:val="es-419" w:eastAsia="es-419"/>
              </w:rPr>
            </w:pPr>
            <w:r w:rsidRPr="006F0BB0">
              <w:rPr>
                <w:sz w:val="18"/>
                <w:szCs w:val="18"/>
                <w:lang w:val="es-419" w:eastAsia="es-419"/>
              </w:rPr>
              <w:t>31 277</w:t>
            </w:r>
          </w:p>
        </w:tc>
        <w:tc>
          <w:tcPr>
            <w:tcW w:w="950" w:type="dxa"/>
            <w:tcBorders>
              <w:top w:val="nil"/>
              <w:left w:val="nil"/>
              <w:bottom w:val="single" w:sz="4" w:space="0" w:color="auto"/>
              <w:right w:val="single" w:sz="4" w:space="0" w:color="auto"/>
            </w:tcBorders>
            <w:shd w:val="clear" w:color="auto" w:fill="auto"/>
            <w:noWrap/>
            <w:hideMark/>
          </w:tcPr>
          <w:p w14:paraId="699C2227" w14:textId="77777777" w:rsidR="006F0BB0" w:rsidRPr="006F0BB0" w:rsidRDefault="006F0BB0" w:rsidP="007D1DBA">
            <w:pPr>
              <w:jc w:val="right"/>
              <w:rPr>
                <w:sz w:val="18"/>
                <w:szCs w:val="18"/>
                <w:lang w:val="es-419" w:eastAsia="es-419"/>
              </w:rPr>
            </w:pPr>
            <w:r w:rsidRPr="006F0BB0">
              <w:rPr>
                <w:sz w:val="18"/>
                <w:szCs w:val="18"/>
                <w:lang w:val="es-419" w:eastAsia="es-419"/>
              </w:rPr>
              <w:t>31 903</w:t>
            </w:r>
          </w:p>
        </w:tc>
        <w:tc>
          <w:tcPr>
            <w:tcW w:w="978" w:type="dxa"/>
            <w:tcBorders>
              <w:top w:val="nil"/>
              <w:left w:val="nil"/>
              <w:bottom w:val="single" w:sz="4" w:space="0" w:color="auto"/>
              <w:right w:val="single" w:sz="4" w:space="0" w:color="auto"/>
            </w:tcBorders>
            <w:shd w:val="clear" w:color="auto" w:fill="auto"/>
            <w:noWrap/>
            <w:hideMark/>
          </w:tcPr>
          <w:p w14:paraId="25D71DB1" w14:textId="77777777" w:rsidR="006F0BB0" w:rsidRPr="006F0BB0" w:rsidRDefault="006F0BB0" w:rsidP="007D1DBA">
            <w:pPr>
              <w:jc w:val="right"/>
              <w:rPr>
                <w:sz w:val="18"/>
                <w:szCs w:val="18"/>
                <w:lang w:val="es-419" w:eastAsia="es-419"/>
              </w:rPr>
            </w:pPr>
            <w:r w:rsidRPr="006F0BB0">
              <w:rPr>
                <w:sz w:val="18"/>
                <w:szCs w:val="18"/>
                <w:lang w:val="es-419" w:eastAsia="es-419"/>
              </w:rPr>
              <w:t>32 541</w:t>
            </w:r>
          </w:p>
        </w:tc>
        <w:tc>
          <w:tcPr>
            <w:tcW w:w="950" w:type="dxa"/>
            <w:tcBorders>
              <w:top w:val="nil"/>
              <w:left w:val="nil"/>
              <w:bottom w:val="single" w:sz="4" w:space="0" w:color="auto"/>
              <w:right w:val="single" w:sz="4" w:space="0" w:color="auto"/>
            </w:tcBorders>
            <w:shd w:val="clear" w:color="auto" w:fill="auto"/>
            <w:noWrap/>
            <w:hideMark/>
          </w:tcPr>
          <w:p w14:paraId="489ADBE1" w14:textId="77777777" w:rsidR="006F0BB0" w:rsidRPr="006F0BB0" w:rsidRDefault="006F0BB0" w:rsidP="007D1DBA">
            <w:pPr>
              <w:jc w:val="right"/>
              <w:rPr>
                <w:sz w:val="18"/>
                <w:szCs w:val="18"/>
                <w:lang w:val="es-419" w:eastAsia="es-419"/>
              </w:rPr>
            </w:pPr>
            <w:r w:rsidRPr="006F0BB0">
              <w:rPr>
                <w:sz w:val="18"/>
                <w:szCs w:val="18"/>
                <w:lang w:val="es-419" w:eastAsia="es-419"/>
              </w:rPr>
              <w:t>35 795</w:t>
            </w:r>
          </w:p>
        </w:tc>
        <w:tc>
          <w:tcPr>
            <w:tcW w:w="950" w:type="dxa"/>
            <w:tcBorders>
              <w:top w:val="nil"/>
              <w:left w:val="nil"/>
              <w:bottom w:val="single" w:sz="4" w:space="0" w:color="auto"/>
              <w:right w:val="single" w:sz="4" w:space="0" w:color="auto"/>
            </w:tcBorders>
            <w:shd w:val="clear" w:color="auto" w:fill="auto"/>
            <w:noWrap/>
            <w:hideMark/>
          </w:tcPr>
          <w:p w14:paraId="77F212A3" w14:textId="77777777" w:rsidR="006F0BB0" w:rsidRPr="006F0BB0" w:rsidRDefault="006F0BB0" w:rsidP="007D1DBA">
            <w:pPr>
              <w:jc w:val="right"/>
              <w:rPr>
                <w:sz w:val="18"/>
                <w:szCs w:val="18"/>
                <w:lang w:val="es-419" w:eastAsia="es-419"/>
              </w:rPr>
            </w:pPr>
            <w:r w:rsidRPr="006F0BB0">
              <w:rPr>
                <w:sz w:val="18"/>
                <w:szCs w:val="18"/>
                <w:lang w:val="es-419" w:eastAsia="es-419"/>
              </w:rPr>
              <w:t>39 374</w:t>
            </w:r>
          </w:p>
        </w:tc>
        <w:tc>
          <w:tcPr>
            <w:tcW w:w="1076" w:type="dxa"/>
            <w:tcBorders>
              <w:top w:val="nil"/>
              <w:left w:val="nil"/>
              <w:bottom w:val="single" w:sz="4" w:space="0" w:color="auto"/>
              <w:right w:val="single" w:sz="4" w:space="0" w:color="auto"/>
            </w:tcBorders>
            <w:shd w:val="clear" w:color="auto" w:fill="auto"/>
            <w:noWrap/>
            <w:hideMark/>
          </w:tcPr>
          <w:p w14:paraId="1CC1F77F" w14:textId="77777777" w:rsidR="006F0BB0" w:rsidRPr="006F0BB0" w:rsidRDefault="006F0BB0" w:rsidP="007D1DBA">
            <w:pPr>
              <w:jc w:val="right"/>
              <w:rPr>
                <w:sz w:val="18"/>
                <w:szCs w:val="18"/>
                <w:lang w:val="es-419" w:eastAsia="es-419"/>
              </w:rPr>
            </w:pPr>
            <w:r w:rsidRPr="006F0BB0">
              <w:rPr>
                <w:sz w:val="18"/>
                <w:szCs w:val="18"/>
                <w:lang w:val="es-419" w:eastAsia="es-419"/>
              </w:rPr>
              <w:t>31 907</w:t>
            </w:r>
          </w:p>
        </w:tc>
        <w:tc>
          <w:tcPr>
            <w:tcW w:w="1034" w:type="dxa"/>
            <w:tcBorders>
              <w:top w:val="nil"/>
              <w:left w:val="nil"/>
              <w:bottom w:val="single" w:sz="4" w:space="0" w:color="auto"/>
              <w:right w:val="single" w:sz="4" w:space="0" w:color="auto"/>
            </w:tcBorders>
            <w:shd w:val="clear" w:color="auto" w:fill="auto"/>
            <w:noWrap/>
            <w:hideMark/>
          </w:tcPr>
          <w:p w14:paraId="5840756A" w14:textId="77777777" w:rsidR="006F0BB0" w:rsidRPr="006F0BB0" w:rsidRDefault="006F0BB0" w:rsidP="007D1DBA">
            <w:pPr>
              <w:jc w:val="right"/>
              <w:rPr>
                <w:sz w:val="18"/>
                <w:szCs w:val="18"/>
                <w:lang w:val="es-419" w:eastAsia="es-419"/>
              </w:rPr>
            </w:pPr>
            <w:r w:rsidRPr="006F0BB0">
              <w:rPr>
                <w:sz w:val="18"/>
                <w:szCs w:val="18"/>
                <w:lang w:val="es-419" w:eastAsia="es-419"/>
              </w:rPr>
              <w:t>37 943</w:t>
            </w:r>
          </w:p>
        </w:tc>
        <w:tc>
          <w:tcPr>
            <w:tcW w:w="1181" w:type="dxa"/>
            <w:tcBorders>
              <w:top w:val="nil"/>
              <w:left w:val="nil"/>
              <w:bottom w:val="single" w:sz="4" w:space="0" w:color="auto"/>
              <w:right w:val="single" w:sz="4" w:space="0" w:color="auto"/>
            </w:tcBorders>
            <w:shd w:val="clear" w:color="auto" w:fill="auto"/>
            <w:noWrap/>
            <w:hideMark/>
          </w:tcPr>
          <w:p w14:paraId="3BE538C7" w14:textId="77777777" w:rsidR="006F0BB0" w:rsidRPr="006F0BB0" w:rsidRDefault="006F0BB0" w:rsidP="007D1DBA">
            <w:pPr>
              <w:jc w:val="right"/>
              <w:rPr>
                <w:sz w:val="18"/>
                <w:szCs w:val="18"/>
                <w:lang w:val="es-419" w:eastAsia="es-419"/>
              </w:rPr>
            </w:pPr>
            <w:r w:rsidRPr="006F0BB0">
              <w:rPr>
                <w:sz w:val="18"/>
                <w:szCs w:val="18"/>
                <w:lang w:val="es-419" w:eastAsia="es-419"/>
              </w:rPr>
              <w:t>103,8%</w:t>
            </w:r>
          </w:p>
        </w:tc>
      </w:tr>
      <w:tr w:rsidR="006F0BB0" w:rsidRPr="006F0BB0" w14:paraId="2C18ACAD"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BC316C" w14:textId="77777777" w:rsidR="006F0BB0" w:rsidRPr="006F0BB0" w:rsidRDefault="006F0BB0" w:rsidP="007D1DBA">
            <w:pPr>
              <w:jc w:val="left"/>
              <w:rPr>
                <w:sz w:val="18"/>
                <w:szCs w:val="18"/>
                <w:lang w:val="es-419" w:eastAsia="es-419"/>
              </w:rPr>
            </w:pPr>
            <w:r w:rsidRPr="006F0BB0">
              <w:rPr>
                <w:sz w:val="18"/>
                <w:szCs w:val="18"/>
                <w:lang w:val="es-419" w:eastAsia="es-419"/>
              </w:rPr>
              <w:t>Uganda</w:t>
            </w:r>
          </w:p>
        </w:tc>
        <w:tc>
          <w:tcPr>
            <w:tcW w:w="950" w:type="dxa"/>
            <w:tcBorders>
              <w:top w:val="nil"/>
              <w:left w:val="nil"/>
              <w:bottom w:val="single" w:sz="4" w:space="0" w:color="auto"/>
              <w:right w:val="single" w:sz="4" w:space="0" w:color="auto"/>
            </w:tcBorders>
            <w:shd w:val="clear" w:color="auto" w:fill="auto"/>
            <w:noWrap/>
            <w:hideMark/>
          </w:tcPr>
          <w:p w14:paraId="0CC0D9F9" w14:textId="77777777" w:rsidR="006F0BB0" w:rsidRPr="006F0BB0" w:rsidRDefault="006F0BB0" w:rsidP="007D1DBA">
            <w:pPr>
              <w:jc w:val="right"/>
              <w:rPr>
                <w:sz w:val="18"/>
                <w:szCs w:val="18"/>
                <w:lang w:val="es-419" w:eastAsia="es-419"/>
              </w:rPr>
            </w:pPr>
            <w:r w:rsidRPr="006F0BB0">
              <w:rPr>
                <w:sz w:val="18"/>
                <w:szCs w:val="18"/>
                <w:lang w:val="es-419" w:eastAsia="es-419"/>
              </w:rPr>
              <w:t>21 480</w:t>
            </w:r>
          </w:p>
        </w:tc>
        <w:tc>
          <w:tcPr>
            <w:tcW w:w="950" w:type="dxa"/>
            <w:tcBorders>
              <w:top w:val="nil"/>
              <w:left w:val="nil"/>
              <w:bottom w:val="single" w:sz="4" w:space="0" w:color="auto"/>
              <w:right w:val="single" w:sz="4" w:space="0" w:color="auto"/>
            </w:tcBorders>
            <w:shd w:val="clear" w:color="auto" w:fill="auto"/>
            <w:noWrap/>
            <w:hideMark/>
          </w:tcPr>
          <w:p w14:paraId="5D76E1D9" w14:textId="77777777" w:rsidR="006F0BB0" w:rsidRPr="006F0BB0" w:rsidRDefault="006F0BB0" w:rsidP="007D1DBA">
            <w:pPr>
              <w:jc w:val="right"/>
              <w:rPr>
                <w:sz w:val="18"/>
                <w:szCs w:val="18"/>
                <w:lang w:val="es-419" w:eastAsia="es-419"/>
              </w:rPr>
            </w:pPr>
            <w:r w:rsidRPr="006F0BB0">
              <w:rPr>
                <w:sz w:val="18"/>
                <w:szCs w:val="18"/>
                <w:lang w:val="es-419" w:eastAsia="es-419"/>
              </w:rPr>
              <w:t>21 910</w:t>
            </w:r>
          </w:p>
        </w:tc>
        <w:tc>
          <w:tcPr>
            <w:tcW w:w="950" w:type="dxa"/>
            <w:tcBorders>
              <w:top w:val="nil"/>
              <w:left w:val="nil"/>
              <w:bottom w:val="single" w:sz="4" w:space="0" w:color="auto"/>
              <w:right w:val="single" w:sz="4" w:space="0" w:color="auto"/>
            </w:tcBorders>
            <w:shd w:val="clear" w:color="auto" w:fill="auto"/>
            <w:noWrap/>
            <w:hideMark/>
          </w:tcPr>
          <w:p w14:paraId="34C32B1B" w14:textId="77777777" w:rsidR="006F0BB0" w:rsidRPr="006F0BB0" w:rsidRDefault="006F0BB0" w:rsidP="007D1DBA">
            <w:pPr>
              <w:jc w:val="right"/>
              <w:rPr>
                <w:sz w:val="18"/>
                <w:szCs w:val="18"/>
                <w:lang w:val="es-419" w:eastAsia="es-419"/>
              </w:rPr>
            </w:pPr>
            <w:r w:rsidRPr="006F0BB0">
              <w:rPr>
                <w:sz w:val="18"/>
                <w:szCs w:val="18"/>
                <w:lang w:val="es-419" w:eastAsia="es-419"/>
              </w:rPr>
              <w:t>22 348</w:t>
            </w:r>
          </w:p>
        </w:tc>
        <w:tc>
          <w:tcPr>
            <w:tcW w:w="978" w:type="dxa"/>
            <w:tcBorders>
              <w:top w:val="nil"/>
              <w:left w:val="nil"/>
              <w:bottom w:val="single" w:sz="4" w:space="0" w:color="auto"/>
              <w:right w:val="single" w:sz="4" w:space="0" w:color="auto"/>
            </w:tcBorders>
            <w:shd w:val="clear" w:color="auto" w:fill="auto"/>
            <w:noWrap/>
            <w:hideMark/>
          </w:tcPr>
          <w:p w14:paraId="3E598C84" w14:textId="77777777" w:rsidR="006F0BB0" w:rsidRPr="006F0BB0" w:rsidRDefault="006F0BB0" w:rsidP="007D1DBA">
            <w:pPr>
              <w:jc w:val="right"/>
              <w:rPr>
                <w:sz w:val="18"/>
                <w:szCs w:val="18"/>
                <w:lang w:val="es-419" w:eastAsia="es-419"/>
              </w:rPr>
            </w:pPr>
            <w:r w:rsidRPr="006F0BB0">
              <w:rPr>
                <w:sz w:val="18"/>
                <w:szCs w:val="18"/>
                <w:lang w:val="es-419" w:eastAsia="es-419"/>
              </w:rPr>
              <w:t>22 795</w:t>
            </w:r>
          </w:p>
        </w:tc>
        <w:tc>
          <w:tcPr>
            <w:tcW w:w="950" w:type="dxa"/>
            <w:tcBorders>
              <w:top w:val="nil"/>
              <w:left w:val="nil"/>
              <w:bottom w:val="single" w:sz="4" w:space="0" w:color="auto"/>
              <w:right w:val="single" w:sz="4" w:space="0" w:color="auto"/>
            </w:tcBorders>
            <w:shd w:val="clear" w:color="auto" w:fill="auto"/>
            <w:noWrap/>
            <w:hideMark/>
          </w:tcPr>
          <w:p w14:paraId="0C707867" w14:textId="77777777" w:rsidR="006F0BB0" w:rsidRPr="006F0BB0" w:rsidRDefault="006F0BB0" w:rsidP="007D1DBA">
            <w:pPr>
              <w:jc w:val="right"/>
              <w:rPr>
                <w:sz w:val="18"/>
                <w:szCs w:val="18"/>
                <w:lang w:val="es-419" w:eastAsia="es-419"/>
              </w:rPr>
            </w:pPr>
            <w:r w:rsidRPr="006F0BB0">
              <w:rPr>
                <w:sz w:val="18"/>
                <w:szCs w:val="18"/>
                <w:lang w:val="es-419" w:eastAsia="es-419"/>
              </w:rPr>
              <w:t>25 074</w:t>
            </w:r>
          </w:p>
        </w:tc>
        <w:tc>
          <w:tcPr>
            <w:tcW w:w="950" w:type="dxa"/>
            <w:tcBorders>
              <w:top w:val="nil"/>
              <w:left w:val="nil"/>
              <w:bottom w:val="single" w:sz="4" w:space="0" w:color="auto"/>
              <w:right w:val="single" w:sz="4" w:space="0" w:color="auto"/>
            </w:tcBorders>
            <w:shd w:val="clear" w:color="auto" w:fill="auto"/>
            <w:noWrap/>
            <w:hideMark/>
          </w:tcPr>
          <w:p w14:paraId="51C7AFBB" w14:textId="77777777" w:rsidR="006F0BB0" w:rsidRPr="006F0BB0" w:rsidRDefault="006F0BB0" w:rsidP="007D1DBA">
            <w:pPr>
              <w:jc w:val="right"/>
              <w:rPr>
                <w:sz w:val="18"/>
                <w:szCs w:val="18"/>
                <w:lang w:val="es-419" w:eastAsia="es-419"/>
              </w:rPr>
            </w:pPr>
            <w:r w:rsidRPr="006F0BB0">
              <w:rPr>
                <w:sz w:val="18"/>
                <w:szCs w:val="18"/>
                <w:lang w:val="es-419" w:eastAsia="es-419"/>
              </w:rPr>
              <w:t>27 582</w:t>
            </w:r>
          </w:p>
        </w:tc>
        <w:tc>
          <w:tcPr>
            <w:tcW w:w="1076" w:type="dxa"/>
            <w:tcBorders>
              <w:top w:val="nil"/>
              <w:left w:val="nil"/>
              <w:bottom w:val="single" w:sz="4" w:space="0" w:color="auto"/>
              <w:right w:val="single" w:sz="4" w:space="0" w:color="auto"/>
            </w:tcBorders>
            <w:shd w:val="clear" w:color="auto" w:fill="auto"/>
            <w:noWrap/>
            <w:hideMark/>
          </w:tcPr>
          <w:p w14:paraId="74AD6821" w14:textId="77777777" w:rsidR="006F0BB0" w:rsidRPr="006F0BB0" w:rsidRDefault="006F0BB0" w:rsidP="007D1DBA">
            <w:pPr>
              <w:jc w:val="right"/>
              <w:rPr>
                <w:sz w:val="18"/>
                <w:szCs w:val="18"/>
                <w:lang w:val="es-419" w:eastAsia="es-419"/>
              </w:rPr>
            </w:pPr>
            <w:r w:rsidRPr="006F0BB0">
              <w:rPr>
                <w:sz w:val="18"/>
                <w:szCs w:val="18"/>
                <w:lang w:val="es-419" w:eastAsia="es-419"/>
              </w:rPr>
              <w:t>22 351</w:t>
            </w:r>
          </w:p>
        </w:tc>
        <w:tc>
          <w:tcPr>
            <w:tcW w:w="1034" w:type="dxa"/>
            <w:tcBorders>
              <w:top w:val="nil"/>
              <w:left w:val="nil"/>
              <w:bottom w:val="single" w:sz="4" w:space="0" w:color="auto"/>
              <w:right w:val="single" w:sz="4" w:space="0" w:color="auto"/>
            </w:tcBorders>
            <w:shd w:val="clear" w:color="auto" w:fill="auto"/>
            <w:noWrap/>
            <w:hideMark/>
          </w:tcPr>
          <w:p w14:paraId="3B80B9F7" w14:textId="77777777" w:rsidR="006F0BB0" w:rsidRPr="006F0BB0" w:rsidRDefault="006F0BB0" w:rsidP="007D1DBA">
            <w:pPr>
              <w:jc w:val="right"/>
              <w:rPr>
                <w:sz w:val="18"/>
                <w:szCs w:val="18"/>
                <w:lang w:val="es-419" w:eastAsia="es-419"/>
              </w:rPr>
            </w:pPr>
            <w:r w:rsidRPr="006F0BB0">
              <w:rPr>
                <w:sz w:val="18"/>
                <w:szCs w:val="18"/>
                <w:lang w:val="es-419" w:eastAsia="es-419"/>
              </w:rPr>
              <w:t>25 493</w:t>
            </w:r>
          </w:p>
        </w:tc>
        <w:tc>
          <w:tcPr>
            <w:tcW w:w="1181" w:type="dxa"/>
            <w:tcBorders>
              <w:top w:val="nil"/>
              <w:left w:val="nil"/>
              <w:bottom w:val="single" w:sz="4" w:space="0" w:color="auto"/>
              <w:right w:val="single" w:sz="4" w:space="0" w:color="auto"/>
            </w:tcBorders>
            <w:shd w:val="clear" w:color="auto" w:fill="auto"/>
            <w:noWrap/>
            <w:hideMark/>
          </w:tcPr>
          <w:p w14:paraId="546B1BDC" w14:textId="77777777" w:rsidR="006F0BB0" w:rsidRPr="006F0BB0" w:rsidRDefault="006F0BB0" w:rsidP="007D1DBA">
            <w:pPr>
              <w:jc w:val="right"/>
              <w:rPr>
                <w:sz w:val="18"/>
                <w:szCs w:val="18"/>
                <w:lang w:val="es-419" w:eastAsia="es-419"/>
              </w:rPr>
            </w:pPr>
            <w:r w:rsidRPr="006F0BB0">
              <w:rPr>
                <w:sz w:val="18"/>
                <w:szCs w:val="18"/>
                <w:lang w:val="es-419" w:eastAsia="es-419"/>
              </w:rPr>
              <w:t>108,2%</w:t>
            </w:r>
          </w:p>
        </w:tc>
      </w:tr>
      <w:tr w:rsidR="006F0BB0" w:rsidRPr="006F0BB0" w14:paraId="501F99FB"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A535F3" w14:textId="77777777" w:rsidR="006F0BB0" w:rsidRPr="006F0BB0" w:rsidRDefault="006F0BB0" w:rsidP="007D1DBA">
            <w:pPr>
              <w:ind w:right="-91"/>
              <w:jc w:val="left"/>
              <w:rPr>
                <w:sz w:val="18"/>
                <w:szCs w:val="18"/>
                <w:lang w:val="es-419" w:eastAsia="es-419"/>
              </w:rPr>
            </w:pPr>
            <w:r w:rsidRPr="006F0BB0">
              <w:rPr>
                <w:sz w:val="18"/>
                <w:szCs w:val="18"/>
                <w:lang w:val="es-419" w:eastAsia="es-419"/>
              </w:rPr>
              <w:t>Bolivia (Estado Plurinacional de)</w:t>
            </w:r>
          </w:p>
        </w:tc>
        <w:tc>
          <w:tcPr>
            <w:tcW w:w="950" w:type="dxa"/>
            <w:tcBorders>
              <w:top w:val="nil"/>
              <w:left w:val="nil"/>
              <w:bottom w:val="single" w:sz="4" w:space="0" w:color="auto"/>
              <w:right w:val="single" w:sz="4" w:space="0" w:color="auto"/>
            </w:tcBorders>
            <w:shd w:val="clear" w:color="auto" w:fill="auto"/>
            <w:noWrap/>
            <w:hideMark/>
          </w:tcPr>
          <w:p w14:paraId="62138198" w14:textId="77777777" w:rsidR="006F0BB0" w:rsidRPr="006F0BB0" w:rsidRDefault="006F0BB0" w:rsidP="007D1DBA">
            <w:pPr>
              <w:jc w:val="right"/>
              <w:rPr>
                <w:sz w:val="18"/>
                <w:szCs w:val="18"/>
                <w:lang w:val="es-419" w:eastAsia="es-419"/>
              </w:rPr>
            </w:pPr>
            <w:r w:rsidRPr="006F0BB0">
              <w:rPr>
                <w:sz w:val="18"/>
                <w:szCs w:val="18"/>
                <w:lang w:val="es-419" w:eastAsia="es-419"/>
              </w:rPr>
              <w:t>773 894</w:t>
            </w:r>
          </w:p>
        </w:tc>
        <w:tc>
          <w:tcPr>
            <w:tcW w:w="950" w:type="dxa"/>
            <w:tcBorders>
              <w:top w:val="nil"/>
              <w:left w:val="nil"/>
              <w:bottom w:val="single" w:sz="4" w:space="0" w:color="auto"/>
              <w:right w:val="single" w:sz="4" w:space="0" w:color="auto"/>
            </w:tcBorders>
            <w:shd w:val="clear" w:color="auto" w:fill="auto"/>
            <w:noWrap/>
            <w:hideMark/>
          </w:tcPr>
          <w:p w14:paraId="215F87A7" w14:textId="77777777" w:rsidR="006F0BB0" w:rsidRPr="006F0BB0" w:rsidRDefault="006F0BB0" w:rsidP="007D1DBA">
            <w:pPr>
              <w:jc w:val="right"/>
              <w:rPr>
                <w:sz w:val="18"/>
                <w:szCs w:val="18"/>
                <w:lang w:val="es-419" w:eastAsia="es-419"/>
              </w:rPr>
            </w:pPr>
            <w:r w:rsidRPr="006F0BB0">
              <w:rPr>
                <w:sz w:val="18"/>
                <w:szCs w:val="18"/>
                <w:lang w:val="es-419" w:eastAsia="es-419"/>
              </w:rPr>
              <w:t>789 372</w:t>
            </w:r>
          </w:p>
        </w:tc>
        <w:tc>
          <w:tcPr>
            <w:tcW w:w="950" w:type="dxa"/>
            <w:tcBorders>
              <w:top w:val="nil"/>
              <w:left w:val="nil"/>
              <w:bottom w:val="single" w:sz="4" w:space="0" w:color="auto"/>
              <w:right w:val="single" w:sz="4" w:space="0" w:color="auto"/>
            </w:tcBorders>
            <w:shd w:val="clear" w:color="auto" w:fill="auto"/>
            <w:noWrap/>
            <w:hideMark/>
          </w:tcPr>
          <w:p w14:paraId="68E3C691" w14:textId="77777777" w:rsidR="006F0BB0" w:rsidRPr="006F0BB0" w:rsidRDefault="006F0BB0" w:rsidP="007D1DBA">
            <w:pPr>
              <w:jc w:val="right"/>
              <w:rPr>
                <w:sz w:val="18"/>
                <w:szCs w:val="18"/>
                <w:lang w:val="es-419" w:eastAsia="es-419"/>
              </w:rPr>
            </w:pPr>
            <w:r w:rsidRPr="006F0BB0">
              <w:rPr>
                <w:sz w:val="18"/>
                <w:szCs w:val="18"/>
                <w:lang w:val="es-419" w:eastAsia="es-419"/>
              </w:rPr>
              <w:t>805 160</w:t>
            </w:r>
          </w:p>
        </w:tc>
        <w:tc>
          <w:tcPr>
            <w:tcW w:w="978" w:type="dxa"/>
            <w:tcBorders>
              <w:top w:val="nil"/>
              <w:left w:val="nil"/>
              <w:bottom w:val="single" w:sz="4" w:space="0" w:color="auto"/>
              <w:right w:val="single" w:sz="4" w:space="0" w:color="auto"/>
            </w:tcBorders>
            <w:shd w:val="clear" w:color="auto" w:fill="auto"/>
            <w:noWrap/>
            <w:hideMark/>
          </w:tcPr>
          <w:p w14:paraId="05458BA9" w14:textId="77777777" w:rsidR="006F0BB0" w:rsidRPr="006F0BB0" w:rsidRDefault="006F0BB0" w:rsidP="007D1DBA">
            <w:pPr>
              <w:jc w:val="right"/>
              <w:rPr>
                <w:sz w:val="18"/>
                <w:szCs w:val="18"/>
                <w:lang w:val="es-419" w:eastAsia="es-419"/>
              </w:rPr>
            </w:pPr>
            <w:r w:rsidRPr="006F0BB0">
              <w:rPr>
                <w:sz w:val="18"/>
                <w:szCs w:val="18"/>
                <w:lang w:val="es-419" w:eastAsia="es-419"/>
              </w:rPr>
              <w:t>821 263</w:t>
            </w:r>
          </w:p>
        </w:tc>
        <w:tc>
          <w:tcPr>
            <w:tcW w:w="950" w:type="dxa"/>
            <w:tcBorders>
              <w:top w:val="nil"/>
              <w:left w:val="nil"/>
              <w:bottom w:val="single" w:sz="4" w:space="0" w:color="auto"/>
              <w:right w:val="single" w:sz="4" w:space="0" w:color="auto"/>
            </w:tcBorders>
            <w:shd w:val="clear" w:color="auto" w:fill="auto"/>
            <w:noWrap/>
            <w:hideMark/>
          </w:tcPr>
          <w:p w14:paraId="580B83D9" w14:textId="77777777" w:rsidR="006F0BB0" w:rsidRPr="006F0BB0" w:rsidRDefault="006F0BB0" w:rsidP="007D1DBA">
            <w:pPr>
              <w:jc w:val="right"/>
              <w:rPr>
                <w:sz w:val="18"/>
                <w:szCs w:val="18"/>
                <w:lang w:val="es-419" w:eastAsia="es-419"/>
              </w:rPr>
            </w:pPr>
            <w:r w:rsidRPr="006F0BB0">
              <w:rPr>
                <w:sz w:val="18"/>
                <w:szCs w:val="18"/>
                <w:lang w:val="es-419" w:eastAsia="es-419"/>
              </w:rPr>
              <w:t>903 389</w:t>
            </w:r>
          </w:p>
        </w:tc>
        <w:tc>
          <w:tcPr>
            <w:tcW w:w="950" w:type="dxa"/>
            <w:tcBorders>
              <w:top w:val="nil"/>
              <w:left w:val="nil"/>
              <w:bottom w:val="single" w:sz="4" w:space="0" w:color="auto"/>
              <w:right w:val="single" w:sz="4" w:space="0" w:color="auto"/>
            </w:tcBorders>
            <w:shd w:val="clear" w:color="auto" w:fill="auto"/>
            <w:noWrap/>
            <w:hideMark/>
          </w:tcPr>
          <w:p w14:paraId="4CCDF12D" w14:textId="77777777" w:rsidR="006F0BB0" w:rsidRPr="006F0BB0" w:rsidRDefault="006F0BB0" w:rsidP="007D1DBA">
            <w:pPr>
              <w:jc w:val="right"/>
              <w:rPr>
                <w:sz w:val="18"/>
                <w:szCs w:val="18"/>
                <w:lang w:val="es-419" w:eastAsia="es-419"/>
              </w:rPr>
            </w:pPr>
            <w:r w:rsidRPr="006F0BB0">
              <w:rPr>
                <w:sz w:val="18"/>
                <w:szCs w:val="18"/>
                <w:lang w:val="es-419" w:eastAsia="es-419"/>
              </w:rPr>
              <w:t>993 728</w:t>
            </w:r>
          </w:p>
        </w:tc>
        <w:tc>
          <w:tcPr>
            <w:tcW w:w="1076" w:type="dxa"/>
            <w:tcBorders>
              <w:top w:val="nil"/>
              <w:left w:val="nil"/>
              <w:bottom w:val="single" w:sz="4" w:space="0" w:color="auto"/>
              <w:right w:val="single" w:sz="4" w:space="0" w:color="auto"/>
            </w:tcBorders>
            <w:shd w:val="clear" w:color="auto" w:fill="auto"/>
            <w:noWrap/>
            <w:hideMark/>
          </w:tcPr>
          <w:p w14:paraId="13AA20EB" w14:textId="77777777" w:rsidR="006F0BB0" w:rsidRPr="006F0BB0" w:rsidRDefault="006F0BB0" w:rsidP="007D1DBA">
            <w:pPr>
              <w:jc w:val="right"/>
              <w:rPr>
                <w:sz w:val="18"/>
                <w:szCs w:val="18"/>
                <w:lang w:val="es-419" w:eastAsia="es-419"/>
              </w:rPr>
            </w:pPr>
            <w:r w:rsidRPr="006F0BB0">
              <w:rPr>
                <w:sz w:val="18"/>
                <w:szCs w:val="18"/>
                <w:lang w:val="es-419" w:eastAsia="es-419"/>
              </w:rPr>
              <w:t>805 265</w:t>
            </w:r>
          </w:p>
        </w:tc>
        <w:tc>
          <w:tcPr>
            <w:tcW w:w="1034" w:type="dxa"/>
            <w:tcBorders>
              <w:top w:val="nil"/>
              <w:left w:val="nil"/>
              <w:bottom w:val="single" w:sz="4" w:space="0" w:color="auto"/>
              <w:right w:val="single" w:sz="4" w:space="0" w:color="auto"/>
            </w:tcBorders>
            <w:shd w:val="clear" w:color="auto" w:fill="auto"/>
            <w:noWrap/>
            <w:hideMark/>
          </w:tcPr>
          <w:p w14:paraId="00BD9B7C" w14:textId="77777777" w:rsidR="006F0BB0" w:rsidRPr="006F0BB0" w:rsidRDefault="006F0BB0" w:rsidP="007D1DBA">
            <w:pPr>
              <w:jc w:val="right"/>
              <w:rPr>
                <w:sz w:val="18"/>
                <w:szCs w:val="18"/>
                <w:lang w:val="es-419" w:eastAsia="es-419"/>
              </w:rPr>
            </w:pPr>
            <w:r w:rsidRPr="006F0BB0">
              <w:rPr>
                <w:sz w:val="18"/>
                <w:szCs w:val="18"/>
                <w:lang w:val="es-419" w:eastAsia="es-419"/>
              </w:rPr>
              <w:t>917 796</w:t>
            </w:r>
          </w:p>
        </w:tc>
        <w:tc>
          <w:tcPr>
            <w:tcW w:w="1181" w:type="dxa"/>
            <w:tcBorders>
              <w:top w:val="nil"/>
              <w:left w:val="nil"/>
              <w:bottom w:val="single" w:sz="4" w:space="0" w:color="auto"/>
              <w:right w:val="single" w:sz="4" w:space="0" w:color="auto"/>
            </w:tcBorders>
            <w:shd w:val="clear" w:color="auto" w:fill="auto"/>
            <w:noWrap/>
            <w:hideMark/>
          </w:tcPr>
          <w:p w14:paraId="05029BCC" w14:textId="77777777" w:rsidR="006F0BB0" w:rsidRPr="006F0BB0" w:rsidRDefault="006F0BB0" w:rsidP="007D1DBA">
            <w:pPr>
              <w:jc w:val="right"/>
              <w:rPr>
                <w:sz w:val="18"/>
                <w:szCs w:val="18"/>
                <w:lang w:val="es-419" w:eastAsia="es-419"/>
              </w:rPr>
            </w:pPr>
            <w:r w:rsidRPr="006F0BB0">
              <w:rPr>
                <w:sz w:val="18"/>
                <w:szCs w:val="18"/>
                <w:lang w:val="es-419" w:eastAsia="es-419"/>
              </w:rPr>
              <w:t>108,3%</w:t>
            </w:r>
          </w:p>
        </w:tc>
      </w:tr>
      <w:tr w:rsidR="006F0BB0" w:rsidRPr="006F0BB0" w14:paraId="7E14FDE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631259" w14:textId="77777777" w:rsidR="006F0BB0" w:rsidRPr="006F0BB0" w:rsidRDefault="006F0BB0" w:rsidP="007D1DBA">
            <w:pPr>
              <w:jc w:val="left"/>
              <w:rPr>
                <w:sz w:val="18"/>
                <w:szCs w:val="18"/>
                <w:lang w:val="es-419" w:eastAsia="es-419"/>
              </w:rPr>
            </w:pPr>
            <w:r w:rsidRPr="006F0BB0">
              <w:rPr>
                <w:sz w:val="18"/>
                <w:szCs w:val="18"/>
                <w:lang w:val="es-419" w:eastAsia="es-419"/>
              </w:rPr>
              <w:t>Guatemala</w:t>
            </w:r>
          </w:p>
        </w:tc>
        <w:tc>
          <w:tcPr>
            <w:tcW w:w="950" w:type="dxa"/>
            <w:tcBorders>
              <w:top w:val="nil"/>
              <w:left w:val="nil"/>
              <w:bottom w:val="single" w:sz="4" w:space="0" w:color="auto"/>
              <w:right w:val="single" w:sz="4" w:space="0" w:color="auto"/>
            </w:tcBorders>
            <w:shd w:val="clear" w:color="auto" w:fill="auto"/>
            <w:noWrap/>
            <w:hideMark/>
          </w:tcPr>
          <w:p w14:paraId="5EC3CAF4" w14:textId="77777777" w:rsidR="006F0BB0" w:rsidRPr="006F0BB0" w:rsidRDefault="006F0BB0" w:rsidP="007D1DBA">
            <w:pPr>
              <w:jc w:val="right"/>
              <w:rPr>
                <w:sz w:val="18"/>
                <w:szCs w:val="18"/>
                <w:lang w:val="es-419" w:eastAsia="es-419"/>
              </w:rPr>
            </w:pPr>
            <w:r w:rsidRPr="006F0BB0">
              <w:rPr>
                <w:sz w:val="18"/>
                <w:szCs w:val="18"/>
                <w:lang w:val="es-419" w:eastAsia="es-419"/>
              </w:rPr>
              <w:t>1 169 662</w:t>
            </w:r>
          </w:p>
        </w:tc>
        <w:tc>
          <w:tcPr>
            <w:tcW w:w="950" w:type="dxa"/>
            <w:tcBorders>
              <w:top w:val="nil"/>
              <w:left w:val="nil"/>
              <w:bottom w:val="single" w:sz="4" w:space="0" w:color="auto"/>
              <w:right w:val="single" w:sz="4" w:space="0" w:color="auto"/>
            </w:tcBorders>
            <w:shd w:val="clear" w:color="auto" w:fill="auto"/>
            <w:noWrap/>
            <w:hideMark/>
          </w:tcPr>
          <w:p w14:paraId="184DDEB1" w14:textId="77777777" w:rsidR="006F0BB0" w:rsidRPr="006F0BB0" w:rsidRDefault="006F0BB0" w:rsidP="007D1DBA">
            <w:pPr>
              <w:jc w:val="right"/>
              <w:rPr>
                <w:sz w:val="18"/>
                <w:szCs w:val="18"/>
                <w:lang w:val="es-419" w:eastAsia="es-419"/>
              </w:rPr>
            </w:pPr>
            <w:r w:rsidRPr="006F0BB0">
              <w:rPr>
                <w:sz w:val="18"/>
                <w:szCs w:val="18"/>
                <w:lang w:val="es-419" w:eastAsia="es-419"/>
              </w:rPr>
              <w:t>1 193 055</w:t>
            </w:r>
          </w:p>
        </w:tc>
        <w:tc>
          <w:tcPr>
            <w:tcW w:w="950" w:type="dxa"/>
            <w:tcBorders>
              <w:top w:val="nil"/>
              <w:left w:val="nil"/>
              <w:bottom w:val="single" w:sz="4" w:space="0" w:color="auto"/>
              <w:right w:val="single" w:sz="4" w:space="0" w:color="auto"/>
            </w:tcBorders>
            <w:shd w:val="clear" w:color="auto" w:fill="auto"/>
            <w:noWrap/>
            <w:hideMark/>
          </w:tcPr>
          <w:p w14:paraId="7E64DCED" w14:textId="77777777" w:rsidR="006F0BB0" w:rsidRPr="006F0BB0" w:rsidRDefault="006F0BB0" w:rsidP="007D1DBA">
            <w:pPr>
              <w:jc w:val="right"/>
              <w:rPr>
                <w:sz w:val="18"/>
                <w:szCs w:val="18"/>
                <w:lang w:val="es-419" w:eastAsia="es-419"/>
              </w:rPr>
            </w:pPr>
            <w:r w:rsidRPr="006F0BB0">
              <w:rPr>
                <w:sz w:val="18"/>
                <w:szCs w:val="18"/>
                <w:lang w:val="es-419" w:eastAsia="es-419"/>
              </w:rPr>
              <w:t>1 216 916</w:t>
            </w:r>
          </w:p>
        </w:tc>
        <w:tc>
          <w:tcPr>
            <w:tcW w:w="978" w:type="dxa"/>
            <w:tcBorders>
              <w:top w:val="nil"/>
              <w:left w:val="nil"/>
              <w:bottom w:val="single" w:sz="4" w:space="0" w:color="auto"/>
              <w:right w:val="single" w:sz="4" w:space="0" w:color="auto"/>
            </w:tcBorders>
            <w:shd w:val="clear" w:color="auto" w:fill="auto"/>
            <w:noWrap/>
            <w:hideMark/>
          </w:tcPr>
          <w:p w14:paraId="7E7C6BE0" w14:textId="77777777" w:rsidR="006F0BB0" w:rsidRPr="006F0BB0" w:rsidRDefault="006F0BB0" w:rsidP="007D1DBA">
            <w:pPr>
              <w:jc w:val="right"/>
              <w:rPr>
                <w:sz w:val="18"/>
                <w:szCs w:val="18"/>
                <w:lang w:val="es-419" w:eastAsia="es-419"/>
              </w:rPr>
            </w:pPr>
            <w:r w:rsidRPr="006F0BB0">
              <w:rPr>
                <w:sz w:val="18"/>
                <w:szCs w:val="18"/>
                <w:lang w:val="es-419" w:eastAsia="es-419"/>
              </w:rPr>
              <w:t>1 241 255</w:t>
            </w:r>
          </w:p>
        </w:tc>
        <w:tc>
          <w:tcPr>
            <w:tcW w:w="950" w:type="dxa"/>
            <w:tcBorders>
              <w:top w:val="nil"/>
              <w:left w:val="nil"/>
              <w:bottom w:val="single" w:sz="4" w:space="0" w:color="auto"/>
              <w:right w:val="single" w:sz="4" w:space="0" w:color="auto"/>
            </w:tcBorders>
            <w:shd w:val="clear" w:color="auto" w:fill="auto"/>
            <w:noWrap/>
            <w:hideMark/>
          </w:tcPr>
          <w:p w14:paraId="06437347" w14:textId="77777777" w:rsidR="006F0BB0" w:rsidRPr="006F0BB0" w:rsidRDefault="006F0BB0" w:rsidP="007D1DBA">
            <w:pPr>
              <w:jc w:val="right"/>
              <w:rPr>
                <w:sz w:val="18"/>
                <w:szCs w:val="18"/>
                <w:lang w:val="es-419" w:eastAsia="es-419"/>
              </w:rPr>
            </w:pPr>
            <w:r w:rsidRPr="006F0BB0">
              <w:rPr>
                <w:sz w:val="18"/>
                <w:szCs w:val="18"/>
                <w:lang w:val="es-419" w:eastAsia="es-419"/>
              </w:rPr>
              <w:t>1 365 380</w:t>
            </w:r>
          </w:p>
        </w:tc>
        <w:tc>
          <w:tcPr>
            <w:tcW w:w="950" w:type="dxa"/>
            <w:tcBorders>
              <w:top w:val="nil"/>
              <w:left w:val="nil"/>
              <w:bottom w:val="single" w:sz="4" w:space="0" w:color="auto"/>
              <w:right w:val="single" w:sz="4" w:space="0" w:color="auto"/>
            </w:tcBorders>
            <w:shd w:val="clear" w:color="auto" w:fill="auto"/>
            <w:noWrap/>
            <w:hideMark/>
          </w:tcPr>
          <w:p w14:paraId="64AA2ADB" w14:textId="77777777" w:rsidR="006F0BB0" w:rsidRPr="006F0BB0" w:rsidRDefault="006F0BB0" w:rsidP="007D1DBA">
            <w:pPr>
              <w:jc w:val="right"/>
              <w:rPr>
                <w:sz w:val="18"/>
                <w:szCs w:val="18"/>
                <w:lang w:val="es-419" w:eastAsia="es-419"/>
              </w:rPr>
            </w:pPr>
            <w:r w:rsidRPr="006F0BB0">
              <w:rPr>
                <w:sz w:val="18"/>
                <w:szCs w:val="18"/>
                <w:lang w:val="es-419" w:eastAsia="es-419"/>
              </w:rPr>
              <w:t>1 501 918</w:t>
            </w:r>
          </w:p>
        </w:tc>
        <w:tc>
          <w:tcPr>
            <w:tcW w:w="1076" w:type="dxa"/>
            <w:tcBorders>
              <w:top w:val="nil"/>
              <w:left w:val="nil"/>
              <w:bottom w:val="single" w:sz="4" w:space="0" w:color="auto"/>
              <w:right w:val="single" w:sz="4" w:space="0" w:color="auto"/>
            </w:tcBorders>
            <w:shd w:val="clear" w:color="auto" w:fill="auto"/>
            <w:noWrap/>
            <w:hideMark/>
          </w:tcPr>
          <w:p w14:paraId="6F3AF902" w14:textId="77777777" w:rsidR="006F0BB0" w:rsidRPr="006F0BB0" w:rsidRDefault="006F0BB0" w:rsidP="007D1DBA">
            <w:pPr>
              <w:jc w:val="right"/>
              <w:rPr>
                <w:sz w:val="18"/>
                <w:szCs w:val="18"/>
                <w:lang w:val="es-419" w:eastAsia="es-419"/>
              </w:rPr>
            </w:pPr>
            <w:r w:rsidRPr="006F0BB0">
              <w:rPr>
                <w:sz w:val="18"/>
                <w:szCs w:val="18"/>
                <w:lang w:val="es-419" w:eastAsia="es-419"/>
              </w:rPr>
              <w:t>1 217 075</w:t>
            </w:r>
          </w:p>
        </w:tc>
        <w:tc>
          <w:tcPr>
            <w:tcW w:w="1034" w:type="dxa"/>
            <w:tcBorders>
              <w:top w:val="nil"/>
              <w:left w:val="nil"/>
              <w:bottom w:val="single" w:sz="4" w:space="0" w:color="auto"/>
              <w:right w:val="single" w:sz="4" w:space="0" w:color="auto"/>
            </w:tcBorders>
            <w:shd w:val="clear" w:color="auto" w:fill="auto"/>
            <w:noWrap/>
            <w:hideMark/>
          </w:tcPr>
          <w:p w14:paraId="446FBFAE" w14:textId="77777777" w:rsidR="006F0BB0" w:rsidRPr="006F0BB0" w:rsidRDefault="006F0BB0" w:rsidP="007D1DBA">
            <w:pPr>
              <w:jc w:val="right"/>
              <w:rPr>
                <w:sz w:val="18"/>
                <w:szCs w:val="18"/>
                <w:lang w:val="es-419" w:eastAsia="es-419"/>
              </w:rPr>
            </w:pPr>
            <w:r w:rsidRPr="006F0BB0">
              <w:rPr>
                <w:sz w:val="18"/>
                <w:szCs w:val="18"/>
                <w:lang w:val="es-419" w:eastAsia="es-419"/>
              </w:rPr>
              <w:t>1 373 638</w:t>
            </w:r>
          </w:p>
        </w:tc>
        <w:tc>
          <w:tcPr>
            <w:tcW w:w="1181" w:type="dxa"/>
            <w:tcBorders>
              <w:top w:val="nil"/>
              <w:left w:val="nil"/>
              <w:bottom w:val="single" w:sz="4" w:space="0" w:color="auto"/>
              <w:right w:val="single" w:sz="4" w:space="0" w:color="auto"/>
            </w:tcBorders>
            <w:shd w:val="clear" w:color="auto" w:fill="auto"/>
            <w:noWrap/>
            <w:hideMark/>
          </w:tcPr>
          <w:p w14:paraId="0E195D17" w14:textId="77777777" w:rsidR="006F0BB0" w:rsidRPr="006F0BB0" w:rsidRDefault="006F0BB0" w:rsidP="007D1DBA">
            <w:pPr>
              <w:jc w:val="right"/>
              <w:rPr>
                <w:sz w:val="18"/>
                <w:szCs w:val="18"/>
                <w:lang w:val="es-419" w:eastAsia="es-419"/>
              </w:rPr>
            </w:pPr>
            <w:r w:rsidRPr="006F0BB0">
              <w:rPr>
                <w:sz w:val="18"/>
                <w:szCs w:val="18"/>
                <w:lang w:val="es-419" w:eastAsia="es-419"/>
              </w:rPr>
              <w:t>109,3%</w:t>
            </w:r>
          </w:p>
        </w:tc>
      </w:tr>
      <w:tr w:rsidR="006F0BB0" w:rsidRPr="006F0BB0" w14:paraId="79D35CDC"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5CF90F" w14:textId="77777777" w:rsidR="006F0BB0" w:rsidRPr="006F0BB0" w:rsidRDefault="006F0BB0" w:rsidP="007D1DBA">
            <w:pPr>
              <w:jc w:val="left"/>
              <w:rPr>
                <w:sz w:val="18"/>
                <w:szCs w:val="18"/>
                <w:lang w:val="es-419" w:eastAsia="es-419"/>
              </w:rPr>
            </w:pPr>
            <w:r w:rsidRPr="006F0BB0">
              <w:rPr>
                <w:sz w:val="18"/>
                <w:szCs w:val="18"/>
                <w:lang w:val="es-419" w:eastAsia="es-419"/>
              </w:rPr>
              <w:t>Seychelles</w:t>
            </w:r>
          </w:p>
        </w:tc>
        <w:tc>
          <w:tcPr>
            <w:tcW w:w="950" w:type="dxa"/>
            <w:tcBorders>
              <w:top w:val="nil"/>
              <w:left w:val="nil"/>
              <w:bottom w:val="single" w:sz="4" w:space="0" w:color="auto"/>
              <w:right w:val="single" w:sz="4" w:space="0" w:color="auto"/>
            </w:tcBorders>
            <w:shd w:val="clear" w:color="auto" w:fill="auto"/>
            <w:noWrap/>
            <w:hideMark/>
          </w:tcPr>
          <w:p w14:paraId="37CB7736" w14:textId="77777777" w:rsidR="006F0BB0" w:rsidRPr="006F0BB0" w:rsidRDefault="006F0BB0" w:rsidP="007D1DBA">
            <w:pPr>
              <w:jc w:val="right"/>
              <w:rPr>
                <w:sz w:val="18"/>
                <w:szCs w:val="18"/>
                <w:lang w:val="es-419" w:eastAsia="es-419"/>
              </w:rPr>
            </w:pPr>
            <w:r w:rsidRPr="006F0BB0">
              <w:rPr>
                <w:sz w:val="18"/>
                <w:szCs w:val="18"/>
                <w:lang w:val="es-419" w:eastAsia="es-419"/>
              </w:rPr>
              <w:t>227 367</w:t>
            </w:r>
          </w:p>
        </w:tc>
        <w:tc>
          <w:tcPr>
            <w:tcW w:w="950" w:type="dxa"/>
            <w:tcBorders>
              <w:top w:val="nil"/>
              <w:left w:val="nil"/>
              <w:bottom w:val="single" w:sz="4" w:space="0" w:color="auto"/>
              <w:right w:val="single" w:sz="4" w:space="0" w:color="auto"/>
            </w:tcBorders>
            <w:shd w:val="clear" w:color="auto" w:fill="auto"/>
            <w:noWrap/>
            <w:hideMark/>
          </w:tcPr>
          <w:p w14:paraId="13A92664" w14:textId="77777777" w:rsidR="006F0BB0" w:rsidRPr="006F0BB0" w:rsidRDefault="006F0BB0" w:rsidP="007D1DBA">
            <w:pPr>
              <w:jc w:val="right"/>
              <w:rPr>
                <w:sz w:val="18"/>
                <w:szCs w:val="18"/>
                <w:lang w:val="es-419" w:eastAsia="es-419"/>
              </w:rPr>
            </w:pPr>
            <w:r w:rsidRPr="006F0BB0">
              <w:rPr>
                <w:sz w:val="18"/>
                <w:szCs w:val="18"/>
                <w:lang w:val="es-419" w:eastAsia="es-419"/>
              </w:rPr>
              <w:t>231 914</w:t>
            </w:r>
          </w:p>
        </w:tc>
        <w:tc>
          <w:tcPr>
            <w:tcW w:w="950" w:type="dxa"/>
            <w:tcBorders>
              <w:top w:val="nil"/>
              <w:left w:val="nil"/>
              <w:bottom w:val="single" w:sz="4" w:space="0" w:color="auto"/>
              <w:right w:val="single" w:sz="4" w:space="0" w:color="auto"/>
            </w:tcBorders>
            <w:shd w:val="clear" w:color="auto" w:fill="auto"/>
            <w:noWrap/>
            <w:hideMark/>
          </w:tcPr>
          <w:p w14:paraId="5B3280A6" w14:textId="77777777" w:rsidR="006F0BB0" w:rsidRPr="006F0BB0" w:rsidRDefault="006F0BB0" w:rsidP="007D1DBA">
            <w:pPr>
              <w:jc w:val="right"/>
              <w:rPr>
                <w:sz w:val="18"/>
                <w:szCs w:val="18"/>
                <w:lang w:val="es-419" w:eastAsia="es-419"/>
              </w:rPr>
            </w:pPr>
            <w:r w:rsidRPr="006F0BB0">
              <w:rPr>
                <w:sz w:val="18"/>
                <w:szCs w:val="18"/>
                <w:lang w:val="es-419" w:eastAsia="es-419"/>
              </w:rPr>
              <w:t>236 553</w:t>
            </w:r>
          </w:p>
        </w:tc>
        <w:tc>
          <w:tcPr>
            <w:tcW w:w="978" w:type="dxa"/>
            <w:tcBorders>
              <w:top w:val="nil"/>
              <w:left w:val="nil"/>
              <w:bottom w:val="single" w:sz="4" w:space="0" w:color="auto"/>
              <w:right w:val="single" w:sz="4" w:space="0" w:color="auto"/>
            </w:tcBorders>
            <w:shd w:val="clear" w:color="auto" w:fill="auto"/>
            <w:noWrap/>
            <w:hideMark/>
          </w:tcPr>
          <w:p w14:paraId="3B7E5498" w14:textId="77777777" w:rsidR="006F0BB0" w:rsidRPr="006F0BB0" w:rsidRDefault="006F0BB0" w:rsidP="007D1DBA">
            <w:pPr>
              <w:jc w:val="right"/>
              <w:rPr>
                <w:sz w:val="18"/>
                <w:szCs w:val="18"/>
                <w:lang w:val="es-419" w:eastAsia="es-419"/>
              </w:rPr>
            </w:pPr>
            <w:r w:rsidRPr="006F0BB0">
              <w:rPr>
                <w:sz w:val="18"/>
                <w:szCs w:val="18"/>
                <w:lang w:val="es-419" w:eastAsia="es-419"/>
              </w:rPr>
              <w:t>241 284</w:t>
            </w:r>
          </w:p>
        </w:tc>
        <w:tc>
          <w:tcPr>
            <w:tcW w:w="950" w:type="dxa"/>
            <w:tcBorders>
              <w:top w:val="nil"/>
              <w:left w:val="nil"/>
              <w:bottom w:val="single" w:sz="4" w:space="0" w:color="auto"/>
              <w:right w:val="single" w:sz="4" w:space="0" w:color="auto"/>
            </w:tcBorders>
            <w:shd w:val="clear" w:color="auto" w:fill="auto"/>
            <w:noWrap/>
            <w:hideMark/>
          </w:tcPr>
          <w:p w14:paraId="78802175" w14:textId="77777777" w:rsidR="006F0BB0" w:rsidRPr="006F0BB0" w:rsidRDefault="006F0BB0" w:rsidP="007D1DBA">
            <w:pPr>
              <w:jc w:val="right"/>
              <w:rPr>
                <w:sz w:val="18"/>
                <w:szCs w:val="18"/>
                <w:lang w:val="es-419" w:eastAsia="es-419"/>
              </w:rPr>
            </w:pPr>
            <w:r w:rsidRPr="006F0BB0">
              <w:rPr>
                <w:sz w:val="18"/>
                <w:szCs w:val="18"/>
                <w:lang w:val="es-419" w:eastAsia="es-419"/>
              </w:rPr>
              <w:t>265 412</w:t>
            </w:r>
          </w:p>
        </w:tc>
        <w:tc>
          <w:tcPr>
            <w:tcW w:w="950" w:type="dxa"/>
            <w:tcBorders>
              <w:top w:val="nil"/>
              <w:left w:val="nil"/>
              <w:bottom w:val="single" w:sz="4" w:space="0" w:color="auto"/>
              <w:right w:val="single" w:sz="4" w:space="0" w:color="auto"/>
            </w:tcBorders>
            <w:shd w:val="clear" w:color="auto" w:fill="auto"/>
            <w:noWrap/>
            <w:hideMark/>
          </w:tcPr>
          <w:p w14:paraId="66908854" w14:textId="77777777" w:rsidR="006F0BB0" w:rsidRPr="006F0BB0" w:rsidRDefault="006F0BB0" w:rsidP="007D1DBA">
            <w:pPr>
              <w:jc w:val="right"/>
              <w:rPr>
                <w:sz w:val="18"/>
                <w:szCs w:val="18"/>
                <w:lang w:val="es-419" w:eastAsia="es-419"/>
              </w:rPr>
            </w:pPr>
            <w:r w:rsidRPr="006F0BB0">
              <w:rPr>
                <w:sz w:val="18"/>
                <w:szCs w:val="18"/>
                <w:lang w:val="es-419" w:eastAsia="es-419"/>
              </w:rPr>
              <w:t>291 953</w:t>
            </w:r>
          </w:p>
        </w:tc>
        <w:tc>
          <w:tcPr>
            <w:tcW w:w="1076" w:type="dxa"/>
            <w:tcBorders>
              <w:top w:val="nil"/>
              <w:left w:val="nil"/>
              <w:bottom w:val="single" w:sz="4" w:space="0" w:color="auto"/>
              <w:right w:val="single" w:sz="4" w:space="0" w:color="auto"/>
            </w:tcBorders>
            <w:shd w:val="clear" w:color="auto" w:fill="auto"/>
            <w:noWrap/>
            <w:hideMark/>
          </w:tcPr>
          <w:p w14:paraId="51CADE0C" w14:textId="77777777" w:rsidR="006F0BB0" w:rsidRPr="006F0BB0" w:rsidRDefault="006F0BB0" w:rsidP="007D1DBA">
            <w:pPr>
              <w:jc w:val="right"/>
              <w:rPr>
                <w:sz w:val="18"/>
                <w:szCs w:val="18"/>
                <w:lang w:val="es-419" w:eastAsia="es-419"/>
              </w:rPr>
            </w:pPr>
            <w:r w:rsidRPr="006F0BB0">
              <w:rPr>
                <w:sz w:val="18"/>
                <w:szCs w:val="18"/>
                <w:lang w:val="es-419" w:eastAsia="es-419"/>
              </w:rPr>
              <w:t>236 584</w:t>
            </w:r>
          </w:p>
        </w:tc>
        <w:tc>
          <w:tcPr>
            <w:tcW w:w="1034" w:type="dxa"/>
            <w:tcBorders>
              <w:top w:val="nil"/>
              <w:left w:val="nil"/>
              <w:bottom w:val="single" w:sz="4" w:space="0" w:color="auto"/>
              <w:right w:val="single" w:sz="4" w:space="0" w:color="auto"/>
            </w:tcBorders>
            <w:shd w:val="clear" w:color="auto" w:fill="auto"/>
            <w:noWrap/>
            <w:hideMark/>
          </w:tcPr>
          <w:p w14:paraId="6EB562E6" w14:textId="77777777" w:rsidR="006F0BB0" w:rsidRPr="006F0BB0" w:rsidRDefault="006F0BB0" w:rsidP="007D1DBA">
            <w:pPr>
              <w:jc w:val="right"/>
              <w:rPr>
                <w:sz w:val="18"/>
                <w:szCs w:val="18"/>
                <w:lang w:val="es-419" w:eastAsia="es-419"/>
              </w:rPr>
            </w:pPr>
            <w:r w:rsidRPr="006F0BB0">
              <w:rPr>
                <w:sz w:val="18"/>
                <w:szCs w:val="18"/>
                <w:lang w:val="es-419" w:eastAsia="es-419"/>
              </w:rPr>
              <w:t>265 713</w:t>
            </w:r>
          </w:p>
        </w:tc>
        <w:tc>
          <w:tcPr>
            <w:tcW w:w="1181" w:type="dxa"/>
            <w:tcBorders>
              <w:top w:val="nil"/>
              <w:left w:val="nil"/>
              <w:bottom w:val="single" w:sz="4" w:space="0" w:color="auto"/>
              <w:right w:val="single" w:sz="4" w:space="0" w:color="auto"/>
            </w:tcBorders>
            <w:shd w:val="clear" w:color="auto" w:fill="auto"/>
            <w:noWrap/>
            <w:hideMark/>
          </w:tcPr>
          <w:p w14:paraId="3FA00B04" w14:textId="77777777" w:rsidR="006F0BB0" w:rsidRPr="006F0BB0" w:rsidRDefault="006F0BB0" w:rsidP="007D1DBA">
            <w:pPr>
              <w:jc w:val="right"/>
              <w:rPr>
                <w:sz w:val="18"/>
                <w:szCs w:val="18"/>
                <w:lang w:val="es-419" w:eastAsia="es-419"/>
              </w:rPr>
            </w:pPr>
            <w:r w:rsidRPr="006F0BB0">
              <w:rPr>
                <w:sz w:val="18"/>
                <w:szCs w:val="18"/>
                <w:lang w:val="es-419" w:eastAsia="es-419"/>
              </w:rPr>
              <w:t>109,9%</w:t>
            </w:r>
          </w:p>
        </w:tc>
      </w:tr>
      <w:tr w:rsidR="006F0BB0" w:rsidRPr="006F0BB0" w14:paraId="69849D0A"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9E5DE8" w14:textId="77777777" w:rsidR="006F0BB0" w:rsidRPr="006F0BB0" w:rsidRDefault="006F0BB0" w:rsidP="007D1DBA">
            <w:pPr>
              <w:jc w:val="left"/>
              <w:rPr>
                <w:sz w:val="18"/>
                <w:szCs w:val="18"/>
                <w:lang w:val="es-419" w:eastAsia="es-419"/>
              </w:rPr>
            </w:pPr>
            <w:proofErr w:type="spellStart"/>
            <w:r w:rsidRPr="006F0BB0">
              <w:rPr>
                <w:sz w:val="18"/>
                <w:szCs w:val="18"/>
                <w:lang w:val="es-419" w:eastAsia="es-419"/>
              </w:rPr>
              <w:t>Rwanda</w:t>
            </w:r>
            <w:proofErr w:type="spellEnd"/>
          </w:p>
        </w:tc>
        <w:tc>
          <w:tcPr>
            <w:tcW w:w="950" w:type="dxa"/>
            <w:tcBorders>
              <w:top w:val="nil"/>
              <w:left w:val="nil"/>
              <w:bottom w:val="single" w:sz="4" w:space="0" w:color="auto"/>
              <w:right w:val="single" w:sz="4" w:space="0" w:color="auto"/>
            </w:tcBorders>
            <w:shd w:val="clear" w:color="auto" w:fill="auto"/>
            <w:noWrap/>
            <w:hideMark/>
          </w:tcPr>
          <w:p w14:paraId="22855C08" w14:textId="77777777" w:rsidR="006F0BB0" w:rsidRPr="006F0BB0" w:rsidRDefault="006F0BB0" w:rsidP="007D1DBA">
            <w:pPr>
              <w:jc w:val="right"/>
              <w:rPr>
                <w:sz w:val="18"/>
                <w:szCs w:val="18"/>
                <w:lang w:val="es-419" w:eastAsia="es-419"/>
              </w:rPr>
            </w:pPr>
            <w:r w:rsidRPr="006F0BB0">
              <w:rPr>
                <w:sz w:val="18"/>
                <w:szCs w:val="18"/>
                <w:lang w:val="es-419" w:eastAsia="es-419"/>
              </w:rPr>
              <w:t>700 970</w:t>
            </w:r>
          </w:p>
        </w:tc>
        <w:tc>
          <w:tcPr>
            <w:tcW w:w="950" w:type="dxa"/>
            <w:tcBorders>
              <w:top w:val="nil"/>
              <w:left w:val="nil"/>
              <w:bottom w:val="single" w:sz="4" w:space="0" w:color="auto"/>
              <w:right w:val="single" w:sz="4" w:space="0" w:color="auto"/>
            </w:tcBorders>
            <w:shd w:val="clear" w:color="auto" w:fill="auto"/>
            <w:noWrap/>
            <w:hideMark/>
          </w:tcPr>
          <w:p w14:paraId="71287512" w14:textId="77777777" w:rsidR="006F0BB0" w:rsidRPr="006F0BB0" w:rsidRDefault="006F0BB0" w:rsidP="007D1DBA">
            <w:pPr>
              <w:jc w:val="right"/>
              <w:rPr>
                <w:sz w:val="18"/>
                <w:szCs w:val="18"/>
                <w:lang w:val="es-419" w:eastAsia="es-419"/>
              </w:rPr>
            </w:pPr>
            <w:r w:rsidRPr="006F0BB0">
              <w:rPr>
                <w:sz w:val="18"/>
                <w:szCs w:val="18"/>
                <w:lang w:val="es-419" w:eastAsia="es-419"/>
              </w:rPr>
              <w:t>714 989</w:t>
            </w:r>
          </w:p>
        </w:tc>
        <w:tc>
          <w:tcPr>
            <w:tcW w:w="950" w:type="dxa"/>
            <w:tcBorders>
              <w:top w:val="nil"/>
              <w:left w:val="nil"/>
              <w:bottom w:val="single" w:sz="4" w:space="0" w:color="auto"/>
              <w:right w:val="single" w:sz="4" w:space="0" w:color="auto"/>
            </w:tcBorders>
            <w:shd w:val="clear" w:color="auto" w:fill="auto"/>
            <w:noWrap/>
            <w:hideMark/>
          </w:tcPr>
          <w:p w14:paraId="38202F65" w14:textId="77777777" w:rsidR="006F0BB0" w:rsidRPr="006F0BB0" w:rsidRDefault="006F0BB0" w:rsidP="007D1DBA">
            <w:pPr>
              <w:jc w:val="right"/>
              <w:rPr>
                <w:sz w:val="18"/>
                <w:szCs w:val="18"/>
                <w:lang w:val="es-419" w:eastAsia="es-419"/>
              </w:rPr>
            </w:pPr>
            <w:r w:rsidRPr="006F0BB0">
              <w:rPr>
                <w:sz w:val="18"/>
                <w:szCs w:val="18"/>
                <w:lang w:val="es-419" w:eastAsia="es-419"/>
              </w:rPr>
              <w:t>729 289</w:t>
            </w:r>
          </w:p>
        </w:tc>
        <w:tc>
          <w:tcPr>
            <w:tcW w:w="978" w:type="dxa"/>
            <w:tcBorders>
              <w:top w:val="nil"/>
              <w:left w:val="nil"/>
              <w:bottom w:val="single" w:sz="4" w:space="0" w:color="auto"/>
              <w:right w:val="single" w:sz="4" w:space="0" w:color="auto"/>
            </w:tcBorders>
            <w:shd w:val="clear" w:color="auto" w:fill="auto"/>
            <w:noWrap/>
            <w:hideMark/>
          </w:tcPr>
          <w:p w14:paraId="45C71945" w14:textId="77777777" w:rsidR="006F0BB0" w:rsidRPr="006F0BB0" w:rsidRDefault="006F0BB0" w:rsidP="007D1DBA">
            <w:pPr>
              <w:jc w:val="right"/>
              <w:rPr>
                <w:sz w:val="18"/>
                <w:szCs w:val="18"/>
                <w:lang w:val="es-419" w:eastAsia="es-419"/>
              </w:rPr>
            </w:pPr>
            <w:r w:rsidRPr="006F0BB0">
              <w:rPr>
                <w:sz w:val="18"/>
                <w:szCs w:val="18"/>
                <w:lang w:val="es-419" w:eastAsia="es-419"/>
              </w:rPr>
              <w:t>743 875</w:t>
            </w:r>
          </w:p>
        </w:tc>
        <w:tc>
          <w:tcPr>
            <w:tcW w:w="950" w:type="dxa"/>
            <w:tcBorders>
              <w:top w:val="nil"/>
              <w:left w:val="nil"/>
              <w:bottom w:val="single" w:sz="4" w:space="0" w:color="auto"/>
              <w:right w:val="single" w:sz="4" w:space="0" w:color="auto"/>
            </w:tcBorders>
            <w:shd w:val="clear" w:color="auto" w:fill="auto"/>
            <w:noWrap/>
            <w:hideMark/>
          </w:tcPr>
          <w:p w14:paraId="02215545" w14:textId="77777777" w:rsidR="006F0BB0" w:rsidRPr="006F0BB0" w:rsidRDefault="006F0BB0" w:rsidP="007D1DBA">
            <w:pPr>
              <w:jc w:val="right"/>
              <w:rPr>
                <w:sz w:val="18"/>
                <w:szCs w:val="18"/>
                <w:lang w:val="es-419" w:eastAsia="es-419"/>
              </w:rPr>
            </w:pPr>
            <w:r w:rsidRPr="006F0BB0">
              <w:rPr>
                <w:sz w:val="18"/>
                <w:szCs w:val="18"/>
                <w:lang w:val="es-419" w:eastAsia="es-419"/>
              </w:rPr>
              <w:t>818 262</w:t>
            </w:r>
          </w:p>
        </w:tc>
        <w:tc>
          <w:tcPr>
            <w:tcW w:w="950" w:type="dxa"/>
            <w:tcBorders>
              <w:top w:val="nil"/>
              <w:left w:val="nil"/>
              <w:bottom w:val="single" w:sz="4" w:space="0" w:color="auto"/>
              <w:right w:val="single" w:sz="4" w:space="0" w:color="auto"/>
            </w:tcBorders>
            <w:shd w:val="clear" w:color="auto" w:fill="auto"/>
            <w:noWrap/>
            <w:hideMark/>
          </w:tcPr>
          <w:p w14:paraId="53D0EC71" w14:textId="77777777" w:rsidR="006F0BB0" w:rsidRPr="006F0BB0" w:rsidRDefault="006F0BB0" w:rsidP="007D1DBA">
            <w:pPr>
              <w:jc w:val="right"/>
              <w:rPr>
                <w:sz w:val="18"/>
                <w:szCs w:val="18"/>
                <w:lang w:val="es-419" w:eastAsia="es-419"/>
              </w:rPr>
            </w:pPr>
            <w:r w:rsidRPr="006F0BB0">
              <w:rPr>
                <w:sz w:val="18"/>
                <w:szCs w:val="18"/>
                <w:lang w:val="es-419" w:eastAsia="es-419"/>
              </w:rPr>
              <w:t>900 089</w:t>
            </w:r>
          </w:p>
        </w:tc>
        <w:tc>
          <w:tcPr>
            <w:tcW w:w="1076" w:type="dxa"/>
            <w:tcBorders>
              <w:top w:val="nil"/>
              <w:left w:val="nil"/>
              <w:bottom w:val="single" w:sz="4" w:space="0" w:color="auto"/>
              <w:right w:val="single" w:sz="4" w:space="0" w:color="auto"/>
            </w:tcBorders>
            <w:shd w:val="clear" w:color="auto" w:fill="auto"/>
            <w:noWrap/>
            <w:hideMark/>
          </w:tcPr>
          <w:p w14:paraId="110B839F" w14:textId="77777777" w:rsidR="006F0BB0" w:rsidRPr="006F0BB0" w:rsidRDefault="006F0BB0" w:rsidP="007D1DBA">
            <w:pPr>
              <w:jc w:val="right"/>
              <w:rPr>
                <w:sz w:val="18"/>
                <w:szCs w:val="18"/>
                <w:lang w:val="es-419" w:eastAsia="es-419"/>
              </w:rPr>
            </w:pPr>
            <w:r w:rsidRPr="006F0BB0">
              <w:rPr>
                <w:sz w:val="18"/>
                <w:szCs w:val="18"/>
                <w:lang w:val="es-419" w:eastAsia="es-419"/>
              </w:rPr>
              <w:t>729 385</w:t>
            </w:r>
          </w:p>
        </w:tc>
        <w:tc>
          <w:tcPr>
            <w:tcW w:w="1034" w:type="dxa"/>
            <w:tcBorders>
              <w:top w:val="nil"/>
              <w:left w:val="nil"/>
              <w:bottom w:val="single" w:sz="4" w:space="0" w:color="auto"/>
              <w:right w:val="single" w:sz="4" w:space="0" w:color="auto"/>
            </w:tcBorders>
            <w:shd w:val="clear" w:color="auto" w:fill="auto"/>
            <w:noWrap/>
            <w:hideMark/>
          </w:tcPr>
          <w:p w14:paraId="01C529B5" w14:textId="77777777" w:rsidR="006F0BB0" w:rsidRPr="006F0BB0" w:rsidRDefault="006F0BB0" w:rsidP="007D1DBA">
            <w:pPr>
              <w:jc w:val="right"/>
              <w:rPr>
                <w:sz w:val="18"/>
                <w:szCs w:val="18"/>
                <w:lang w:val="es-419" w:eastAsia="es-419"/>
              </w:rPr>
            </w:pPr>
            <w:r w:rsidRPr="006F0BB0">
              <w:rPr>
                <w:sz w:val="18"/>
                <w:szCs w:val="18"/>
                <w:lang w:val="es-419" w:eastAsia="es-419"/>
              </w:rPr>
              <w:t>813 423</w:t>
            </w:r>
          </w:p>
        </w:tc>
        <w:tc>
          <w:tcPr>
            <w:tcW w:w="1181" w:type="dxa"/>
            <w:tcBorders>
              <w:top w:val="nil"/>
              <w:left w:val="nil"/>
              <w:bottom w:val="single" w:sz="4" w:space="0" w:color="auto"/>
              <w:right w:val="single" w:sz="4" w:space="0" w:color="auto"/>
            </w:tcBorders>
            <w:shd w:val="clear" w:color="auto" w:fill="auto"/>
            <w:noWrap/>
            <w:hideMark/>
          </w:tcPr>
          <w:p w14:paraId="03DDA80D" w14:textId="77777777" w:rsidR="006F0BB0" w:rsidRPr="006F0BB0" w:rsidRDefault="006F0BB0" w:rsidP="007D1DBA">
            <w:pPr>
              <w:jc w:val="right"/>
              <w:rPr>
                <w:sz w:val="18"/>
                <w:szCs w:val="18"/>
                <w:lang w:val="es-419" w:eastAsia="es-419"/>
              </w:rPr>
            </w:pPr>
            <w:r w:rsidRPr="006F0BB0">
              <w:rPr>
                <w:sz w:val="18"/>
                <w:szCs w:val="18"/>
                <w:lang w:val="es-419" w:eastAsia="es-419"/>
              </w:rPr>
              <w:t>110,7%</w:t>
            </w:r>
          </w:p>
        </w:tc>
      </w:tr>
      <w:tr w:rsidR="006F0BB0" w:rsidRPr="006F0BB0" w14:paraId="434FDAFF"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8980D0" w14:textId="77777777" w:rsidR="006F0BB0" w:rsidRPr="006F0BB0" w:rsidRDefault="006F0BB0" w:rsidP="007D1DBA">
            <w:pPr>
              <w:jc w:val="left"/>
              <w:rPr>
                <w:sz w:val="18"/>
                <w:szCs w:val="18"/>
                <w:lang w:val="es-419" w:eastAsia="es-419"/>
              </w:rPr>
            </w:pPr>
            <w:r w:rsidRPr="006F0BB0">
              <w:rPr>
                <w:sz w:val="18"/>
                <w:szCs w:val="18"/>
                <w:lang w:val="es-419" w:eastAsia="es-419"/>
              </w:rPr>
              <w:t>Albania</w:t>
            </w:r>
          </w:p>
        </w:tc>
        <w:tc>
          <w:tcPr>
            <w:tcW w:w="950" w:type="dxa"/>
            <w:tcBorders>
              <w:top w:val="nil"/>
              <w:left w:val="nil"/>
              <w:bottom w:val="single" w:sz="4" w:space="0" w:color="auto"/>
              <w:right w:val="single" w:sz="4" w:space="0" w:color="auto"/>
            </w:tcBorders>
            <w:shd w:val="clear" w:color="auto" w:fill="auto"/>
            <w:noWrap/>
            <w:hideMark/>
          </w:tcPr>
          <w:p w14:paraId="791F5D3D" w14:textId="77777777" w:rsidR="006F0BB0" w:rsidRPr="006F0BB0" w:rsidRDefault="006F0BB0" w:rsidP="007D1DBA">
            <w:pPr>
              <w:jc w:val="right"/>
              <w:rPr>
                <w:sz w:val="18"/>
                <w:szCs w:val="18"/>
                <w:lang w:val="es-419" w:eastAsia="es-419"/>
              </w:rPr>
            </w:pPr>
            <w:r w:rsidRPr="006F0BB0">
              <w:rPr>
                <w:sz w:val="18"/>
                <w:szCs w:val="18"/>
                <w:lang w:val="es-419" w:eastAsia="es-419"/>
              </w:rPr>
              <w:t>1 091 972</w:t>
            </w:r>
          </w:p>
        </w:tc>
        <w:tc>
          <w:tcPr>
            <w:tcW w:w="950" w:type="dxa"/>
            <w:tcBorders>
              <w:top w:val="nil"/>
              <w:left w:val="nil"/>
              <w:bottom w:val="single" w:sz="4" w:space="0" w:color="auto"/>
              <w:right w:val="single" w:sz="4" w:space="0" w:color="auto"/>
            </w:tcBorders>
            <w:shd w:val="clear" w:color="auto" w:fill="auto"/>
            <w:noWrap/>
            <w:hideMark/>
          </w:tcPr>
          <w:p w14:paraId="4348D769" w14:textId="77777777" w:rsidR="006F0BB0" w:rsidRPr="006F0BB0" w:rsidRDefault="006F0BB0" w:rsidP="007D1DBA">
            <w:pPr>
              <w:jc w:val="right"/>
              <w:rPr>
                <w:sz w:val="18"/>
                <w:szCs w:val="18"/>
                <w:lang w:val="es-419" w:eastAsia="es-419"/>
              </w:rPr>
            </w:pPr>
            <w:r w:rsidRPr="006F0BB0">
              <w:rPr>
                <w:sz w:val="18"/>
                <w:szCs w:val="18"/>
                <w:lang w:val="es-419" w:eastAsia="es-419"/>
              </w:rPr>
              <w:t>1 113 811</w:t>
            </w:r>
          </w:p>
        </w:tc>
        <w:tc>
          <w:tcPr>
            <w:tcW w:w="950" w:type="dxa"/>
            <w:tcBorders>
              <w:top w:val="nil"/>
              <w:left w:val="nil"/>
              <w:bottom w:val="single" w:sz="4" w:space="0" w:color="auto"/>
              <w:right w:val="single" w:sz="4" w:space="0" w:color="auto"/>
            </w:tcBorders>
            <w:shd w:val="clear" w:color="auto" w:fill="auto"/>
            <w:noWrap/>
            <w:hideMark/>
          </w:tcPr>
          <w:p w14:paraId="5C7CA07F" w14:textId="77777777" w:rsidR="006F0BB0" w:rsidRPr="006F0BB0" w:rsidRDefault="006F0BB0" w:rsidP="007D1DBA">
            <w:pPr>
              <w:jc w:val="right"/>
              <w:rPr>
                <w:sz w:val="18"/>
                <w:szCs w:val="18"/>
                <w:lang w:val="es-419" w:eastAsia="es-419"/>
              </w:rPr>
            </w:pPr>
            <w:r w:rsidRPr="006F0BB0">
              <w:rPr>
                <w:sz w:val="18"/>
                <w:szCs w:val="18"/>
                <w:lang w:val="es-419" w:eastAsia="es-419"/>
              </w:rPr>
              <w:t>1 136 088</w:t>
            </w:r>
          </w:p>
        </w:tc>
        <w:tc>
          <w:tcPr>
            <w:tcW w:w="978" w:type="dxa"/>
            <w:tcBorders>
              <w:top w:val="nil"/>
              <w:left w:val="nil"/>
              <w:bottom w:val="single" w:sz="4" w:space="0" w:color="auto"/>
              <w:right w:val="single" w:sz="4" w:space="0" w:color="auto"/>
            </w:tcBorders>
            <w:shd w:val="clear" w:color="auto" w:fill="auto"/>
            <w:noWrap/>
            <w:hideMark/>
          </w:tcPr>
          <w:p w14:paraId="342621AC" w14:textId="77777777" w:rsidR="006F0BB0" w:rsidRPr="006F0BB0" w:rsidRDefault="006F0BB0" w:rsidP="007D1DBA">
            <w:pPr>
              <w:jc w:val="right"/>
              <w:rPr>
                <w:sz w:val="18"/>
                <w:szCs w:val="18"/>
                <w:lang w:val="es-419" w:eastAsia="es-419"/>
              </w:rPr>
            </w:pPr>
            <w:r w:rsidRPr="006F0BB0">
              <w:rPr>
                <w:sz w:val="18"/>
                <w:szCs w:val="18"/>
                <w:lang w:val="es-419" w:eastAsia="es-419"/>
              </w:rPr>
              <w:t>1 158 809</w:t>
            </w:r>
          </w:p>
        </w:tc>
        <w:tc>
          <w:tcPr>
            <w:tcW w:w="950" w:type="dxa"/>
            <w:tcBorders>
              <w:top w:val="nil"/>
              <w:left w:val="nil"/>
              <w:bottom w:val="single" w:sz="4" w:space="0" w:color="auto"/>
              <w:right w:val="single" w:sz="4" w:space="0" w:color="auto"/>
            </w:tcBorders>
            <w:shd w:val="clear" w:color="auto" w:fill="auto"/>
            <w:noWrap/>
            <w:hideMark/>
          </w:tcPr>
          <w:p w14:paraId="35E68ECA" w14:textId="77777777" w:rsidR="006F0BB0" w:rsidRPr="006F0BB0" w:rsidRDefault="006F0BB0" w:rsidP="007D1DBA">
            <w:pPr>
              <w:jc w:val="right"/>
              <w:rPr>
                <w:sz w:val="18"/>
                <w:szCs w:val="18"/>
                <w:lang w:val="es-419" w:eastAsia="es-419"/>
              </w:rPr>
            </w:pPr>
            <w:r w:rsidRPr="006F0BB0">
              <w:rPr>
                <w:sz w:val="18"/>
                <w:szCs w:val="18"/>
                <w:lang w:val="es-419" w:eastAsia="es-419"/>
              </w:rPr>
              <w:t>1 274 690</w:t>
            </w:r>
          </w:p>
        </w:tc>
        <w:tc>
          <w:tcPr>
            <w:tcW w:w="950" w:type="dxa"/>
            <w:tcBorders>
              <w:top w:val="nil"/>
              <w:left w:val="nil"/>
              <w:bottom w:val="single" w:sz="4" w:space="0" w:color="auto"/>
              <w:right w:val="single" w:sz="4" w:space="0" w:color="auto"/>
            </w:tcBorders>
            <w:shd w:val="clear" w:color="auto" w:fill="auto"/>
            <w:noWrap/>
            <w:hideMark/>
          </w:tcPr>
          <w:p w14:paraId="6900A3E9" w14:textId="77777777" w:rsidR="006F0BB0" w:rsidRPr="006F0BB0" w:rsidRDefault="006F0BB0" w:rsidP="007D1DBA">
            <w:pPr>
              <w:jc w:val="right"/>
              <w:rPr>
                <w:sz w:val="18"/>
                <w:szCs w:val="18"/>
                <w:lang w:val="es-419" w:eastAsia="es-419"/>
              </w:rPr>
            </w:pPr>
            <w:r w:rsidRPr="006F0BB0">
              <w:rPr>
                <w:sz w:val="18"/>
                <w:szCs w:val="18"/>
                <w:lang w:val="es-419" w:eastAsia="es-419"/>
              </w:rPr>
              <w:t>1 402 159</w:t>
            </w:r>
          </w:p>
        </w:tc>
        <w:tc>
          <w:tcPr>
            <w:tcW w:w="1076" w:type="dxa"/>
            <w:tcBorders>
              <w:top w:val="nil"/>
              <w:left w:val="nil"/>
              <w:bottom w:val="single" w:sz="4" w:space="0" w:color="auto"/>
              <w:right w:val="single" w:sz="4" w:space="0" w:color="auto"/>
            </w:tcBorders>
            <w:shd w:val="clear" w:color="auto" w:fill="auto"/>
            <w:noWrap/>
            <w:hideMark/>
          </w:tcPr>
          <w:p w14:paraId="589D1B41" w14:textId="77777777" w:rsidR="006F0BB0" w:rsidRPr="006F0BB0" w:rsidRDefault="006F0BB0" w:rsidP="007D1DBA">
            <w:pPr>
              <w:jc w:val="right"/>
              <w:rPr>
                <w:sz w:val="18"/>
                <w:szCs w:val="18"/>
                <w:lang w:val="es-419" w:eastAsia="es-419"/>
              </w:rPr>
            </w:pPr>
            <w:r w:rsidRPr="006F0BB0">
              <w:rPr>
                <w:sz w:val="18"/>
                <w:szCs w:val="18"/>
                <w:lang w:val="es-419" w:eastAsia="es-419"/>
              </w:rPr>
              <w:t>1 136 236</w:t>
            </w:r>
          </w:p>
        </w:tc>
        <w:tc>
          <w:tcPr>
            <w:tcW w:w="1034" w:type="dxa"/>
            <w:tcBorders>
              <w:top w:val="nil"/>
              <w:left w:val="nil"/>
              <w:bottom w:val="single" w:sz="4" w:space="0" w:color="auto"/>
              <w:right w:val="single" w:sz="4" w:space="0" w:color="auto"/>
            </w:tcBorders>
            <w:shd w:val="clear" w:color="auto" w:fill="auto"/>
            <w:noWrap/>
            <w:hideMark/>
          </w:tcPr>
          <w:p w14:paraId="1E2B5EE3" w14:textId="77777777" w:rsidR="006F0BB0" w:rsidRPr="006F0BB0" w:rsidRDefault="006F0BB0" w:rsidP="007D1DBA">
            <w:pPr>
              <w:jc w:val="right"/>
              <w:rPr>
                <w:sz w:val="18"/>
                <w:szCs w:val="18"/>
                <w:lang w:val="es-419" w:eastAsia="es-419"/>
              </w:rPr>
            </w:pPr>
            <w:r w:rsidRPr="006F0BB0">
              <w:rPr>
                <w:sz w:val="18"/>
                <w:szCs w:val="18"/>
                <w:lang w:val="es-419" w:eastAsia="es-419"/>
              </w:rPr>
              <w:t>1 263 325</w:t>
            </w:r>
          </w:p>
        </w:tc>
        <w:tc>
          <w:tcPr>
            <w:tcW w:w="1181" w:type="dxa"/>
            <w:tcBorders>
              <w:top w:val="nil"/>
              <w:left w:val="nil"/>
              <w:bottom w:val="single" w:sz="4" w:space="0" w:color="auto"/>
              <w:right w:val="single" w:sz="4" w:space="0" w:color="auto"/>
            </w:tcBorders>
            <w:shd w:val="clear" w:color="auto" w:fill="auto"/>
            <w:noWrap/>
            <w:hideMark/>
          </w:tcPr>
          <w:p w14:paraId="00E3EEE1" w14:textId="77777777" w:rsidR="006F0BB0" w:rsidRPr="006F0BB0" w:rsidRDefault="006F0BB0" w:rsidP="007D1DBA">
            <w:pPr>
              <w:jc w:val="right"/>
              <w:rPr>
                <w:sz w:val="18"/>
                <w:szCs w:val="18"/>
                <w:lang w:val="es-419" w:eastAsia="es-419"/>
              </w:rPr>
            </w:pPr>
            <w:r w:rsidRPr="006F0BB0">
              <w:rPr>
                <w:sz w:val="18"/>
                <w:szCs w:val="18"/>
                <w:lang w:val="es-419" w:eastAsia="es-419"/>
              </w:rPr>
              <w:t>111,0%</w:t>
            </w:r>
          </w:p>
        </w:tc>
      </w:tr>
      <w:tr w:rsidR="006F0BB0" w:rsidRPr="006F0BB0" w14:paraId="18518C46"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913763" w14:textId="77777777" w:rsidR="006F0BB0" w:rsidRPr="006F0BB0" w:rsidRDefault="006F0BB0" w:rsidP="007D1DBA">
            <w:pPr>
              <w:jc w:val="left"/>
              <w:rPr>
                <w:sz w:val="18"/>
                <w:szCs w:val="18"/>
                <w:lang w:val="es-419" w:eastAsia="es-419"/>
              </w:rPr>
            </w:pPr>
            <w:r w:rsidRPr="006F0BB0">
              <w:rPr>
                <w:sz w:val="18"/>
                <w:szCs w:val="18"/>
                <w:lang w:val="es-419" w:eastAsia="es-419"/>
              </w:rPr>
              <w:t>Comoras</w:t>
            </w:r>
          </w:p>
        </w:tc>
        <w:tc>
          <w:tcPr>
            <w:tcW w:w="950" w:type="dxa"/>
            <w:tcBorders>
              <w:top w:val="nil"/>
              <w:left w:val="nil"/>
              <w:bottom w:val="single" w:sz="4" w:space="0" w:color="auto"/>
              <w:right w:val="single" w:sz="4" w:space="0" w:color="auto"/>
            </w:tcBorders>
            <w:shd w:val="clear" w:color="auto" w:fill="auto"/>
            <w:noWrap/>
            <w:hideMark/>
          </w:tcPr>
          <w:p w14:paraId="0306B29A" w14:textId="77777777" w:rsidR="006F0BB0" w:rsidRPr="006F0BB0" w:rsidRDefault="006F0BB0" w:rsidP="007D1DBA">
            <w:pPr>
              <w:jc w:val="right"/>
              <w:rPr>
                <w:sz w:val="18"/>
                <w:szCs w:val="18"/>
                <w:lang w:val="es-419" w:eastAsia="es-419"/>
              </w:rPr>
            </w:pPr>
            <w:r w:rsidRPr="006F0BB0">
              <w:rPr>
                <w:sz w:val="18"/>
                <w:szCs w:val="18"/>
                <w:lang w:val="es-419" w:eastAsia="es-419"/>
              </w:rPr>
              <w:t>34 149</w:t>
            </w:r>
          </w:p>
        </w:tc>
        <w:tc>
          <w:tcPr>
            <w:tcW w:w="950" w:type="dxa"/>
            <w:tcBorders>
              <w:top w:val="nil"/>
              <w:left w:val="nil"/>
              <w:bottom w:val="single" w:sz="4" w:space="0" w:color="auto"/>
              <w:right w:val="single" w:sz="4" w:space="0" w:color="auto"/>
            </w:tcBorders>
            <w:shd w:val="clear" w:color="auto" w:fill="auto"/>
            <w:noWrap/>
            <w:hideMark/>
          </w:tcPr>
          <w:p w14:paraId="32FE650F" w14:textId="77777777" w:rsidR="006F0BB0" w:rsidRPr="006F0BB0" w:rsidRDefault="006F0BB0" w:rsidP="007D1DBA">
            <w:pPr>
              <w:jc w:val="right"/>
              <w:rPr>
                <w:sz w:val="18"/>
                <w:szCs w:val="18"/>
                <w:lang w:val="es-419" w:eastAsia="es-419"/>
              </w:rPr>
            </w:pPr>
            <w:r w:rsidRPr="006F0BB0">
              <w:rPr>
                <w:sz w:val="18"/>
                <w:szCs w:val="18"/>
                <w:lang w:val="es-419" w:eastAsia="es-419"/>
              </w:rPr>
              <w:t>34 832</w:t>
            </w:r>
          </w:p>
        </w:tc>
        <w:tc>
          <w:tcPr>
            <w:tcW w:w="950" w:type="dxa"/>
            <w:tcBorders>
              <w:top w:val="nil"/>
              <w:left w:val="nil"/>
              <w:bottom w:val="single" w:sz="4" w:space="0" w:color="auto"/>
              <w:right w:val="single" w:sz="4" w:space="0" w:color="auto"/>
            </w:tcBorders>
            <w:shd w:val="clear" w:color="auto" w:fill="auto"/>
            <w:noWrap/>
            <w:hideMark/>
          </w:tcPr>
          <w:p w14:paraId="6477C33F" w14:textId="77777777" w:rsidR="006F0BB0" w:rsidRPr="006F0BB0" w:rsidRDefault="006F0BB0" w:rsidP="007D1DBA">
            <w:pPr>
              <w:jc w:val="right"/>
              <w:rPr>
                <w:sz w:val="18"/>
                <w:szCs w:val="18"/>
                <w:lang w:val="es-419" w:eastAsia="es-419"/>
              </w:rPr>
            </w:pPr>
            <w:r w:rsidRPr="006F0BB0">
              <w:rPr>
                <w:sz w:val="18"/>
                <w:szCs w:val="18"/>
                <w:lang w:val="es-419" w:eastAsia="es-419"/>
              </w:rPr>
              <w:t>35 529</w:t>
            </w:r>
          </w:p>
        </w:tc>
        <w:tc>
          <w:tcPr>
            <w:tcW w:w="978" w:type="dxa"/>
            <w:tcBorders>
              <w:top w:val="nil"/>
              <w:left w:val="nil"/>
              <w:bottom w:val="single" w:sz="4" w:space="0" w:color="auto"/>
              <w:right w:val="single" w:sz="4" w:space="0" w:color="auto"/>
            </w:tcBorders>
            <w:shd w:val="clear" w:color="auto" w:fill="auto"/>
            <w:noWrap/>
            <w:hideMark/>
          </w:tcPr>
          <w:p w14:paraId="618A2DB6" w14:textId="77777777" w:rsidR="006F0BB0" w:rsidRPr="006F0BB0" w:rsidRDefault="006F0BB0" w:rsidP="007D1DBA">
            <w:pPr>
              <w:jc w:val="right"/>
              <w:rPr>
                <w:sz w:val="18"/>
                <w:szCs w:val="18"/>
                <w:lang w:val="es-419" w:eastAsia="es-419"/>
              </w:rPr>
            </w:pPr>
            <w:r w:rsidRPr="006F0BB0">
              <w:rPr>
                <w:sz w:val="18"/>
                <w:szCs w:val="18"/>
                <w:lang w:val="es-419" w:eastAsia="es-419"/>
              </w:rPr>
              <w:t>36 239</w:t>
            </w:r>
          </w:p>
        </w:tc>
        <w:tc>
          <w:tcPr>
            <w:tcW w:w="950" w:type="dxa"/>
            <w:tcBorders>
              <w:top w:val="nil"/>
              <w:left w:val="nil"/>
              <w:bottom w:val="single" w:sz="4" w:space="0" w:color="auto"/>
              <w:right w:val="single" w:sz="4" w:space="0" w:color="auto"/>
            </w:tcBorders>
            <w:shd w:val="clear" w:color="auto" w:fill="auto"/>
            <w:noWrap/>
            <w:hideMark/>
          </w:tcPr>
          <w:p w14:paraId="0D08998E" w14:textId="77777777" w:rsidR="006F0BB0" w:rsidRPr="006F0BB0" w:rsidRDefault="006F0BB0" w:rsidP="007D1DBA">
            <w:pPr>
              <w:jc w:val="right"/>
              <w:rPr>
                <w:sz w:val="18"/>
                <w:szCs w:val="18"/>
                <w:lang w:val="es-419" w:eastAsia="es-419"/>
              </w:rPr>
            </w:pPr>
            <w:r w:rsidRPr="006F0BB0">
              <w:rPr>
                <w:sz w:val="18"/>
                <w:szCs w:val="18"/>
                <w:lang w:val="es-419" w:eastAsia="es-419"/>
              </w:rPr>
              <w:t>39 863</w:t>
            </w:r>
          </w:p>
        </w:tc>
        <w:tc>
          <w:tcPr>
            <w:tcW w:w="950" w:type="dxa"/>
            <w:tcBorders>
              <w:top w:val="nil"/>
              <w:left w:val="nil"/>
              <w:bottom w:val="single" w:sz="4" w:space="0" w:color="auto"/>
              <w:right w:val="single" w:sz="4" w:space="0" w:color="auto"/>
            </w:tcBorders>
            <w:shd w:val="clear" w:color="auto" w:fill="auto"/>
            <w:noWrap/>
            <w:hideMark/>
          </w:tcPr>
          <w:p w14:paraId="1DF7886C" w14:textId="77777777" w:rsidR="006F0BB0" w:rsidRPr="006F0BB0" w:rsidRDefault="006F0BB0" w:rsidP="007D1DBA">
            <w:pPr>
              <w:jc w:val="right"/>
              <w:rPr>
                <w:sz w:val="18"/>
                <w:szCs w:val="18"/>
                <w:lang w:val="es-419" w:eastAsia="es-419"/>
              </w:rPr>
            </w:pPr>
            <w:r w:rsidRPr="006F0BB0">
              <w:rPr>
                <w:sz w:val="18"/>
                <w:szCs w:val="18"/>
                <w:lang w:val="es-419" w:eastAsia="es-419"/>
              </w:rPr>
              <w:t>43 849</w:t>
            </w:r>
          </w:p>
        </w:tc>
        <w:tc>
          <w:tcPr>
            <w:tcW w:w="1076" w:type="dxa"/>
            <w:tcBorders>
              <w:top w:val="nil"/>
              <w:left w:val="nil"/>
              <w:bottom w:val="single" w:sz="4" w:space="0" w:color="auto"/>
              <w:right w:val="single" w:sz="4" w:space="0" w:color="auto"/>
            </w:tcBorders>
            <w:shd w:val="clear" w:color="auto" w:fill="auto"/>
            <w:noWrap/>
            <w:hideMark/>
          </w:tcPr>
          <w:p w14:paraId="3C3954AD" w14:textId="77777777" w:rsidR="006F0BB0" w:rsidRPr="006F0BB0" w:rsidRDefault="006F0BB0" w:rsidP="007D1DBA">
            <w:pPr>
              <w:jc w:val="right"/>
              <w:rPr>
                <w:sz w:val="18"/>
                <w:szCs w:val="18"/>
                <w:lang w:val="es-419" w:eastAsia="es-419"/>
              </w:rPr>
            </w:pPr>
            <w:r w:rsidRPr="006F0BB0">
              <w:rPr>
                <w:sz w:val="18"/>
                <w:szCs w:val="18"/>
                <w:lang w:val="es-419" w:eastAsia="es-419"/>
              </w:rPr>
              <w:t>35 533</w:t>
            </w:r>
          </w:p>
        </w:tc>
        <w:tc>
          <w:tcPr>
            <w:tcW w:w="1034" w:type="dxa"/>
            <w:tcBorders>
              <w:top w:val="nil"/>
              <w:left w:val="nil"/>
              <w:bottom w:val="single" w:sz="4" w:space="0" w:color="auto"/>
              <w:right w:val="single" w:sz="4" w:space="0" w:color="auto"/>
            </w:tcBorders>
            <w:shd w:val="clear" w:color="auto" w:fill="auto"/>
            <w:noWrap/>
            <w:hideMark/>
          </w:tcPr>
          <w:p w14:paraId="7E724896" w14:textId="77777777" w:rsidR="006F0BB0" w:rsidRPr="006F0BB0" w:rsidRDefault="006F0BB0" w:rsidP="007D1DBA">
            <w:pPr>
              <w:jc w:val="right"/>
              <w:rPr>
                <w:sz w:val="18"/>
                <w:szCs w:val="18"/>
                <w:lang w:val="es-419" w:eastAsia="es-419"/>
              </w:rPr>
            </w:pPr>
            <w:r w:rsidRPr="006F0BB0">
              <w:rPr>
                <w:sz w:val="18"/>
                <w:szCs w:val="18"/>
                <w:lang w:val="es-419" w:eastAsia="es-419"/>
              </w:rPr>
              <w:t>38 451</w:t>
            </w:r>
          </w:p>
        </w:tc>
        <w:tc>
          <w:tcPr>
            <w:tcW w:w="1181" w:type="dxa"/>
            <w:tcBorders>
              <w:top w:val="nil"/>
              <w:left w:val="nil"/>
              <w:bottom w:val="single" w:sz="4" w:space="0" w:color="auto"/>
              <w:right w:val="single" w:sz="4" w:space="0" w:color="auto"/>
            </w:tcBorders>
            <w:shd w:val="clear" w:color="auto" w:fill="auto"/>
            <w:noWrap/>
            <w:hideMark/>
          </w:tcPr>
          <w:p w14:paraId="0157973C" w14:textId="77777777" w:rsidR="006F0BB0" w:rsidRPr="006F0BB0" w:rsidRDefault="006F0BB0" w:rsidP="007D1DBA">
            <w:pPr>
              <w:jc w:val="right"/>
              <w:rPr>
                <w:sz w:val="18"/>
                <w:szCs w:val="18"/>
                <w:lang w:val="es-419" w:eastAsia="es-419"/>
              </w:rPr>
            </w:pPr>
            <w:r w:rsidRPr="006F0BB0">
              <w:rPr>
                <w:sz w:val="18"/>
                <w:szCs w:val="18"/>
                <w:lang w:val="es-419" w:eastAsia="es-419"/>
              </w:rPr>
              <w:t>114,0%</w:t>
            </w:r>
          </w:p>
        </w:tc>
      </w:tr>
      <w:tr w:rsidR="006F0BB0" w:rsidRPr="006F0BB0" w14:paraId="60CB76E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7F2B1B" w14:textId="77777777" w:rsidR="006F0BB0" w:rsidRPr="006F0BB0" w:rsidRDefault="006F0BB0" w:rsidP="007D1DBA">
            <w:pPr>
              <w:jc w:val="left"/>
              <w:rPr>
                <w:sz w:val="18"/>
                <w:szCs w:val="18"/>
                <w:lang w:val="es-419" w:eastAsia="es-419"/>
              </w:rPr>
            </w:pPr>
            <w:r w:rsidRPr="006F0BB0">
              <w:rPr>
                <w:sz w:val="18"/>
                <w:szCs w:val="18"/>
                <w:lang w:val="es-419" w:eastAsia="es-419"/>
              </w:rPr>
              <w:t>Qatar</w:t>
            </w:r>
          </w:p>
        </w:tc>
        <w:tc>
          <w:tcPr>
            <w:tcW w:w="950" w:type="dxa"/>
            <w:tcBorders>
              <w:top w:val="nil"/>
              <w:left w:val="nil"/>
              <w:bottom w:val="single" w:sz="4" w:space="0" w:color="auto"/>
              <w:right w:val="single" w:sz="4" w:space="0" w:color="auto"/>
            </w:tcBorders>
            <w:shd w:val="clear" w:color="auto" w:fill="auto"/>
            <w:noWrap/>
            <w:hideMark/>
          </w:tcPr>
          <w:p w14:paraId="28A56957" w14:textId="77777777" w:rsidR="006F0BB0" w:rsidRPr="006F0BB0" w:rsidRDefault="006F0BB0" w:rsidP="007D1DBA">
            <w:pPr>
              <w:jc w:val="right"/>
              <w:rPr>
                <w:sz w:val="18"/>
                <w:szCs w:val="18"/>
                <w:lang w:val="es-419" w:eastAsia="es-419"/>
              </w:rPr>
            </w:pPr>
            <w:r w:rsidRPr="006F0BB0">
              <w:rPr>
                <w:sz w:val="18"/>
                <w:szCs w:val="18"/>
                <w:lang w:val="es-419" w:eastAsia="es-419"/>
              </w:rPr>
              <w:t>21 878 613</w:t>
            </w:r>
          </w:p>
        </w:tc>
        <w:tc>
          <w:tcPr>
            <w:tcW w:w="950" w:type="dxa"/>
            <w:tcBorders>
              <w:top w:val="nil"/>
              <w:left w:val="nil"/>
              <w:bottom w:val="single" w:sz="4" w:space="0" w:color="auto"/>
              <w:right w:val="single" w:sz="4" w:space="0" w:color="auto"/>
            </w:tcBorders>
            <w:shd w:val="clear" w:color="auto" w:fill="auto"/>
            <w:noWrap/>
            <w:hideMark/>
          </w:tcPr>
          <w:p w14:paraId="6CC6E51D" w14:textId="77777777" w:rsidR="006F0BB0" w:rsidRPr="006F0BB0" w:rsidRDefault="006F0BB0" w:rsidP="007D1DBA">
            <w:pPr>
              <w:jc w:val="right"/>
              <w:rPr>
                <w:sz w:val="18"/>
                <w:szCs w:val="18"/>
                <w:lang w:val="es-419" w:eastAsia="es-419"/>
              </w:rPr>
            </w:pPr>
            <w:r w:rsidRPr="006F0BB0">
              <w:rPr>
                <w:sz w:val="18"/>
                <w:szCs w:val="18"/>
                <w:lang w:val="es-419" w:eastAsia="es-419"/>
              </w:rPr>
              <w:t>22 316 185</w:t>
            </w:r>
          </w:p>
        </w:tc>
        <w:tc>
          <w:tcPr>
            <w:tcW w:w="950" w:type="dxa"/>
            <w:tcBorders>
              <w:top w:val="nil"/>
              <w:left w:val="nil"/>
              <w:bottom w:val="single" w:sz="4" w:space="0" w:color="auto"/>
              <w:right w:val="single" w:sz="4" w:space="0" w:color="auto"/>
            </w:tcBorders>
            <w:shd w:val="clear" w:color="auto" w:fill="auto"/>
            <w:noWrap/>
            <w:hideMark/>
          </w:tcPr>
          <w:p w14:paraId="25507C11" w14:textId="77777777" w:rsidR="006F0BB0" w:rsidRPr="006F0BB0" w:rsidRDefault="006F0BB0" w:rsidP="007D1DBA">
            <w:pPr>
              <w:jc w:val="right"/>
              <w:rPr>
                <w:sz w:val="18"/>
                <w:szCs w:val="18"/>
                <w:lang w:val="es-419" w:eastAsia="es-419"/>
              </w:rPr>
            </w:pPr>
            <w:r w:rsidRPr="006F0BB0">
              <w:rPr>
                <w:sz w:val="18"/>
                <w:szCs w:val="18"/>
                <w:lang w:val="es-419" w:eastAsia="es-419"/>
              </w:rPr>
              <w:t>22 762 509</w:t>
            </w:r>
          </w:p>
        </w:tc>
        <w:tc>
          <w:tcPr>
            <w:tcW w:w="978" w:type="dxa"/>
            <w:tcBorders>
              <w:top w:val="nil"/>
              <w:left w:val="nil"/>
              <w:bottom w:val="single" w:sz="4" w:space="0" w:color="auto"/>
              <w:right w:val="single" w:sz="4" w:space="0" w:color="auto"/>
            </w:tcBorders>
            <w:shd w:val="clear" w:color="auto" w:fill="auto"/>
            <w:noWrap/>
            <w:hideMark/>
          </w:tcPr>
          <w:p w14:paraId="1BB4510D" w14:textId="77777777" w:rsidR="006F0BB0" w:rsidRPr="006F0BB0" w:rsidRDefault="006F0BB0" w:rsidP="007D1DBA">
            <w:pPr>
              <w:jc w:val="right"/>
              <w:rPr>
                <w:sz w:val="18"/>
                <w:szCs w:val="18"/>
                <w:lang w:val="es-419" w:eastAsia="es-419"/>
              </w:rPr>
            </w:pPr>
            <w:r w:rsidRPr="006F0BB0">
              <w:rPr>
                <w:sz w:val="18"/>
                <w:szCs w:val="18"/>
                <w:lang w:val="es-419" w:eastAsia="es-419"/>
              </w:rPr>
              <w:t>23 217 759</w:t>
            </w:r>
          </w:p>
        </w:tc>
        <w:tc>
          <w:tcPr>
            <w:tcW w:w="950" w:type="dxa"/>
            <w:tcBorders>
              <w:top w:val="nil"/>
              <w:left w:val="nil"/>
              <w:bottom w:val="single" w:sz="4" w:space="0" w:color="auto"/>
              <w:right w:val="single" w:sz="4" w:space="0" w:color="auto"/>
            </w:tcBorders>
            <w:shd w:val="clear" w:color="auto" w:fill="auto"/>
            <w:noWrap/>
            <w:hideMark/>
          </w:tcPr>
          <w:p w14:paraId="6F960E07" w14:textId="77777777" w:rsidR="006F0BB0" w:rsidRPr="006F0BB0" w:rsidRDefault="006F0BB0" w:rsidP="007D1DBA">
            <w:pPr>
              <w:jc w:val="right"/>
              <w:rPr>
                <w:sz w:val="18"/>
                <w:szCs w:val="18"/>
                <w:lang w:val="es-419" w:eastAsia="es-419"/>
              </w:rPr>
            </w:pPr>
            <w:r w:rsidRPr="006F0BB0">
              <w:rPr>
                <w:sz w:val="18"/>
                <w:szCs w:val="18"/>
                <w:lang w:val="es-419" w:eastAsia="es-419"/>
              </w:rPr>
              <w:t>25 539 535</w:t>
            </w:r>
          </w:p>
        </w:tc>
        <w:tc>
          <w:tcPr>
            <w:tcW w:w="950" w:type="dxa"/>
            <w:tcBorders>
              <w:top w:val="nil"/>
              <w:left w:val="nil"/>
              <w:bottom w:val="single" w:sz="4" w:space="0" w:color="auto"/>
              <w:right w:val="single" w:sz="4" w:space="0" w:color="auto"/>
            </w:tcBorders>
            <w:shd w:val="clear" w:color="auto" w:fill="auto"/>
            <w:noWrap/>
            <w:hideMark/>
          </w:tcPr>
          <w:p w14:paraId="6AA5061F" w14:textId="77777777" w:rsidR="006F0BB0" w:rsidRPr="006F0BB0" w:rsidRDefault="006F0BB0" w:rsidP="007D1DBA">
            <w:pPr>
              <w:jc w:val="right"/>
              <w:rPr>
                <w:sz w:val="18"/>
                <w:szCs w:val="18"/>
                <w:lang w:val="es-419" w:eastAsia="es-419"/>
              </w:rPr>
            </w:pPr>
            <w:r w:rsidRPr="006F0BB0">
              <w:rPr>
                <w:sz w:val="18"/>
                <w:szCs w:val="18"/>
                <w:lang w:val="es-419" w:eastAsia="es-419"/>
              </w:rPr>
              <w:t>28 093 488</w:t>
            </w:r>
          </w:p>
        </w:tc>
        <w:tc>
          <w:tcPr>
            <w:tcW w:w="1076" w:type="dxa"/>
            <w:tcBorders>
              <w:top w:val="nil"/>
              <w:left w:val="nil"/>
              <w:bottom w:val="single" w:sz="4" w:space="0" w:color="auto"/>
              <w:right w:val="single" w:sz="4" w:space="0" w:color="auto"/>
            </w:tcBorders>
            <w:shd w:val="clear" w:color="auto" w:fill="auto"/>
            <w:noWrap/>
            <w:hideMark/>
          </w:tcPr>
          <w:p w14:paraId="57E8BC89" w14:textId="77777777" w:rsidR="006F0BB0" w:rsidRPr="006F0BB0" w:rsidRDefault="006F0BB0" w:rsidP="007D1DBA">
            <w:pPr>
              <w:jc w:val="right"/>
              <w:rPr>
                <w:sz w:val="18"/>
                <w:szCs w:val="18"/>
                <w:lang w:val="es-419" w:eastAsia="es-419"/>
              </w:rPr>
            </w:pPr>
            <w:r w:rsidRPr="006F0BB0">
              <w:rPr>
                <w:sz w:val="18"/>
                <w:szCs w:val="18"/>
                <w:lang w:val="es-419" w:eastAsia="es-419"/>
              </w:rPr>
              <w:t>22 765 484</w:t>
            </w:r>
          </w:p>
        </w:tc>
        <w:tc>
          <w:tcPr>
            <w:tcW w:w="1034" w:type="dxa"/>
            <w:tcBorders>
              <w:top w:val="nil"/>
              <w:left w:val="nil"/>
              <w:bottom w:val="single" w:sz="4" w:space="0" w:color="auto"/>
              <w:right w:val="single" w:sz="4" w:space="0" w:color="auto"/>
            </w:tcBorders>
            <w:shd w:val="clear" w:color="auto" w:fill="auto"/>
            <w:noWrap/>
            <w:hideMark/>
          </w:tcPr>
          <w:p w14:paraId="1695B57B" w14:textId="77777777" w:rsidR="006F0BB0" w:rsidRPr="006F0BB0" w:rsidRDefault="006F0BB0" w:rsidP="007D1DBA">
            <w:pPr>
              <w:jc w:val="right"/>
              <w:rPr>
                <w:sz w:val="18"/>
                <w:szCs w:val="18"/>
                <w:lang w:val="es-419" w:eastAsia="es-419"/>
              </w:rPr>
            </w:pPr>
            <w:r w:rsidRPr="006F0BB0">
              <w:rPr>
                <w:sz w:val="18"/>
                <w:szCs w:val="18"/>
                <w:lang w:val="es-419" w:eastAsia="es-419"/>
              </w:rPr>
              <w:t>24 633 313</w:t>
            </w:r>
          </w:p>
        </w:tc>
        <w:tc>
          <w:tcPr>
            <w:tcW w:w="1181" w:type="dxa"/>
            <w:tcBorders>
              <w:top w:val="nil"/>
              <w:left w:val="nil"/>
              <w:bottom w:val="single" w:sz="4" w:space="0" w:color="auto"/>
              <w:right w:val="single" w:sz="4" w:space="0" w:color="auto"/>
            </w:tcBorders>
            <w:shd w:val="clear" w:color="auto" w:fill="auto"/>
            <w:noWrap/>
            <w:hideMark/>
          </w:tcPr>
          <w:p w14:paraId="085FDDC5" w14:textId="77777777" w:rsidR="006F0BB0" w:rsidRPr="006F0BB0" w:rsidRDefault="006F0BB0" w:rsidP="007D1DBA">
            <w:pPr>
              <w:jc w:val="right"/>
              <w:rPr>
                <w:sz w:val="18"/>
                <w:szCs w:val="18"/>
                <w:lang w:val="es-419" w:eastAsia="es-419"/>
              </w:rPr>
            </w:pPr>
            <w:r w:rsidRPr="006F0BB0">
              <w:rPr>
                <w:sz w:val="18"/>
                <w:szCs w:val="18"/>
                <w:lang w:val="es-419" w:eastAsia="es-419"/>
              </w:rPr>
              <w:t>114,0%</w:t>
            </w:r>
          </w:p>
        </w:tc>
      </w:tr>
      <w:tr w:rsidR="006F0BB0" w:rsidRPr="006F0BB0" w14:paraId="654BC640"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9C64EF" w14:textId="77777777" w:rsidR="006F0BB0" w:rsidRPr="006F0BB0" w:rsidRDefault="006F0BB0" w:rsidP="007D1DBA">
            <w:pPr>
              <w:jc w:val="left"/>
              <w:rPr>
                <w:sz w:val="18"/>
                <w:szCs w:val="18"/>
                <w:lang w:val="es-419" w:eastAsia="es-419"/>
              </w:rPr>
            </w:pPr>
            <w:r w:rsidRPr="006F0BB0">
              <w:rPr>
                <w:sz w:val="18"/>
                <w:szCs w:val="18"/>
                <w:lang w:val="es-419" w:eastAsia="es-419"/>
              </w:rPr>
              <w:t>Montenegro</w:t>
            </w:r>
          </w:p>
        </w:tc>
        <w:tc>
          <w:tcPr>
            <w:tcW w:w="950" w:type="dxa"/>
            <w:tcBorders>
              <w:top w:val="nil"/>
              <w:left w:val="nil"/>
              <w:bottom w:val="single" w:sz="4" w:space="0" w:color="auto"/>
              <w:right w:val="single" w:sz="4" w:space="0" w:color="auto"/>
            </w:tcBorders>
            <w:shd w:val="clear" w:color="auto" w:fill="auto"/>
            <w:noWrap/>
            <w:hideMark/>
          </w:tcPr>
          <w:p w14:paraId="22D924CE" w14:textId="77777777" w:rsidR="006F0BB0" w:rsidRPr="006F0BB0" w:rsidRDefault="006F0BB0" w:rsidP="007D1DBA">
            <w:pPr>
              <w:jc w:val="right"/>
              <w:rPr>
                <w:sz w:val="18"/>
                <w:szCs w:val="18"/>
                <w:lang w:val="es-419" w:eastAsia="es-419"/>
              </w:rPr>
            </w:pPr>
            <w:r w:rsidRPr="006F0BB0">
              <w:rPr>
                <w:sz w:val="18"/>
                <w:szCs w:val="18"/>
                <w:lang w:val="es-419" w:eastAsia="es-419"/>
              </w:rPr>
              <w:t>192 898</w:t>
            </w:r>
          </w:p>
        </w:tc>
        <w:tc>
          <w:tcPr>
            <w:tcW w:w="950" w:type="dxa"/>
            <w:tcBorders>
              <w:top w:val="nil"/>
              <w:left w:val="nil"/>
              <w:bottom w:val="single" w:sz="4" w:space="0" w:color="auto"/>
              <w:right w:val="single" w:sz="4" w:space="0" w:color="auto"/>
            </w:tcBorders>
            <w:shd w:val="clear" w:color="auto" w:fill="auto"/>
            <w:noWrap/>
            <w:hideMark/>
          </w:tcPr>
          <w:p w14:paraId="7F65AF99" w14:textId="77777777" w:rsidR="006F0BB0" w:rsidRPr="006F0BB0" w:rsidRDefault="006F0BB0" w:rsidP="007D1DBA">
            <w:pPr>
              <w:jc w:val="right"/>
              <w:rPr>
                <w:sz w:val="18"/>
                <w:szCs w:val="18"/>
                <w:lang w:val="es-419" w:eastAsia="es-419"/>
              </w:rPr>
            </w:pPr>
            <w:r w:rsidRPr="006F0BB0">
              <w:rPr>
                <w:sz w:val="18"/>
                <w:szCs w:val="18"/>
                <w:lang w:val="es-419" w:eastAsia="es-419"/>
              </w:rPr>
              <w:t>196 756</w:t>
            </w:r>
          </w:p>
        </w:tc>
        <w:tc>
          <w:tcPr>
            <w:tcW w:w="950" w:type="dxa"/>
            <w:tcBorders>
              <w:top w:val="nil"/>
              <w:left w:val="nil"/>
              <w:bottom w:val="single" w:sz="4" w:space="0" w:color="auto"/>
              <w:right w:val="single" w:sz="4" w:space="0" w:color="auto"/>
            </w:tcBorders>
            <w:shd w:val="clear" w:color="auto" w:fill="auto"/>
            <w:noWrap/>
            <w:hideMark/>
          </w:tcPr>
          <w:p w14:paraId="7B0E8CB2" w14:textId="77777777" w:rsidR="006F0BB0" w:rsidRPr="006F0BB0" w:rsidRDefault="006F0BB0" w:rsidP="007D1DBA">
            <w:pPr>
              <w:jc w:val="right"/>
              <w:rPr>
                <w:sz w:val="18"/>
                <w:szCs w:val="18"/>
                <w:lang w:val="es-419" w:eastAsia="es-419"/>
              </w:rPr>
            </w:pPr>
            <w:r w:rsidRPr="006F0BB0">
              <w:rPr>
                <w:sz w:val="18"/>
                <w:szCs w:val="18"/>
                <w:lang w:val="es-419" w:eastAsia="es-419"/>
              </w:rPr>
              <w:t>200 691</w:t>
            </w:r>
          </w:p>
        </w:tc>
        <w:tc>
          <w:tcPr>
            <w:tcW w:w="978" w:type="dxa"/>
            <w:tcBorders>
              <w:top w:val="nil"/>
              <w:left w:val="nil"/>
              <w:bottom w:val="single" w:sz="4" w:space="0" w:color="auto"/>
              <w:right w:val="single" w:sz="4" w:space="0" w:color="auto"/>
            </w:tcBorders>
            <w:shd w:val="clear" w:color="auto" w:fill="auto"/>
            <w:noWrap/>
            <w:hideMark/>
          </w:tcPr>
          <w:p w14:paraId="78387C46" w14:textId="77777777" w:rsidR="006F0BB0" w:rsidRPr="006F0BB0" w:rsidRDefault="006F0BB0" w:rsidP="007D1DBA">
            <w:pPr>
              <w:jc w:val="right"/>
              <w:rPr>
                <w:sz w:val="18"/>
                <w:szCs w:val="18"/>
                <w:lang w:val="es-419" w:eastAsia="es-419"/>
              </w:rPr>
            </w:pPr>
            <w:r w:rsidRPr="006F0BB0">
              <w:rPr>
                <w:sz w:val="18"/>
                <w:szCs w:val="18"/>
                <w:lang w:val="es-419" w:eastAsia="es-419"/>
              </w:rPr>
              <w:t>204 705</w:t>
            </w:r>
          </w:p>
        </w:tc>
        <w:tc>
          <w:tcPr>
            <w:tcW w:w="950" w:type="dxa"/>
            <w:tcBorders>
              <w:top w:val="nil"/>
              <w:left w:val="nil"/>
              <w:bottom w:val="single" w:sz="4" w:space="0" w:color="auto"/>
              <w:right w:val="single" w:sz="4" w:space="0" w:color="auto"/>
            </w:tcBorders>
            <w:shd w:val="clear" w:color="auto" w:fill="auto"/>
            <w:noWrap/>
            <w:hideMark/>
          </w:tcPr>
          <w:p w14:paraId="2A049420" w14:textId="77777777" w:rsidR="006F0BB0" w:rsidRPr="006F0BB0" w:rsidRDefault="006F0BB0" w:rsidP="007D1DBA">
            <w:pPr>
              <w:jc w:val="right"/>
              <w:rPr>
                <w:sz w:val="18"/>
                <w:szCs w:val="18"/>
                <w:lang w:val="es-419" w:eastAsia="es-419"/>
              </w:rPr>
            </w:pPr>
            <w:r w:rsidRPr="006F0BB0">
              <w:rPr>
                <w:sz w:val="18"/>
                <w:szCs w:val="18"/>
                <w:lang w:val="es-419" w:eastAsia="es-419"/>
              </w:rPr>
              <w:t>225 175</w:t>
            </w:r>
          </w:p>
        </w:tc>
        <w:tc>
          <w:tcPr>
            <w:tcW w:w="950" w:type="dxa"/>
            <w:tcBorders>
              <w:top w:val="nil"/>
              <w:left w:val="nil"/>
              <w:bottom w:val="single" w:sz="4" w:space="0" w:color="auto"/>
              <w:right w:val="single" w:sz="4" w:space="0" w:color="auto"/>
            </w:tcBorders>
            <w:shd w:val="clear" w:color="auto" w:fill="auto"/>
            <w:noWrap/>
            <w:hideMark/>
          </w:tcPr>
          <w:p w14:paraId="0CB34B7F" w14:textId="77777777" w:rsidR="006F0BB0" w:rsidRPr="006F0BB0" w:rsidRDefault="006F0BB0" w:rsidP="007D1DBA">
            <w:pPr>
              <w:jc w:val="right"/>
              <w:rPr>
                <w:sz w:val="18"/>
                <w:szCs w:val="18"/>
                <w:lang w:val="es-419" w:eastAsia="es-419"/>
              </w:rPr>
            </w:pPr>
            <w:r w:rsidRPr="006F0BB0">
              <w:rPr>
                <w:sz w:val="18"/>
                <w:szCs w:val="18"/>
                <w:lang w:val="es-419" w:eastAsia="es-419"/>
              </w:rPr>
              <w:t>247 693</w:t>
            </w:r>
          </w:p>
        </w:tc>
        <w:tc>
          <w:tcPr>
            <w:tcW w:w="1076" w:type="dxa"/>
            <w:tcBorders>
              <w:top w:val="nil"/>
              <w:left w:val="nil"/>
              <w:bottom w:val="single" w:sz="4" w:space="0" w:color="auto"/>
              <w:right w:val="single" w:sz="4" w:space="0" w:color="auto"/>
            </w:tcBorders>
            <w:shd w:val="clear" w:color="auto" w:fill="auto"/>
            <w:noWrap/>
            <w:hideMark/>
          </w:tcPr>
          <w:p w14:paraId="5563FFA2" w14:textId="77777777" w:rsidR="006F0BB0" w:rsidRPr="006F0BB0" w:rsidRDefault="006F0BB0" w:rsidP="007D1DBA">
            <w:pPr>
              <w:jc w:val="right"/>
              <w:rPr>
                <w:sz w:val="18"/>
                <w:szCs w:val="18"/>
                <w:lang w:val="es-419" w:eastAsia="es-419"/>
              </w:rPr>
            </w:pPr>
            <w:r w:rsidRPr="006F0BB0">
              <w:rPr>
                <w:sz w:val="18"/>
                <w:szCs w:val="18"/>
                <w:lang w:val="es-419" w:eastAsia="es-419"/>
              </w:rPr>
              <w:t>200 717</w:t>
            </w:r>
          </w:p>
        </w:tc>
        <w:tc>
          <w:tcPr>
            <w:tcW w:w="1034" w:type="dxa"/>
            <w:tcBorders>
              <w:top w:val="nil"/>
              <w:left w:val="nil"/>
              <w:bottom w:val="single" w:sz="4" w:space="0" w:color="auto"/>
              <w:right w:val="single" w:sz="4" w:space="0" w:color="auto"/>
            </w:tcBorders>
            <w:shd w:val="clear" w:color="auto" w:fill="auto"/>
            <w:noWrap/>
            <w:hideMark/>
          </w:tcPr>
          <w:p w14:paraId="7852C20A" w14:textId="77777777" w:rsidR="006F0BB0" w:rsidRPr="006F0BB0" w:rsidRDefault="006F0BB0" w:rsidP="007D1DBA">
            <w:pPr>
              <w:jc w:val="right"/>
              <w:rPr>
                <w:sz w:val="18"/>
                <w:szCs w:val="18"/>
                <w:lang w:val="es-419" w:eastAsia="es-419"/>
              </w:rPr>
            </w:pPr>
            <w:r w:rsidRPr="006F0BB0">
              <w:rPr>
                <w:sz w:val="18"/>
                <w:szCs w:val="18"/>
                <w:lang w:val="es-419" w:eastAsia="es-419"/>
              </w:rPr>
              <w:t>217 041</w:t>
            </w:r>
          </w:p>
        </w:tc>
        <w:tc>
          <w:tcPr>
            <w:tcW w:w="1181" w:type="dxa"/>
            <w:tcBorders>
              <w:top w:val="nil"/>
              <w:left w:val="nil"/>
              <w:bottom w:val="single" w:sz="4" w:space="0" w:color="auto"/>
              <w:right w:val="single" w:sz="4" w:space="0" w:color="auto"/>
            </w:tcBorders>
            <w:shd w:val="clear" w:color="auto" w:fill="auto"/>
            <w:noWrap/>
            <w:hideMark/>
          </w:tcPr>
          <w:p w14:paraId="19EAF1D2" w14:textId="77777777" w:rsidR="006F0BB0" w:rsidRPr="006F0BB0" w:rsidRDefault="006F0BB0" w:rsidP="007D1DBA">
            <w:pPr>
              <w:jc w:val="right"/>
              <w:rPr>
                <w:sz w:val="18"/>
                <w:szCs w:val="18"/>
                <w:lang w:val="es-419" w:eastAsia="es-419"/>
              </w:rPr>
            </w:pPr>
            <w:r w:rsidRPr="006F0BB0">
              <w:rPr>
                <w:sz w:val="18"/>
                <w:szCs w:val="18"/>
                <w:lang w:val="es-419" w:eastAsia="es-419"/>
              </w:rPr>
              <w:t>114,1%</w:t>
            </w:r>
          </w:p>
        </w:tc>
      </w:tr>
      <w:tr w:rsidR="006F0BB0" w:rsidRPr="006F0BB0" w14:paraId="5B44EFF5"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017199" w14:textId="77777777" w:rsidR="006F0BB0" w:rsidRPr="006F0BB0" w:rsidRDefault="006F0BB0" w:rsidP="007D1DBA">
            <w:pPr>
              <w:jc w:val="left"/>
              <w:rPr>
                <w:sz w:val="18"/>
                <w:szCs w:val="18"/>
                <w:lang w:val="es-419" w:eastAsia="es-419"/>
              </w:rPr>
            </w:pPr>
            <w:r w:rsidRPr="006F0BB0">
              <w:rPr>
                <w:sz w:val="18"/>
                <w:szCs w:val="18"/>
                <w:lang w:val="es-419" w:eastAsia="es-419"/>
              </w:rPr>
              <w:t xml:space="preserve">Cote </w:t>
            </w:r>
            <w:proofErr w:type="spellStart"/>
            <w:r w:rsidRPr="006F0BB0">
              <w:rPr>
                <w:sz w:val="18"/>
                <w:szCs w:val="18"/>
                <w:lang w:val="es-419" w:eastAsia="es-419"/>
              </w:rPr>
              <w:t>d'Ivoire</w:t>
            </w:r>
            <w:proofErr w:type="spellEnd"/>
          </w:p>
        </w:tc>
        <w:tc>
          <w:tcPr>
            <w:tcW w:w="950" w:type="dxa"/>
            <w:tcBorders>
              <w:top w:val="nil"/>
              <w:left w:val="nil"/>
              <w:bottom w:val="single" w:sz="4" w:space="0" w:color="auto"/>
              <w:right w:val="single" w:sz="4" w:space="0" w:color="auto"/>
            </w:tcBorders>
            <w:shd w:val="clear" w:color="auto" w:fill="auto"/>
            <w:noWrap/>
            <w:hideMark/>
          </w:tcPr>
          <w:p w14:paraId="7D6FC715" w14:textId="77777777" w:rsidR="006F0BB0" w:rsidRPr="006F0BB0" w:rsidRDefault="006F0BB0" w:rsidP="007D1DBA">
            <w:pPr>
              <w:jc w:val="right"/>
              <w:rPr>
                <w:sz w:val="18"/>
                <w:szCs w:val="18"/>
                <w:lang w:val="es-419" w:eastAsia="es-419"/>
              </w:rPr>
            </w:pPr>
            <w:r w:rsidRPr="006F0BB0">
              <w:rPr>
                <w:sz w:val="18"/>
                <w:szCs w:val="18"/>
                <w:lang w:val="es-419" w:eastAsia="es-419"/>
              </w:rPr>
              <w:t>24 855 307</w:t>
            </w:r>
          </w:p>
        </w:tc>
        <w:tc>
          <w:tcPr>
            <w:tcW w:w="950" w:type="dxa"/>
            <w:tcBorders>
              <w:top w:val="nil"/>
              <w:left w:val="nil"/>
              <w:bottom w:val="single" w:sz="4" w:space="0" w:color="auto"/>
              <w:right w:val="single" w:sz="4" w:space="0" w:color="auto"/>
            </w:tcBorders>
            <w:shd w:val="clear" w:color="auto" w:fill="auto"/>
            <w:noWrap/>
            <w:hideMark/>
          </w:tcPr>
          <w:p w14:paraId="44355BED" w14:textId="77777777" w:rsidR="006F0BB0" w:rsidRPr="006F0BB0" w:rsidRDefault="006F0BB0" w:rsidP="007D1DBA">
            <w:pPr>
              <w:jc w:val="right"/>
              <w:rPr>
                <w:sz w:val="18"/>
                <w:szCs w:val="18"/>
                <w:lang w:val="es-419" w:eastAsia="es-419"/>
              </w:rPr>
            </w:pPr>
            <w:r w:rsidRPr="006F0BB0">
              <w:rPr>
                <w:sz w:val="18"/>
                <w:szCs w:val="18"/>
                <w:lang w:val="es-419" w:eastAsia="es-419"/>
              </w:rPr>
              <w:t>25 352 413</w:t>
            </w:r>
          </w:p>
        </w:tc>
        <w:tc>
          <w:tcPr>
            <w:tcW w:w="950" w:type="dxa"/>
            <w:tcBorders>
              <w:top w:val="nil"/>
              <w:left w:val="nil"/>
              <w:bottom w:val="single" w:sz="4" w:space="0" w:color="auto"/>
              <w:right w:val="single" w:sz="4" w:space="0" w:color="auto"/>
            </w:tcBorders>
            <w:shd w:val="clear" w:color="auto" w:fill="auto"/>
            <w:noWrap/>
            <w:hideMark/>
          </w:tcPr>
          <w:p w14:paraId="4E147122" w14:textId="77777777" w:rsidR="006F0BB0" w:rsidRPr="006F0BB0" w:rsidRDefault="006F0BB0" w:rsidP="007D1DBA">
            <w:pPr>
              <w:jc w:val="right"/>
              <w:rPr>
                <w:sz w:val="18"/>
                <w:szCs w:val="18"/>
                <w:lang w:val="es-419" w:eastAsia="es-419"/>
              </w:rPr>
            </w:pPr>
            <w:r w:rsidRPr="006F0BB0">
              <w:rPr>
                <w:sz w:val="18"/>
                <w:szCs w:val="18"/>
                <w:lang w:val="es-419" w:eastAsia="es-419"/>
              </w:rPr>
              <w:t>25 859 461</w:t>
            </w:r>
          </w:p>
        </w:tc>
        <w:tc>
          <w:tcPr>
            <w:tcW w:w="978" w:type="dxa"/>
            <w:tcBorders>
              <w:top w:val="nil"/>
              <w:left w:val="nil"/>
              <w:bottom w:val="single" w:sz="4" w:space="0" w:color="auto"/>
              <w:right w:val="single" w:sz="4" w:space="0" w:color="auto"/>
            </w:tcBorders>
            <w:shd w:val="clear" w:color="auto" w:fill="auto"/>
            <w:noWrap/>
            <w:hideMark/>
          </w:tcPr>
          <w:p w14:paraId="0144FD9F" w14:textId="77777777" w:rsidR="006F0BB0" w:rsidRPr="006F0BB0" w:rsidRDefault="006F0BB0" w:rsidP="007D1DBA">
            <w:pPr>
              <w:jc w:val="right"/>
              <w:rPr>
                <w:sz w:val="18"/>
                <w:szCs w:val="18"/>
                <w:lang w:val="es-419" w:eastAsia="es-419"/>
              </w:rPr>
            </w:pPr>
            <w:r w:rsidRPr="006F0BB0">
              <w:rPr>
                <w:sz w:val="18"/>
                <w:szCs w:val="18"/>
                <w:lang w:val="es-419" w:eastAsia="es-419"/>
              </w:rPr>
              <w:t>26 376 651</w:t>
            </w:r>
          </w:p>
        </w:tc>
        <w:tc>
          <w:tcPr>
            <w:tcW w:w="950" w:type="dxa"/>
            <w:tcBorders>
              <w:top w:val="nil"/>
              <w:left w:val="nil"/>
              <w:bottom w:val="single" w:sz="4" w:space="0" w:color="auto"/>
              <w:right w:val="single" w:sz="4" w:space="0" w:color="auto"/>
            </w:tcBorders>
            <w:shd w:val="clear" w:color="auto" w:fill="auto"/>
            <w:noWrap/>
            <w:hideMark/>
          </w:tcPr>
          <w:p w14:paraId="4EC26F30" w14:textId="77777777" w:rsidR="006F0BB0" w:rsidRPr="006F0BB0" w:rsidRDefault="006F0BB0" w:rsidP="007D1DBA">
            <w:pPr>
              <w:jc w:val="right"/>
              <w:rPr>
                <w:sz w:val="18"/>
                <w:szCs w:val="18"/>
                <w:lang w:val="es-419" w:eastAsia="es-419"/>
              </w:rPr>
            </w:pPr>
            <w:r w:rsidRPr="006F0BB0">
              <w:rPr>
                <w:sz w:val="18"/>
                <w:szCs w:val="18"/>
                <w:lang w:val="es-419" w:eastAsia="es-419"/>
              </w:rPr>
              <w:t>29 014 316</w:t>
            </w:r>
          </w:p>
        </w:tc>
        <w:tc>
          <w:tcPr>
            <w:tcW w:w="950" w:type="dxa"/>
            <w:tcBorders>
              <w:top w:val="nil"/>
              <w:left w:val="nil"/>
              <w:bottom w:val="single" w:sz="4" w:space="0" w:color="auto"/>
              <w:right w:val="single" w:sz="4" w:space="0" w:color="auto"/>
            </w:tcBorders>
            <w:shd w:val="clear" w:color="auto" w:fill="auto"/>
            <w:noWrap/>
            <w:hideMark/>
          </w:tcPr>
          <w:p w14:paraId="143067A6" w14:textId="77777777" w:rsidR="006F0BB0" w:rsidRPr="006F0BB0" w:rsidRDefault="006F0BB0" w:rsidP="007D1DBA">
            <w:pPr>
              <w:jc w:val="right"/>
              <w:rPr>
                <w:sz w:val="18"/>
                <w:szCs w:val="18"/>
                <w:lang w:val="es-419" w:eastAsia="es-419"/>
              </w:rPr>
            </w:pPr>
            <w:r w:rsidRPr="006F0BB0">
              <w:rPr>
                <w:sz w:val="18"/>
                <w:szCs w:val="18"/>
                <w:lang w:val="es-419" w:eastAsia="es-419"/>
              </w:rPr>
              <w:t>31 915 747</w:t>
            </w:r>
          </w:p>
        </w:tc>
        <w:tc>
          <w:tcPr>
            <w:tcW w:w="1076" w:type="dxa"/>
            <w:tcBorders>
              <w:top w:val="nil"/>
              <w:left w:val="nil"/>
              <w:bottom w:val="single" w:sz="4" w:space="0" w:color="auto"/>
              <w:right w:val="single" w:sz="4" w:space="0" w:color="auto"/>
            </w:tcBorders>
            <w:shd w:val="clear" w:color="auto" w:fill="auto"/>
            <w:noWrap/>
            <w:hideMark/>
          </w:tcPr>
          <w:p w14:paraId="2004F6C4" w14:textId="77777777" w:rsidR="006F0BB0" w:rsidRPr="006F0BB0" w:rsidRDefault="006F0BB0" w:rsidP="007D1DBA">
            <w:pPr>
              <w:jc w:val="right"/>
              <w:rPr>
                <w:sz w:val="18"/>
                <w:szCs w:val="18"/>
                <w:lang w:val="es-419" w:eastAsia="es-419"/>
              </w:rPr>
            </w:pPr>
            <w:r w:rsidRPr="006F0BB0">
              <w:rPr>
                <w:sz w:val="18"/>
                <w:szCs w:val="18"/>
                <w:lang w:val="es-419" w:eastAsia="es-419"/>
              </w:rPr>
              <w:t>25 862 842</w:t>
            </w:r>
          </w:p>
        </w:tc>
        <w:tc>
          <w:tcPr>
            <w:tcW w:w="1034" w:type="dxa"/>
            <w:tcBorders>
              <w:top w:val="nil"/>
              <w:left w:val="nil"/>
              <w:bottom w:val="single" w:sz="4" w:space="0" w:color="auto"/>
              <w:right w:val="single" w:sz="4" w:space="0" w:color="auto"/>
            </w:tcBorders>
            <w:shd w:val="clear" w:color="auto" w:fill="auto"/>
            <w:noWrap/>
            <w:hideMark/>
          </w:tcPr>
          <w:p w14:paraId="797B7E2A" w14:textId="77777777" w:rsidR="006F0BB0" w:rsidRPr="006F0BB0" w:rsidRDefault="006F0BB0" w:rsidP="007D1DBA">
            <w:pPr>
              <w:jc w:val="right"/>
              <w:rPr>
                <w:sz w:val="18"/>
                <w:szCs w:val="18"/>
                <w:lang w:val="es-419" w:eastAsia="es-419"/>
              </w:rPr>
            </w:pPr>
            <w:r w:rsidRPr="006F0BB0">
              <w:rPr>
                <w:sz w:val="18"/>
                <w:szCs w:val="18"/>
                <w:lang w:val="es-419" w:eastAsia="es-419"/>
              </w:rPr>
              <w:t>27 226 758</w:t>
            </w:r>
          </w:p>
        </w:tc>
        <w:tc>
          <w:tcPr>
            <w:tcW w:w="1181" w:type="dxa"/>
            <w:tcBorders>
              <w:top w:val="nil"/>
              <w:left w:val="nil"/>
              <w:bottom w:val="single" w:sz="4" w:space="0" w:color="auto"/>
              <w:right w:val="single" w:sz="4" w:space="0" w:color="auto"/>
            </w:tcBorders>
            <w:shd w:val="clear" w:color="auto" w:fill="auto"/>
            <w:noWrap/>
            <w:hideMark/>
          </w:tcPr>
          <w:p w14:paraId="11A3FD9B" w14:textId="77777777" w:rsidR="006F0BB0" w:rsidRPr="006F0BB0" w:rsidRDefault="006F0BB0" w:rsidP="007D1DBA">
            <w:pPr>
              <w:jc w:val="right"/>
              <w:rPr>
                <w:sz w:val="18"/>
                <w:szCs w:val="18"/>
                <w:lang w:val="es-419" w:eastAsia="es-419"/>
              </w:rPr>
            </w:pPr>
            <w:r w:rsidRPr="006F0BB0">
              <w:rPr>
                <w:sz w:val="18"/>
                <w:szCs w:val="18"/>
                <w:lang w:val="es-419" w:eastAsia="es-419"/>
              </w:rPr>
              <w:t>117,2%</w:t>
            </w:r>
          </w:p>
        </w:tc>
      </w:tr>
      <w:tr w:rsidR="006F0BB0" w:rsidRPr="006F0BB0" w14:paraId="67DFD9CD"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B6833C" w14:textId="77777777" w:rsidR="006F0BB0" w:rsidRPr="006F0BB0" w:rsidRDefault="006F0BB0" w:rsidP="007D1DBA">
            <w:pPr>
              <w:jc w:val="left"/>
              <w:rPr>
                <w:sz w:val="18"/>
                <w:szCs w:val="18"/>
                <w:lang w:val="es-419" w:eastAsia="es-419"/>
              </w:rPr>
            </w:pPr>
            <w:r w:rsidRPr="006F0BB0">
              <w:rPr>
                <w:sz w:val="18"/>
                <w:szCs w:val="18"/>
                <w:lang w:val="es-419" w:eastAsia="es-419"/>
              </w:rPr>
              <w:t>Guinea-Bissau</w:t>
            </w:r>
          </w:p>
        </w:tc>
        <w:tc>
          <w:tcPr>
            <w:tcW w:w="950" w:type="dxa"/>
            <w:tcBorders>
              <w:top w:val="nil"/>
              <w:left w:val="nil"/>
              <w:bottom w:val="single" w:sz="4" w:space="0" w:color="auto"/>
              <w:right w:val="single" w:sz="4" w:space="0" w:color="auto"/>
            </w:tcBorders>
            <w:shd w:val="clear" w:color="auto" w:fill="auto"/>
            <w:noWrap/>
            <w:hideMark/>
          </w:tcPr>
          <w:p w14:paraId="3AD590F4" w14:textId="77777777" w:rsidR="006F0BB0" w:rsidRPr="006F0BB0" w:rsidRDefault="006F0BB0" w:rsidP="007D1DBA">
            <w:pPr>
              <w:jc w:val="right"/>
              <w:rPr>
                <w:sz w:val="18"/>
                <w:szCs w:val="18"/>
                <w:lang w:val="es-419" w:eastAsia="es-419"/>
              </w:rPr>
            </w:pPr>
            <w:r w:rsidRPr="006F0BB0">
              <w:rPr>
                <w:sz w:val="18"/>
                <w:szCs w:val="18"/>
                <w:lang w:val="es-419" w:eastAsia="es-419"/>
              </w:rPr>
              <w:t>1 391 073</w:t>
            </w:r>
          </w:p>
        </w:tc>
        <w:tc>
          <w:tcPr>
            <w:tcW w:w="950" w:type="dxa"/>
            <w:tcBorders>
              <w:top w:val="nil"/>
              <w:left w:val="nil"/>
              <w:bottom w:val="single" w:sz="4" w:space="0" w:color="auto"/>
              <w:right w:val="single" w:sz="4" w:space="0" w:color="auto"/>
            </w:tcBorders>
            <w:shd w:val="clear" w:color="auto" w:fill="auto"/>
            <w:noWrap/>
            <w:hideMark/>
          </w:tcPr>
          <w:p w14:paraId="2E26B9BB" w14:textId="77777777" w:rsidR="006F0BB0" w:rsidRPr="006F0BB0" w:rsidRDefault="006F0BB0" w:rsidP="007D1DBA">
            <w:pPr>
              <w:jc w:val="right"/>
              <w:rPr>
                <w:sz w:val="18"/>
                <w:szCs w:val="18"/>
                <w:lang w:val="es-419" w:eastAsia="es-419"/>
              </w:rPr>
            </w:pPr>
            <w:r w:rsidRPr="006F0BB0">
              <w:rPr>
                <w:sz w:val="18"/>
                <w:szCs w:val="18"/>
                <w:lang w:val="es-419" w:eastAsia="es-419"/>
              </w:rPr>
              <w:t>1 418 894</w:t>
            </w:r>
          </w:p>
        </w:tc>
        <w:tc>
          <w:tcPr>
            <w:tcW w:w="950" w:type="dxa"/>
            <w:tcBorders>
              <w:top w:val="nil"/>
              <w:left w:val="nil"/>
              <w:bottom w:val="single" w:sz="4" w:space="0" w:color="auto"/>
              <w:right w:val="single" w:sz="4" w:space="0" w:color="auto"/>
            </w:tcBorders>
            <w:shd w:val="clear" w:color="auto" w:fill="auto"/>
            <w:noWrap/>
            <w:hideMark/>
          </w:tcPr>
          <w:p w14:paraId="1EB013A7" w14:textId="77777777" w:rsidR="006F0BB0" w:rsidRPr="006F0BB0" w:rsidRDefault="006F0BB0" w:rsidP="007D1DBA">
            <w:pPr>
              <w:jc w:val="right"/>
              <w:rPr>
                <w:sz w:val="18"/>
                <w:szCs w:val="18"/>
                <w:lang w:val="es-419" w:eastAsia="es-419"/>
              </w:rPr>
            </w:pPr>
            <w:r w:rsidRPr="006F0BB0">
              <w:rPr>
                <w:sz w:val="18"/>
                <w:szCs w:val="18"/>
                <w:lang w:val="es-419" w:eastAsia="es-419"/>
              </w:rPr>
              <w:t>1 447 272</w:t>
            </w:r>
          </w:p>
        </w:tc>
        <w:tc>
          <w:tcPr>
            <w:tcW w:w="978" w:type="dxa"/>
            <w:tcBorders>
              <w:top w:val="nil"/>
              <w:left w:val="nil"/>
              <w:bottom w:val="single" w:sz="4" w:space="0" w:color="auto"/>
              <w:right w:val="single" w:sz="4" w:space="0" w:color="auto"/>
            </w:tcBorders>
            <w:shd w:val="clear" w:color="auto" w:fill="auto"/>
            <w:noWrap/>
            <w:hideMark/>
          </w:tcPr>
          <w:p w14:paraId="63EEA38A" w14:textId="77777777" w:rsidR="006F0BB0" w:rsidRPr="006F0BB0" w:rsidRDefault="006F0BB0" w:rsidP="007D1DBA">
            <w:pPr>
              <w:jc w:val="right"/>
              <w:rPr>
                <w:sz w:val="18"/>
                <w:szCs w:val="18"/>
                <w:lang w:val="es-419" w:eastAsia="es-419"/>
              </w:rPr>
            </w:pPr>
            <w:r w:rsidRPr="006F0BB0">
              <w:rPr>
                <w:sz w:val="18"/>
                <w:szCs w:val="18"/>
                <w:lang w:val="es-419" w:eastAsia="es-419"/>
              </w:rPr>
              <w:t>1 476 218</w:t>
            </w:r>
          </w:p>
        </w:tc>
        <w:tc>
          <w:tcPr>
            <w:tcW w:w="950" w:type="dxa"/>
            <w:tcBorders>
              <w:top w:val="nil"/>
              <w:left w:val="nil"/>
              <w:bottom w:val="single" w:sz="4" w:space="0" w:color="auto"/>
              <w:right w:val="single" w:sz="4" w:space="0" w:color="auto"/>
            </w:tcBorders>
            <w:shd w:val="clear" w:color="auto" w:fill="auto"/>
            <w:noWrap/>
            <w:hideMark/>
          </w:tcPr>
          <w:p w14:paraId="5504D5F9" w14:textId="77777777" w:rsidR="006F0BB0" w:rsidRPr="006F0BB0" w:rsidRDefault="006F0BB0" w:rsidP="007D1DBA">
            <w:pPr>
              <w:jc w:val="right"/>
              <w:rPr>
                <w:sz w:val="18"/>
                <w:szCs w:val="18"/>
                <w:lang w:val="es-419" w:eastAsia="es-419"/>
              </w:rPr>
            </w:pPr>
            <w:r w:rsidRPr="006F0BB0">
              <w:rPr>
                <w:sz w:val="18"/>
                <w:szCs w:val="18"/>
                <w:lang w:val="es-419" w:eastAsia="es-419"/>
              </w:rPr>
              <w:t>1 623 840</w:t>
            </w:r>
          </w:p>
        </w:tc>
        <w:tc>
          <w:tcPr>
            <w:tcW w:w="950" w:type="dxa"/>
            <w:tcBorders>
              <w:top w:val="nil"/>
              <w:left w:val="nil"/>
              <w:bottom w:val="single" w:sz="4" w:space="0" w:color="auto"/>
              <w:right w:val="single" w:sz="4" w:space="0" w:color="auto"/>
            </w:tcBorders>
            <w:shd w:val="clear" w:color="auto" w:fill="auto"/>
            <w:noWrap/>
            <w:hideMark/>
          </w:tcPr>
          <w:p w14:paraId="3591A06D" w14:textId="77777777" w:rsidR="006F0BB0" w:rsidRPr="006F0BB0" w:rsidRDefault="006F0BB0" w:rsidP="007D1DBA">
            <w:pPr>
              <w:jc w:val="right"/>
              <w:rPr>
                <w:sz w:val="18"/>
                <w:szCs w:val="18"/>
                <w:lang w:val="es-419" w:eastAsia="es-419"/>
              </w:rPr>
            </w:pPr>
            <w:r w:rsidRPr="006F0BB0">
              <w:rPr>
                <w:sz w:val="18"/>
                <w:szCs w:val="18"/>
                <w:lang w:val="es-419" w:eastAsia="es-419"/>
              </w:rPr>
              <w:t>1 786 224</w:t>
            </w:r>
          </w:p>
        </w:tc>
        <w:tc>
          <w:tcPr>
            <w:tcW w:w="1076" w:type="dxa"/>
            <w:tcBorders>
              <w:top w:val="nil"/>
              <w:left w:val="nil"/>
              <w:bottom w:val="single" w:sz="4" w:space="0" w:color="auto"/>
              <w:right w:val="single" w:sz="4" w:space="0" w:color="auto"/>
            </w:tcBorders>
            <w:shd w:val="clear" w:color="auto" w:fill="auto"/>
            <w:noWrap/>
            <w:hideMark/>
          </w:tcPr>
          <w:p w14:paraId="2EC44FD0" w14:textId="77777777" w:rsidR="006F0BB0" w:rsidRPr="006F0BB0" w:rsidRDefault="006F0BB0" w:rsidP="007D1DBA">
            <w:pPr>
              <w:jc w:val="right"/>
              <w:rPr>
                <w:sz w:val="18"/>
                <w:szCs w:val="18"/>
                <w:lang w:val="es-419" w:eastAsia="es-419"/>
              </w:rPr>
            </w:pPr>
            <w:r w:rsidRPr="006F0BB0">
              <w:rPr>
                <w:sz w:val="18"/>
                <w:szCs w:val="18"/>
                <w:lang w:val="es-419" w:eastAsia="es-419"/>
              </w:rPr>
              <w:t>1 447 462</w:t>
            </w:r>
          </w:p>
        </w:tc>
        <w:tc>
          <w:tcPr>
            <w:tcW w:w="1034" w:type="dxa"/>
            <w:tcBorders>
              <w:top w:val="nil"/>
              <w:left w:val="nil"/>
              <w:bottom w:val="single" w:sz="4" w:space="0" w:color="auto"/>
              <w:right w:val="single" w:sz="4" w:space="0" w:color="auto"/>
            </w:tcBorders>
            <w:shd w:val="clear" w:color="auto" w:fill="auto"/>
            <w:noWrap/>
            <w:hideMark/>
          </w:tcPr>
          <w:p w14:paraId="3C36ACB7" w14:textId="77777777" w:rsidR="006F0BB0" w:rsidRPr="006F0BB0" w:rsidRDefault="006F0BB0" w:rsidP="007D1DBA">
            <w:pPr>
              <w:jc w:val="right"/>
              <w:rPr>
                <w:sz w:val="18"/>
                <w:szCs w:val="18"/>
                <w:lang w:val="es-419" w:eastAsia="es-419"/>
              </w:rPr>
            </w:pPr>
            <w:r w:rsidRPr="006F0BB0">
              <w:rPr>
                <w:sz w:val="18"/>
                <w:szCs w:val="18"/>
                <w:lang w:val="es-419" w:eastAsia="es-419"/>
              </w:rPr>
              <w:t>1 507 463</w:t>
            </w:r>
          </w:p>
        </w:tc>
        <w:tc>
          <w:tcPr>
            <w:tcW w:w="1181" w:type="dxa"/>
            <w:tcBorders>
              <w:top w:val="nil"/>
              <w:left w:val="nil"/>
              <w:bottom w:val="single" w:sz="4" w:space="0" w:color="auto"/>
              <w:right w:val="single" w:sz="4" w:space="0" w:color="auto"/>
            </w:tcBorders>
            <w:shd w:val="clear" w:color="auto" w:fill="auto"/>
            <w:noWrap/>
            <w:hideMark/>
          </w:tcPr>
          <w:p w14:paraId="188CAD44" w14:textId="77777777" w:rsidR="006F0BB0" w:rsidRPr="006F0BB0" w:rsidRDefault="006F0BB0" w:rsidP="007D1DBA">
            <w:pPr>
              <w:jc w:val="right"/>
              <w:rPr>
                <w:sz w:val="18"/>
                <w:szCs w:val="18"/>
                <w:lang w:val="es-419" w:eastAsia="es-419"/>
              </w:rPr>
            </w:pPr>
            <w:r w:rsidRPr="006F0BB0">
              <w:rPr>
                <w:sz w:val="18"/>
                <w:szCs w:val="18"/>
                <w:lang w:val="es-419" w:eastAsia="es-419"/>
              </w:rPr>
              <w:t>118,5%</w:t>
            </w:r>
          </w:p>
        </w:tc>
      </w:tr>
      <w:tr w:rsidR="006F0BB0" w:rsidRPr="006F0BB0" w14:paraId="12A38C33"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B36DFC" w14:textId="77777777" w:rsidR="006F0BB0" w:rsidRPr="006F0BB0" w:rsidRDefault="006F0BB0" w:rsidP="007D1DBA">
            <w:pPr>
              <w:jc w:val="left"/>
              <w:rPr>
                <w:sz w:val="18"/>
                <w:szCs w:val="18"/>
                <w:lang w:val="es-419" w:eastAsia="es-419"/>
              </w:rPr>
            </w:pPr>
            <w:r w:rsidRPr="006F0BB0">
              <w:rPr>
                <w:sz w:val="18"/>
                <w:szCs w:val="18"/>
                <w:lang w:val="es-419" w:eastAsia="es-419"/>
              </w:rPr>
              <w:t>Chad</w:t>
            </w:r>
          </w:p>
        </w:tc>
        <w:tc>
          <w:tcPr>
            <w:tcW w:w="950" w:type="dxa"/>
            <w:tcBorders>
              <w:top w:val="nil"/>
              <w:left w:val="nil"/>
              <w:bottom w:val="single" w:sz="4" w:space="0" w:color="auto"/>
              <w:right w:val="single" w:sz="4" w:space="0" w:color="auto"/>
            </w:tcBorders>
            <w:shd w:val="clear" w:color="auto" w:fill="auto"/>
            <w:noWrap/>
            <w:hideMark/>
          </w:tcPr>
          <w:p w14:paraId="2B8F0E3A" w14:textId="77777777" w:rsidR="006F0BB0" w:rsidRPr="006F0BB0" w:rsidRDefault="006F0BB0" w:rsidP="007D1DBA">
            <w:pPr>
              <w:jc w:val="right"/>
              <w:rPr>
                <w:sz w:val="18"/>
                <w:szCs w:val="18"/>
                <w:lang w:val="es-419" w:eastAsia="es-419"/>
              </w:rPr>
            </w:pPr>
            <w:r w:rsidRPr="006F0BB0">
              <w:rPr>
                <w:sz w:val="18"/>
                <w:szCs w:val="18"/>
                <w:lang w:val="es-419" w:eastAsia="es-419"/>
              </w:rPr>
              <w:t>22 341 189</w:t>
            </w:r>
          </w:p>
        </w:tc>
        <w:tc>
          <w:tcPr>
            <w:tcW w:w="950" w:type="dxa"/>
            <w:tcBorders>
              <w:top w:val="nil"/>
              <w:left w:val="nil"/>
              <w:bottom w:val="single" w:sz="4" w:space="0" w:color="auto"/>
              <w:right w:val="single" w:sz="4" w:space="0" w:color="auto"/>
            </w:tcBorders>
            <w:shd w:val="clear" w:color="auto" w:fill="auto"/>
            <w:noWrap/>
            <w:hideMark/>
          </w:tcPr>
          <w:p w14:paraId="2A218AF5" w14:textId="77777777" w:rsidR="006F0BB0" w:rsidRPr="006F0BB0" w:rsidRDefault="006F0BB0" w:rsidP="007D1DBA">
            <w:pPr>
              <w:jc w:val="right"/>
              <w:rPr>
                <w:sz w:val="18"/>
                <w:szCs w:val="18"/>
                <w:lang w:val="es-419" w:eastAsia="es-419"/>
              </w:rPr>
            </w:pPr>
            <w:r w:rsidRPr="006F0BB0">
              <w:rPr>
                <w:sz w:val="18"/>
                <w:szCs w:val="18"/>
                <w:lang w:val="es-419" w:eastAsia="es-419"/>
              </w:rPr>
              <w:t>22 788 013</w:t>
            </w:r>
          </w:p>
        </w:tc>
        <w:tc>
          <w:tcPr>
            <w:tcW w:w="950" w:type="dxa"/>
            <w:tcBorders>
              <w:top w:val="nil"/>
              <w:left w:val="nil"/>
              <w:bottom w:val="single" w:sz="4" w:space="0" w:color="auto"/>
              <w:right w:val="single" w:sz="4" w:space="0" w:color="auto"/>
            </w:tcBorders>
            <w:shd w:val="clear" w:color="auto" w:fill="auto"/>
            <w:noWrap/>
            <w:hideMark/>
          </w:tcPr>
          <w:p w14:paraId="63DCA235" w14:textId="77777777" w:rsidR="006F0BB0" w:rsidRPr="006F0BB0" w:rsidRDefault="006F0BB0" w:rsidP="007D1DBA">
            <w:pPr>
              <w:jc w:val="right"/>
              <w:rPr>
                <w:sz w:val="18"/>
                <w:szCs w:val="18"/>
                <w:lang w:val="es-419" w:eastAsia="es-419"/>
              </w:rPr>
            </w:pPr>
            <w:r w:rsidRPr="006F0BB0">
              <w:rPr>
                <w:sz w:val="18"/>
                <w:szCs w:val="18"/>
                <w:lang w:val="es-419" w:eastAsia="es-419"/>
              </w:rPr>
              <w:t>23 243 773</w:t>
            </w:r>
          </w:p>
        </w:tc>
        <w:tc>
          <w:tcPr>
            <w:tcW w:w="978" w:type="dxa"/>
            <w:tcBorders>
              <w:top w:val="nil"/>
              <w:left w:val="nil"/>
              <w:bottom w:val="single" w:sz="4" w:space="0" w:color="auto"/>
              <w:right w:val="single" w:sz="4" w:space="0" w:color="auto"/>
            </w:tcBorders>
            <w:shd w:val="clear" w:color="auto" w:fill="auto"/>
            <w:noWrap/>
            <w:hideMark/>
          </w:tcPr>
          <w:p w14:paraId="2247B6DA" w14:textId="77777777" w:rsidR="006F0BB0" w:rsidRPr="006F0BB0" w:rsidRDefault="006F0BB0" w:rsidP="007D1DBA">
            <w:pPr>
              <w:jc w:val="right"/>
              <w:rPr>
                <w:sz w:val="18"/>
                <w:szCs w:val="18"/>
                <w:lang w:val="es-419" w:eastAsia="es-419"/>
              </w:rPr>
            </w:pPr>
            <w:r w:rsidRPr="006F0BB0">
              <w:rPr>
                <w:sz w:val="18"/>
                <w:szCs w:val="18"/>
                <w:lang w:val="es-419" w:eastAsia="es-419"/>
              </w:rPr>
              <w:t>23 708 648</w:t>
            </w:r>
          </w:p>
        </w:tc>
        <w:tc>
          <w:tcPr>
            <w:tcW w:w="950" w:type="dxa"/>
            <w:tcBorders>
              <w:top w:val="nil"/>
              <w:left w:val="nil"/>
              <w:bottom w:val="single" w:sz="4" w:space="0" w:color="auto"/>
              <w:right w:val="single" w:sz="4" w:space="0" w:color="auto"/>
            </w:tcBorders>
            <w:shd w:val="clear" w:color="auto" w:fill="auto"/>
            <w:noWrap/>
            <w:hideMark/>
          </w:tcPr>
          <w:p w14:paraId="343E9CBE" w14:textId="77777777" w:rsidR="006F0BB0" w:rsidRPr="006F0BB0" w:rsidRDefault="006F0BB0" w:rsidP="007D1DBA">
            <w:pPr>
              <w:jc w:val="right"/>
              <w:rPr>
                <w:sz w:val="18"/>
                <w:szCs w:val="18"/>
                <w:lang w:val="es-419" w:eastAsia="es-419"/>
              </w:rPr>
            </w:pPr>
            <w:r w:rsidRPr="006F0BB0">
              <w:rPr>
                <w:sz w:val="18"/>
                <w:szCs w:val="18"/>
                <w:lang w:val="es-419" w:eastAsia="es-419"/>
              </w:rPr>
              <w:t>26 079 513</w:t>
            </w:r>
          </w:p>
        </w:tc>
        <w:tc>
          <w:tcPr>
            <w:tcW w:w="950" w:type="dxa"/>
            <w:tcBorders>
              <w:top w:val="nil"/>
              <w:left w:val="nil"/>
              <w:bottom w:val="single" w:sz="4" w:space="0" w:color="auto"/>
              <w:right w:val="single" w:sz="4" w:space="0" w:color="auto"/>
            </w:tcBorders>
            <w:shd w:val="clear" w:color="auto" w:fill="auto"/>
            <w:noWrap/>
            <w:hideMark/>
          </w:tcPr>
          <w:p w14:paraId="610FECCE" w14:textId="77777777" w:rsidR="006F0BB0" w:rsidRPr="006F0BB0" w:rsidRDefault="006F0BB0" w:rsidP="007D1DBA">
            <w:pPr>
              <w:jc w:val="right"/>
              <w:rPr>
                <w:sz w:val="18"/>
                <w:szCs w:val="18"/>
                <w:lang w:val="es-419" w:eastAsia="es-419"/>
              </w:rPr>
            </w:pPr>
            <w:r w:rsidRPr="006F0BB0">
              <w:rPr>
                <w:sz w:val="18"/>
                <w:szCs w:val="18"/>
                <w:lang w:val="es-419" w:eastAsia="es-419"/>
              </w:rPr>
              <w:t>28 687 465</w:t>
            </w:r>
          </w:p>
        </w:tc>
        <w:tc>
          <w:tcPr>
            <w:tcW w:w="1076" w:type="dxa"/>
            <w:tcBorders>
              <w:top w:val="nil"/>
              <w:left w:val="nil"/>
              <w:bottom w:val="single" w:sz="4" w:space="0" w:color="auto"/>
              <w:right w:val="single" w:sz="4" w:space="0" w:color="auto"/>
            </w:tcBorders>
            <w:shd w:val="clear" w:color="auto" w:fill="auto"/>
            <w:noWrap/>
            <w:hideMark/>
          </w:tcPr>
          <w:p w14:paraId="3AFC7520" w14:textId="77777777" w:rsidR="006F0BB0" w:rsidRPr="006F0BB0" w:rsidRDefault="006F0BB0" w:rsidP="007D1DBA">
            <w:pPr>
              <w:jc w:val="right"/>
              <w:rPr>
                <w:sz w:val="18"/>
                <w:szCs w:val="18"/>
                <w:lang w:val="es-419" w:eastAsia="es-419"/>
              </w:rPr>
            </w:pPr>
            <w:r w:rsidRPr="006F0BB0">
              <w:rPr>
                <w:sz w:val="18"/>
                <w:szCs w:val="18"/>
                <w:lang w:val="es-419" w:eastAsia="es-419"/>
              </w:rPr>
              <w:t>23 246 811</w:t>
            </w:r>
          </w:p>
        </w:tc>
        <w:tc>
          <w:tcPr>
            <w:tcW w:w="1034" w:type="dxa"/>
            <w:tcBorders>
              <w:top w:val="nil"/>
              <w:left w:val="nil"/>
              <w:bottom w:val="single" w:sz="4" w:space="0" w:color="auto"/>
              <w:right w:val="single" w:sz="4" w:space="0" w:color="auto"/>
            </w:tcBorders>
            <w:shd w:val="clear" w:color="auto" w:fill="auto"/>
            <w:noWrap/>
            <w:hideMark/>
          </w:tcPr>
          <w:p w14:paraId="022621BF" w14:textId="77777777" w:rsidR="006F0BB0" w:rsidRPr="006F0BB0" w:rsidRDefault="006F0BB0" w:rsidP="007D1DBA">
            <w:pPr>
              <w:jc w:val="right"/>
              <w:rPr>
                <w:sz w:val="18"/>
                <w:szCs w:val="18"/>
                <w:lang w:val="es-419" w:eastAsia="es-419"/>
              </w:rPr>
            </w:pPr>
            <w:r w:rsidRPr="006F0BB0">
              <w:rPr>
                <w:sz w:val="18"/>
                <w:szCs w:val="18"/>
                <w:lang w:val="es-419" w:eastAsia="es-419"/>
              </w:rPr>
              <w:t>23 591 173</w:t>
            </w:r>
          </w:p>
        </w:tc>
        <w:tc>
          <w:tcPr>
            <w:tcW w:w="1181" w:type="dxa"/>
            <w:tcBorders>
              <w:top w:val="nil"/>
              <w:left w:val="nil"/>
              <w:bottom w:val="single" w:sz="4" w:space="0" w:color="auto"/>
              <w:right w:val="single" w:sz="4" w:space="0" w:color="auto"/>
            </w:tcBorders>
            <w:shd w:val="clear" w:color="auto" w:fill="auto"/>
            <w:noWrap/>
            <w:hideMark/>
          </w:tcPr>
          <w:p w14:paraId="0BE95D0E" w14:textId="77777777" w:rsidR="006F0BB0" w:rsidRPr="006F0BB0" w:rsidRDefault="006F0BB0" w:rsidP="007D1DBA">
            <w:pPr>
              <w:jc w:val="right"/>
              <w:rPr>
                <w:sz w:val="18"/>
                <w:szCs w:val="18"/>
                <w:lang w:val="es-419" w:eastAsia="es-419"/>
              </w:rPr>
            </w:pPr>
            <w:r w:rsidRPr="006F0BB0">
              <w:rPr>
                <w:sz w:val="18"/>
                <w:szCs w:val="18"/>
                <w:lang w:val="es-419" w:eastAsia="es-419"/>
              </w:rPr>
              <w:t>121,6%</w:t>
            </w:r>
          </w:p>
        </w:tc>
      </w:tr>
      <w:tr w:rsidR="006F0BB0" w:rsidRPr="006F0BB0" w14:paraId="4E04217D" w14:textId="77777777" w:rsidTr="007D1DBA">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464E25" w14:textId="77777777" w:rsidR="006F0BB0" w:rsidRPr="006F0BB0" w:rsidRDefault="006F0BB0" w:rsidP="007D1DBA">
            <w:pPr>
              <w:jc w:val="left"/>
              <w:rPr>
                <w:sz w:val="18"/>
                <w:szCs w:val="18"/>
                <w:lang w:val="es-419" w:eastAsia="es-419"/>
              </w:rPr>
            </w:pPr>
            <w:r w:rsidRPr="006F0BB0">
              <w:rPr>
                <w:sz w:val="18"/>
                <w:szCs w:val="18"/>
                <w:lang w:val="es-419" w:eastAsia="es-419"/>
              </w:rPr>
              <w:t>Cabo Verde</w:t>
            </w:r>
          </w:p>
        </w:tc>
        <w:tc>
          <w:tcPr>
            <w:tcW w:w="950" w:type="dxa"/>
            <w:tcBorders>
              <w:top w:val="nil"/>
              <w:left w:val="nil"/>
              <w:bottom w:val="single" w:sz="4" w:space="0" w:color="auto"/>
              <w:right w:val="single" w:sz="4" w:space="0" w:color="auto"/>
            </w:tcBorders>
            <w:shd w:val="clear" w:color="auto" w:fill="auto"/>
            <w:noWrap/>
            <w:hideMark/>
          </w:tcPr>
          <w:p w14:paraId="4F30B2ED" w14:textId="77777777" w:rsidR="006F0BB0" w:rsidRPr="006F0BB0" w:rsidRDefault="006F0BB0" w:rsidP="007D1DBA">
            <w:pPr>
              <w:jc w:val="right"/>
              <w:rPr>
                <w:sz w:val="18"/>
                <w:szCs w:val="18"/>
                <w:lang w:val="es-419" w:eastAsia="es-419"/>
              </w:rPr>
            </w:pPr>
            <w:r w:rsidRPr="006F0BB0">
              <w:rPr>
                <w:sz w:val="18"/>
                <w:szCs w:val="18"/>
                <w:lang w:val="es-419" w:eastAsia="es-419"/>
              </w:rPr>
              <w:t>3 498 447</w:t>
            </w:r>
          </w:p>
        </w:tc>
        <w:tc>
          <w:tcPr>
            <w:tcW w:w="950" w:type="dxa"/>
            <w:tcBorders>
              <w:top w:val="nil"/>
              <w:left w:val="nil"/>
              <w:bottom w:val="single" w:sz="4" w:space="0" w:color="auto"/>
              <w:right w:val="single" w:sz="4" w:space="0" w:color="auto"/>
            </w:tcBorders>
            <w:shd w:val="clear" w:color="auto" w:fill="auto"/>
            <w:noWrap/>
            <w:hideMark/>
          </w:tcPr>
          <w:p w14:paraId="1A4D0940" w14:textId="77777777" w:rsidR="006F0BB0" w:rsidRPr="006F0BB0" w:rsidRDefault="006F0BB0" w:rsidP="007D1DBA">
            <w:pPr>
              <w:jc w:val="right"/>
              <w:rPr>
                <w:sz w:val="18"/>
                <w:szCs w:val="18"/>
                <w:lang w:val="es-419" w:eastAsia="es-419"/>
              </w:rPr>
            </w:pPr>
            <w:r w:rsidRPr="006F0BB0">
              <w:rPr>
                <w:sz w:val="18"/>
                <w:szCs w:val="18"/>
                <w:lang w:val="es-419" w:eastAsia="es-419"/>
              </w:rPr>
              <w:t>3 568 416</w:t>
            </w:r>
          </w:p>
        </w:tc>
        <w:tc>
          <w:tcPr>
            <w:tcW w:w="950" w:type="dxa"/>
            <w:tcBorders>
              <w:top w:val="nil"/>
              <w:left w:val="nil"/>
              <w:bottom w:val="single" w:sz="4" w:space="0" w:color="auto"/>
              <w:right w:val="single" w:sz="4" w:space="0" w:color="auto"/>
            </w:tcBorders>
            <w:shd w:val="clear" w:color="auto" w:fill="auto"/>
            <w:noWrap/>
            <w:hideMark/>
          </w:tcPr>
          <w:p w14:paraId="1868A1A3" w14:textId="77777777" w:rsidR="006F0BB0" w:rsidRPr="006F0BB0" w:rsidRDefault="006F0BB0" w:rsidP="007D1DBA">
            <w:pPr>
              <w:jc w:val="right"/>
              <w:rPr>
                <w:sz w:val="18"/>
                <w:szCs w:val="18"/>
                <w:lang w:val="es-419" w:eastAsia="es-419"/>
              </w:rPr>
            </w:pPr>
            <w:r w:rsidRPr="006F0BB0">
              <w:rPr>
                <w:sz w:val="18"/>
                <w:szCs w:val="18"/>
                <w:lang w:val="es-419" w:eastAsia="es-419"/>
              </w:rPr>
              <w:t>3 639 785</w:t>
            </w:r>
          </w:p>
        </w:tc>
        <w:tc>
          <w:tcPr>
            <w:tcW w:w="978" w:type="dxa"/>
            <w:tcBorders>
              <w:top w:val="nil"/>
              <w:left w:val="nil"/>
              <w:bottom w:val="single" w:sz="4" w:space="0" w:color="auto"/>
              <w:right w:val="single" w:sz="4" w:space="0" w:color="auto"/>
            </w:tcBorders>
            <w:shd w:val="clear" w:color="auto" w:fill="auto"/>
            <w:noWrap/>
            <w:hideMark/>
          </w:tcPr>
          <w:p w14:paraId="010DA556" w14:textId="77777777" w:rsidR="006F0BB0" w:rsidRPr="006F0BB0" w:rsidRDefault="006F0BB0" w:rsidP="007D1DBA">
            <w:pPr>
              <w:jc w:val="right"/>
              <w:rPr>
                <w:sz w:val="18"/>
                <w:szCs w:val="18"/>
                <w:lang w:val="es-419" w:eastAsia="es-419"/>
              </w:rPr>
            </w:pPr>
            <w:r w:rsidRPr="006F0BB0">
              <w:rPr>
                <w:sz w:val="18"/>
                <w:szCs w:val="18"/>
                <w:lang w:val="es-419" w:eastAsia="es-419"/>
              </w:rPr>
              <w:t>3 712 580</w:t>
            </w:r>
          </w:p>
        </w:tc>
        <w:tc>
          <w:tcPr>
            <w:tcW w:w="950" w:type="dxa"/>
            <w:tcBorders>
              <w:top w:val="nil"/>
              <w:left w:val="nil"/>
              <w:bottom w:val="single" w:sz="4" w:space="0" w:color="auto"/>
              <w:right w:val="single" w:sz="4" w:space="0" w:color="auto"/>
            </w:tcBorders>
            <w:shd w:val="clear" w:color="auto" w:fill="auto"/>
            <w:noWrap/>
            <w:hideMark/>
          </w:tcPr>
          <w:p w14:paraId="038C93C9" w14:textId="77777777" w:rsidR="006F0BB0" w:rsidRPr="006F0BB0" w:rsidRDefault="006F0BB0" w:rsidP="007D1DBA">
            <w:pPr>
              <w:jc w:val="right"/>
              <w:rPr>
                <w:sz w:val="18"/>
                <w:szCs w:val="18"/>
                <w:lang w:val="es-419" w:eastAsia="es-419"/>
              </w:rPr>
            </w:pPr>
            <w:r w:rsidRPr="006F0BB0">
              <w:rPr>
                <w:sz w:val="18"/>
                <w:szCs w:val="18"/>
                <w:lang w:val="es-419" w:eastAsia="es-419"/>
              </w:rPr>
              <w:t>4 083 838</w:t>
            </w:r>
          </w:p>
        </w:tc>
        <w:tc>
          <w:tcPr>
            <w:tcW w:w="950" w:type="dxa"/>
            <w:tcBorders>
              <w:top w:val="nil"/>
              <w:left w:val="nil"/>
              <w:bottom w:val="single" w:sz="4" w:space="0" w:color="auto"/>
              <w:right w:val="single" w:sz="4" w:space="0" w:color="auto"/>
            </w:tcBorders>
            <w:shd w:val="clear" w:color="auto" w:fill="auto"/>
            <w:noWrap/>
            <w:hideMark/>
          </w:tcPr>
          <w:p w14:paraId="430E3AB2" w14:textId="77777777" w:rsidR="006F0BB0" w:rsidRPr="006F0BB0" w:rsidRDefault="006F0BB0" w:rsidP="007D1DBA">
            <w:pPr>
              <w:jc w:val="right"/>
              <w:rPr>
                <w:sz w:val="18"/>
                <w:szCs w:val="18"/>
                <w:lang w:val="es-419" w:eastAsia="es-419"/>
              </w:rPr>
            </w:pPr>
            <w:r w:rsidRPr="006F0BB0">
              <w:rPr>
                <w:sz w:val="18"/>
                <w:szCs w:val="18"/>
                <w:lang w:val="es-419" w:eastAsia="es-419"/>
              </w:rPr>
              <w:t>4 492 222</w:t>
            </w:r>
          </w:p>
        </w:tc>
        <w:tc>
          <w:tcPr>
            <w:tcW w:w="1076" w:type="dxa"/>
            <w:tcBorders>
              <w:top w:val="nil"/>
              <w:left w:val="nil"/>
              <w:bottom w:val="single" w:sz="4" w:space="0" w:color="auto"/>
              <w:right w:val="single" w:sz="4" w:space="0" w:color="auto"/>
            </w:tcBorders>
            <w:shd w:val="clear" w:color="auto" w:fill="auto"/>
            <w:noWrap/>
            <w:hideMark/>
          </w:tcPr>
          <w:p w14:paraId="13EE983D" w14:textId="77777777" w:rsidR="006F0BB0" w:rsidRPr="006F0BB0" w:rsidRDefault="006F0BB0" w:rsidP="007D1DBA">
            <w:pPr>
              <w:jc w:val="right"/>
              <w:rPr>
                <w:sz w:val="18"/>
                <w:szCs w:val="18"/>
                <w:lang w:val="es-419" w:eastAsia="es-419"/>
              </w:rPr>
            </w:pPr>
            <w:r w:rsidRPr="006F0BB0">
              <w:rPr>
                <w:sz w:val="18"/>
                <w:szCs w:val="18"/>
                <w:lang w:val="es-419" w:eastAsia="es-419"/>
              </w:rPr>
              <w:t>3 640 260</w:t>
            </w:r>
          </w:p>
        </w:tc>
        <w:tc>
          <w:tcPr>
            <w:tcW w:w="1034" w:type="dxa"/>
            <w:tcBorders>
              <w:top w:val="nil"/>
              <w:left w:val="nil"/>
              <w:bottom w:val="single" w:sz="4" w:space="0" w:color="auto"/>
              <w:right w:val="single" w:sz="4" w:space="0" w:color="auto"/>
            </w:tcBorders>
            <w:shd w:val="clear" w:color="auto" w:fill="auto"/>
            <w:noWrap/>
            <w:hideMark/>
          </w:tcPr>
          <w:p w14:paraId="43532105" w14:textId="77777777" w:rsidR="006F0BB0" w:rsidRPr="006F0BB0" w:rsidRDefault="006F0BB0" w:rsidP="007D1DBA">
            <w:pPr>
              <w:jc w:val="right"/>
              <w:rPr>
                <w:sz w:val="18"/>
                <w:szCs w:val="18"/>
                <w:lang w:val="es-419" w:eastAsia="es-419"/>
              </w:rPr>
            </w:pPr>
            <w:r w:rsidRPr="006F0BB0">
              <w:rPr>
                <w:sz w:val="18"/>
                <w:szCs w:val="18"/>
                <w:lang w:val="es-419" w:eastAsia="es-419"/>
              </w:rPr>
              <w:t>3 662 026</w:t>
            </w:r>
          </w:p>
        </w:tc>
        <w:tc>
          <w:tcPr>
            <w:tcW w:w="1181" w:type="dxa"/>
            <w:tcBorders>
              <w:top w:val="nil"/>
              <w:left w:val="nil"/>
              <w:bottom w:val="single" w:sz="4" w:space="0" w:color="auto"/>
              <w:right w:val="single" w:sz="4" w:space="0" w:color="auto"/>
            </w:tcBorders>
            <w:shd w:val="clear" w:color="auto" w:fill="auto"/>
            <w:noWrap/>
            <w:hideMark/>
          </w:tcPr>
          <w:p w14:paraId="672693E2" w14:textId="77777777" w:rsidR="006F0BB0" w:rsidRPr="006F0BB0" w:rsidRDefault="006F0BB0" w:rsidP="007D1DBA">
            <w:pPr>
              <w:jc w:val="right"/>
              <w:rPr>
                <w:sz w:val="18"/>
                <w:szCs w:val="18"/>
                <w:lang w:val="es-419" w:eastAsia="es-419"/>
              </w:rPr>
            </w:pPr>
            <w:r w:rsidRPr="006F0BB0">
              <w:rPr>
                <w:sz w:val="18"/>
                <w:szCs w:val="18"/>
                <w:lang w:val="es-419" w:eastAsia="es-419"/>
              </w:rPr>
              <w:t>122,7%</w:t>
            </w:r>
          </w:p>
        </w:tc>
      </w:tr>
    </w:tbl>
    <w:p w14:paraId="0F8590D4" w14:textId="77777777" w:rsidR="006F0BB0" w:rsidRPr="006F0BB0" w:rsidRDefault="006F0BB0" w:rsidP="006F0BB0">
      <w:pPr>
        <w:pStyle w:val="StyleHeader4Para4Left0Firstline0"/>
        <w:numPr>
          <w:ilvl w:val="0"/>
          <w:numId w:val="0"/>
        </w:numPr>
        <w:spacing w:after="0"/>
        <w:jc w:val="left"/>
        <w:rPr>
          <w:sz w:val="22"/>
        </w:rPr>
      </w:pPr>
    </w:p>
    <w:p w14:paraId="1211D562" w14:textId="77777777" w:rsidR="006F0BB0" w:rsidRPr="006F0BB0" w:rsidRDefault="006F0BB0" w:rsidP="006F0BB0">
      <w:pPr>
        <w:pStyle w:val="StyleHeader4Para4Left0Firstline0"/>
        <w:numPr>
          <w:ilvl w:val="0"/>
          <w:numId w:val="0"/>
        </w:numPr>
        <w:spacing w:after="0"/>
        <w:jc w:val="left"/>
        <w:rPr>
          <w:sz w:val="22"/>
        </w:rPr>
      </w:pPr>
    </w:p>
    <w:p w14:paraId="5133C533" w14:textId="77777777" w:rsidR="006F0BB0" w:rsidRPr="006F0BB0" w:rsidRDefault="006F0BB0" w:rsidP="006F0BB0">
      <w:pPr>
        <w:jc w:val="left"/>
        <w:sectPr w:rsidR="006F0BB0" w:rsidRPr="006F0BB0" w:rsidSect="008A6DB6">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pPr>
    </w:p>
    <w:p w14:paraId="4A2122FF" w14:textId="77777777" w:rsidR="006F0BB0" w:rsidRPr="006F0BB0" w:rsidRDefault="006F0BB0" w:rsidP="006F0BB0">
      <w:pPr>
        <w:pStyle w:val="StyleHeader4Para4Left0Firstline0"/>
        <w:numPr>
          <w:ilvl w:val="0"/>
          <w:numId w:val="0"/>
        </w:numPr>
        <w:spacing w:after="0"/>
        <w:jc w:val="center"/>
        <w:rPr>
          <w:b/>
          <w:sz w:val="22"/>
        </w:rPr>
      </w:pPr>
      <w:r w:rsidRPr="006F0BB0">
        <w:rPr>
          <w:b/>
          <w:sz w:val="22"/>
        </w:rPr>
        <w:lastRenderedPageBreak/>
        <w:t>Anexo II</w:t>
      </w:r>
    </w:p>
    <w:p w14:paraId="744878EF" w14:textId="77777777" w:rsidR="006F0BB0" w:rsidRPr="006F0BB0" w:rsidRDefault="006F0BB0" w:rsidP="006F0BB0">
      <w:pPr>
        <w:pStyle w:val="StyleHeader4Para4Left0Firstline0"/>
        <w:numPr>
          <w:ilvl w:val="0"/>
          <w:numId w:val="0"/>
        </w:numPr>
        <w:spacing w:after="0"/>
        <w:jc w:val="center"/>
        <w:rPr>
          <w:b/>
          <w:sz w:val="22"/>
        </w:rPr>
      </w:pPr>
    </w:p>
    <w:p w14:paraId="1B546309" w14:textId="77777777" w:rsidR="006F0BB0" w:rsidRPr="006F0BB0" w:rsidRDefault="006F0BB0" w:rsidP="006F0BB0">
      <w:pPr>
        <w:jc w:val="center"/>
        <w:rPr>
          <w:b/>
          <w:lang w:val="es-ES"/>
        </w:rPr>
      </w:pPr>
      <w:r w:rsidRPr="006F0BB0">
        <w:rPr>
          <w:b/>
          <w:lang w:val="es-ES"/>
        </w:rPr>
        <w:t>RESUMEN DE LAS MODALIDADES DE EJECUCIÓN DE LOS PROYECTOS DE INVERSIÓN</w:t>
      </w:r>
    </w:p>
    <w:p w14:paraId="0F680DA4" w14:textId="77777777" w:rsidR="006F0BB0" w:rsidRPr="006F0BB0" w:rsidRDefault="006F0BB0" w:rsidP="006F0BB0">
      <w:pPr>
        <w:rPr>
          <w:b/>
          <w:sz w:val="21"/>
          <w:szCs w:val="21"/>
          <w:lang w:val="es-ES"/>
        </w:rPr>
      </w:pPr>
    </w:p>
    <w:tbl>
      <w:tblPr>
        <w:tblStyle w:val="TableGrid"/>
        <w:tblW w:w="9445" w:type="dxa"/>
        <w:tblLook w:val="04A0" w:firstRow="1" w:lastRow="0" w:firstColumn="1" w:lastColumn="0" w:noHBand="0" w:noVBand="1"/>
      </w:tblPr>
      <w:tblGrid>
        <w:gridCol w:w="1223"/>
        <w:gridCol w:w="1164"/>
        <w:gridCol w:w="1164"/>
        <w:gridCol w:w="3123"/>
        <w:gridCol w:w="2771"/>
      </w:tblGrid>
      <w:tr w:rsidR="006F0BB0" w:rsidRPr="00482916" w14:paraId="4CF4AA49" w14:textId="77777777" w:rsidTr="007D1DBA">
        <w:trPr>
          <w:tblHeader/>
        </w:trPr>
        <w:tc>
          <w:tcPr>
            <w:tcW w:w="1165" w:type="dxa"/>
            <w:vAlign w:val="center"/>
          </w:tcPr>
          <w:p w14:paraId="25DFF6FD" w14:textId="77777777" w:rsidR="006F0BB0" w:rsidRPr="006F0BB0" w:rsidRDefault="006F0BB0" w:rsidP="007D1DBA">
            <w:pPr>
              <w:jc w:val="left"/>
              <w:rPr>
                <w:b/>
                <w:sz w:val="19"/>
                <w:szCs w:val="19"/>
              </w:rPr>
            </w:pPr>
            <w:r w:rsidRPr="006F0BB0">
              <w:rPr>
                <w:b/>
                <w:sz w:val="19"/>
                <w:szCs w:val="19"/>
              </w:rPr>
              <w:t>Sector</w:t>
            </w:r>
          </w:p>
        </w:tc>
        <w:tc>
          <w:tcPr>
            <w:tcW w:w="1170" w:type="dxa"/>
            <w:vAlign w:val="center"/>
          </w:tcPr>
          <w:p w14:paraId="1C131A69" w14:textId="77777777" w:rsidR="006F0BB0" w:rsidRPr="006F0BB0" w:rsidRDefault="006F0BB0" w:rsidP="007D1DBA">
            <w:pPr>
              <w:jc w:val="center"/>
              <w:rPr>
                <w:b/>
                <w:sz w:val="19"/>
                <w:szCs w:val="19"/>
              </w:rPr>
            </w:pPr>
            <w:r w:rsidRPr="006F0BB0">
              <w:rPr>
                <w:b/>
                <w:sz w:val="19"/>
                <w:szCs w:val="19"/>
              </w:rPr>
              <w:t xml:space="preserve">HCFC </w:t>
            </w:r>
          </w:p>
        </w:tc>
        <w:tc>
          <w:tcPr>
            <w:tcW w:w="1170" w:type="dxa"/>
            <w:vAlign w:val="center"/>
          </w:tcPr>
          <w:p w14:paraId="23E8E119" w14:textId="77777777" w:rsidR="006F0BB0" w:rsidRPr="006F0BB0" w:rsidRDefault="006F0BB0" w:rsidP="007D1DBA">
            <w:pPr>
              <w:jc w:val="center"/>
              <w:rPr>
                <w:b/>
                <w:sz w:val="19"/>
                <w:szCs w:val="19"/>
              </w:rPr>
            </w:pPr>
            <w:r w:rsidRPr="006F0BB0">
              <w:rPr>
                <w:b/>
                <w:sz w:val="19"/>
                <w:szCs w:val="19"/>
              </w:rPr>
              <w:t xml:space="preserve">HFC </w:t>
            </w:r>
          </w:p>
        </w:tc>
        <w:tc>
          <w:tcPr>
            <w:tcW w:w="3150" w:type="dxa"/>
            <w:vAlign w:val="center"/>
          </w:tcPr>
          <w:p w14:paraId="38104357" w14:textId="77777777" w:rsidR="006F0BB0" w:rsidRPr="006F0BB0" w:rsidRDefault="006F0BB0" w:rsidP="007D1DBA">
            <w:pPr>
              <w:jc w:val="center"/>
              <w:rPr>
                <w:b/>
                <w:sz w:val="19"/>
                <w:szCs w:val="19"/>
                <w:lang w:val="es-ES"/>
              </w:rPr>
            </w:pPr>
            <w:r w:rsidRPr="006F0BB0">
              <w:rPr>
                <w:b/>
                <w:sz w:val="19"/>
                <w:szCs w:val="19"/>
                <w:lang w:val="es-ES"/>
              </w:rPr>
              <w:t>Posibilidades de ejecución integrada de la eliminación de los HCFC y la reducción de los /HFC</w:t>
            </w:r>
          </w:p>
        </w:tc>
        <w:tc>
          <w:tcPr>
            <w:tcW w:w="2790" w:type="dxa"/>
            <w:vAlign w:val="center"/>
          </w:tcPr>
          <w:p w14:paraId="62F4307A" w14:textId="77777777" w:rsidR="006F0BB0" w:rsidRPr="006F0BB0" w:rsidRDefault="006F0BB0" w:rsidP="007D1DBA">
            <w:pPr>
              <w:jc w:val="center"/>
              <w:rPr>
                <w:b/>
                <w:sz w:val="19"/>
                <w:szCs w:val="19"/>
                <w:lang w:val="es-ES"/>
              </w:rPr>
            </w:pPr>
            <w:r w:rsidRPr="006F0BB0">
              <w:rPr>
                <w:b/>
                <w:sz w:val="19"/>
                <w:szCs w:val="19"/>
                <w:lang w:val="es-ES"/>
              </w:rPr>
              <w:t>Otras consideraciones (entre otras las medidas tempranas para limitar el crecimiento del consumo de HFC)</w:t>
            </w:r>
          </w:p>
        </w:tc>
      </w:tr>
      <w:tr w:rsidR="006F0BB0" w:rsidRPr="00482916" w14:paraId="1E93A351" w14:textId="77777777" w:rsidTr="007D1DBA">
        <w:tc>
          <w:tcPr>
            <w:tcW w:w="1165" w:type="dxa"/>
            <w:tcMar>
              <w:left w:w="72" w:type="dxa"/>
              <w:right w:w="43" w:type="dxa"/>
            </w:tcMar>
          </w:tcPr>
          <w:p w14:paraId="613596EC" w14:textId="77777777" w:rsidR="006F0BB0" w:rsidRPr="006F0BB0" w:rsidRDefault="006F0BB0" w:rsidP="007D1DBA">
            <w:pPr>
              <w:jc w:val="left"/>
              <w:rPr>
                <w:sz w:val="19"/>
                <w:szCs w:val="19"/>
              </w:rPr>
            </w:pPr>
            <w:proofErr w:type="spellStart"/>
            <w:r w:rsidRPr="006F0BB0">
              <w:rPr>
                <w:sz w:val="19"/>
                <w:szCs w:val="19"/>
              </w:rPr>
              <w:t>Espumas</w:t>
            </w:r>
            <w:proofErr w:type="spellEnd"/>
            <w:r w:rsidRPr="006F0BB0">
              <w:rPr>
                <w:sz w:val="19"/>
                <w:szCs w:val="19"/>
              </w:rPr>
              <w:t xml:space="preserve"> de </w:t>
            </w:r>
            <w:proofErr w:type="spellStart"/>
            <w:r w:rsidRPr="006F0BB0">
              <w:rPr>
                <w:sz w:val="19"/>
                <w:szCs w:val="19"/>
              </w:rPr>
              <w:t>poliuretano</w:t>
            </w:r>
            <w:proofErr w:type="spellEnd"/>
          </w:p>
        </w:tc>
        <w:tc>
          <w:tcPr>
            <w:tcW w:w="1170" w:type="dxa"/>
            <w:tcMar>
              <w:left w:w="72" w:type="dxa"/>
              <w:right w:w="43" w:type="dxa"/>
            </w:tcMar>
          </w:tcPr>
          <w:p w14:paraId="5FEBC4DB" w14:textId="77777777" w:rsidR="006F0BB0" w:rsidRPr="006F0BB0" w:rsidRDefault="006F0BB0" w:rsidP="007D1DBA">
            <w:pPr>
              <w:jc w:val="left"/>
              <w:rPr>
                <w:sz w:val="19"/>
                <w:szCs w:val="19"/>
              </w:rPr>
            </w:pPr>
            <w:r w:rsidRPr="006F0BB0">
              <w:rPr>
                <w:sz w:val="19"/>
                <w:szCs w:val="19"/>
              </w:rPr>
              <w:t>HCFC-141b</w:t>
            </w:r>
          </w:p>
        </w:tc>
        <w:tc>
          <w:tcPr>
            <w:tcW w:w="1170" w:type="dxa"/>
            <w:tcMar>
              <w:left w:w="72" w:type="dxa"/>
              <w:right w:w="43" w:type="dxa"/>
            </w:tcMar>
          </w:tcPr>
          <w:p w14:paraId="72EBFFB0" w14:textId="77777777" w:rsidR="006F0BB0" w:rsidRPr="006F0BB0" w:rsidRDefault="006F0BB0" w:rsidP="007D1DBA">
            <w:pPr>
              <w:jc w:val="left"/>
              <w:rPr>
                <w:sz w:val="19"/>
                <w:szCs w:val="19"/>
              </w:rPr>
            </w:pPr>
            <w:r w:rsidRPr="006F0BB0">
              <w:rPr>
                <w:sz w:val="19"/>
                <w:szCs w:val="19"/>
              </w:rPr>
              <w:t>HFC-245fa</w:t>
            </w:r>
          </w:p>
          <w:p w14:paraId="62BD05FC" w14:textId="77777777" w:rsidR="006F0BB0" w:rsidRPr="006F0BB0" w:rsidRDefault="006F0BB0" w:rsidP="007D1DBA">
            <w:pPr>
              <w:jc w:val="left"/>
              <w:rPr>
                <w:sz w:val="19"/>
                <w:szCs w:val="19"/>
              </w:rPr>
            </w:pPr>
            <w:r w:rsidRPr="006F0BB0">
              <w:rPr>
                <w:sz w:val="19"/>
                <w:szCs w:val="19"/>
              </w:rPr>
              <w:t>HFC-365mfc / HFC-227ea</w:t>
            </w:r>
          </w:p>
        </w:tc>
        <w:tc>
          <w:tcPr>
            <w:tcW w:w="3150" w:type="dxa"/>
            <w:tcMar>
              <w:left w:w="72" w:type="dxa"/>
              <w:right w:w="43" w:type="dxa"/>
            </w:tcMar>
          </w:tcPr>
          <w:p w14:paraId="089B88EA" w14:textId="77777777" w:rsidR="006F0BB0" w:rsidRPr="006F0BB0" w:rsidRDefault="006F0BB0" w:rsidP="007D1DBA">
            <w:pPr>
              <w:spacing w:after="60"/>
              <w:jc w:val="left"/>
              <w:rPr>
                <w:sz w:val="19"/>
                <w:szCs w:val="19"/>
                <w:lang w:val="es-ES"/>
              </w:rPr>
            </w:pPr>
            <w:r w:rsidRPr="006F0BB0">
              <w:rPr>
                <w:sz w:val="19"/>
                <w:szCs w:val="19"/>
                <w:lang w:val="es-ES"/>
              </w:rPr>
              <w:t>Los planes del sector de espumas de poliuretano se encuentran en etapas avanzadas de ejecución en la mayoría de los países donde se están introduciendo alternativas de bajo PCA. Por esa razón, la ejecución integrada podría verse limitada a los casos en que cabría esperar una labor sustantiva de eliminación de los HCFC en los próximos años.</w:t>
            </w:r>
          </w:p>
        </w:tc>
        <w:tc>
          <w:tcPr>
            <w:tcW w:w="2790" w:type="dxa"/>
            <w:tcMar>
              <w:left w:w="72" w:type="dxa"/>
              <w:right w:w="43" w:type="dxa"/>
            </w:tcMar>
          </w:tcPr>
          <w:p w14:paraId="51E02FDB" w14:textId="77777777" w:rsidR="006F0BB0" w:rsidRPr="006F0BB0" w:rsidRDefault="006F0BB0" w:rsidP="007D1DBA">
            <w:pPr>
              <w:spacing w:after="60"/>
              <w:jc w:val="left"/>
              <w:rPr>
                <w:sz w:val="19"/>
                <w:szCs w:val="19"/>
                <w:lang w:val="es-ES"/>
              </w:rPr>
            </w:pPr>
            <w:r w:rsidRPr="006F0BB0">
              <w:rPr>
                <w:sz w:val="19"/>
                <w:szCs w:val="19"/>
                <w:lang w:val="es-ES"/>
              </w:rPr>
              <w:t xml:space="preserve">La eliminación de los HFC en este sector podría contribuir a asegurar la adopción sostenida de alternativas de bajo PCA en el marco de los planes de eliminación de los HCFC. </w:t>
            </w:r>
          </w:p>
          <w:p w14:paraId="2098BCE7" w14:textId="77777777" w:rsidR="006F0BB0" w:rsidRPr="006F0BB0" w:rsidRDefault="006F0BB0" w:rsidP="007D1DBA">
            <w:pPr>
              <w:spacing w:after="60"/>
              <w:jc w:val="left"/>
              <w:rPr>
                <w:sz w:val="19"/>
                <w:szCs w:val="19"/>
                <w:lang w:val="es-ES"/>
              </w:rPr>
            </w:pPr>
          </w:p>
        </w:tc>
      </w:tr>
      <w:tr w:rsidR="006F0BB0" w:rsidRPr="00482916" w14:paraId="1E9140B4" w14:textId="77777777" w:rsidTr="007D1DBA">
        <w:tc>
          <w:tcPr>
            <w:tcW w:w="1165" w:type="dxa"/>
            <w:tcMar>
              <w:left w:w="72" w:type="dxa"/>
              <w:right w:w="43" w:type="dxa"/>
            </w:tcMar>
          </w:tcPr>
          <w:p w14:paraId="20ED1326" w14:textId="77777777" w:rsidR="006F0BB0" w:rsidRPr="006F0BB0" w:rsidRDefault="006F0BB0" w:rsidP="007D1DBA">
            <w:pPr>
              <w:jc w:val="left"/>
              <w:rPr>
                <w:sz w:val="19"/>
                <w:szCs w:val="19"/>
                <w:lang w:val="es-ES"/>
              </w:rPr>
            </w:pPr>
            <w:r w:rsidRPr="006F0BB0">
              <w:rPr>
                <w:sz w:val="19"/>
                <w:szCs w:val="19"/>
                <w:lang w:val="es-ES"/>
              </w:rPr>
              <w:t xml:space="preserve">Espumas de </w:t>
            </w:r>
            <w:proofErr w:type="spellStart"/>
            <w:r w:rsidRPr="006F0BB0">
              <w:rPr>
                <w:sz w:val="19"/>
                <w:szCs w:val="19"/>
                <w:lang w:val="es-ES"/>
              </w:rPr>
              <w:t>poliestireno</w:t>
            </w:r>
            <w:proofErr w:type="spellEnd"/>
            <w:r w:rsidRPr="006F0BB0">
              <w:rPr>
                <w:sz w:val="19"/>
                <w:szCs w:val="19"/>
                <w:lang w:val="es-ES"/>
              </w:rPr>
              <w:t xml:space="preserve"> extruido</w:t>
            </w:r>
          </w:p>
        </w:tc>
        <w:tc>
          <w:tcPr>
            <w:tcW w:w="1170" w:type="dxa"/>
            <w:tcMar>
              <w:left w:w="72" w:type="dxa"/>
              <w:right w:w="43" w:type="dxa"/>
            </w:tcMar>
          </w:tcPr>
          <w:p w14:paraId="42045F8A" w14:textId="77777777" w:rsidR="006F0BB0" w:rsidRPr="006F0BB0" w:rsidRDefault="006F0BB0" w:rsidP="007D1DBA">
            <w:pPr>
              <w:jc w:val="left"/>
              <w:rPr>
                <w:sz w:val="19"/>
                <w:szCs w:val="19"/>
              </w:rPr>
            </w:pPr>
            <w:r w:rsidRPr="006F0BB0">
              <w:rPr>
                <w:sz w:val="19"/>
                <w:szCs w:val="19"/>
              </w:rPr>
              <w:t>HCFC-22/</w:t>
            </w:r>
          </w:p>
          <w:p w14:paraId="3CD1F698" w14:textId="77777777" w:rsidR="006F0BB0" w:rsidRPr="006F0BB0" w:rsidRDefault="006F0BB0" w:rsidP="007D1DBA">
            <w:pPr>
              <w:jc w:val="left"/>
              <w:rPr>
                <w:sz w:val="19"/>
                <w:szCs w:val="19"/>
              </w:rPr>
            </w:pPr>
            <w:r w:rsidRPr="006F0BB0">
              <w:rPr>
                <w:sz w:val="19"/>
                <w:szCs w:val="19"/>
              </w:rPr>
              <w:t>HCFC-142b</w:t>
            </w:r>
          </w:p>
        </w:tc>
        <w:tc>
          <w:tcPr>
            <w:tcW w:w="1170" w:type="dxa"/>
            <w:tcMar>
              <w:left w:w="72" w:type="dxa"/>
              <w:right w:w="43" w:type="dxa"/>
            </w:tcMar>
          </w:tcPr>
          <w:p w14:paraId="5DEDE74E" w14:textId="77777777" w:rsidR="006F0BB0" w:rsidRPr="006F0BB0" w:rsidRDefault="006F0BB0" w:rsidP="007D1DBA">
            <w:pPr>
              <w:jc w:val="left"/>
              <w:rPr>
                <w:sz w:val="19"/>
                <w:szCs w:val="19"/>
              </w:rPr>
            </w:pPr>
            <w:r w:rsidRPr="006F0BB0">
              <w:rPr>
                <w:sz w:val="19"/>
                <w:szCs w:val="19"/>
              </w:rPr>
              <w:t>HFC-134a/</w:t>
            </w:r>
          </w:p>
          <w:p w14:paraId="0ACF7D1F" w14:textId="77777777" w:rsidR="006F0BB0" w:rsidRPr="006F0BB0" w:rsidRDefault="006F0BB0" w:rsidP="007D1DBA">
            <w:pPr>
              <w:jc w:val="left"/>
              <w:rPr>
                <w:sz w:val="19"/>
                <w:szCs w:val="19"/>
              </w:rPr>
            </w:pPr>
            <w:r w:rsidRPr="006F0BB0">
              <w:rPr>
                <w:sz w:val="19"/>
                <w:szCs w:val="19"/>
              </w:rPr>
              <w:t>HFC-152a</w:t>
            </w:r>
          </w:p>
        </w:tc>
        <w:tc>
          <w:tcPr>
            <w:tcW w:w="3150" w:type="dxa"/>
            <w:tcMar>
              <w:left w:w="72" w:type="dxa"/>
              <w:right w:w="43" w:type="dxa"/>
            </w:tcMar>
          </w:tcPr>
          <w:p w14:paraId="54FFC34F" w14:textId="77777777" w:rsidR="006F0BB0" w:rsidRPr="006F0BB0" w:rsidRDefault="006F0BB0" w:rsidP="007D1DBA">
            <w:pPr>
              <w:spacing w:after="60"/>
              <w:jc w:val="left"/>
              <w:rPr>
                <w:sz w:val="19"/>
                <w:szCs w:val="19"/>
                <w:lang w:val="es-ES"/>
              </w:rPr>
            </w:pPr>
            <w:r w:rsidRPr="006F0BB0">
              <w:rPr>
                <w:sz w:val="19"/>
                <w:szCs w:val="19"/>
                <w:lang w:val="es-ES"/>
              </w:rPr>
              <w:t>Los planes del sector de espumas de poliestireno extruido se encuentran en etapas avanzadas de ejecución en la mayoría de los países donde se están introduciendo alternativas de bajo PCA. Por esa razón, la ejecución integrada podría verse limitada a los casos en que cabría esperar una labor sustantiva de eliminación de los HCFC en los próximos años.</w:t>
            </w:r>
          </w:p>
        </w:tc>
        <w:tc>
          <w:tcPr>
            <w:tcW w:w="2790" w:type="dxa"/>
            <w:tcMar>
              <w:left w:w="72" w:type="dxa"/>
              <w:right w:w="43" w:type="dxa"/>
            </w:tcMar>
          </w:tcPr>
          <w:p w14:paraId="72F49E9D" w14:textId="77777777" w:rsidR="006F0BB0" w:rsidRPr="006F0BB0" w:rsidRDefault="006F0BB0" w:rsidP="007D1DBA">
            <w:pPr>
              <w:spacing w:after="60"/>
              <w:jc w:val="left"/>
              <w:rPr>
                <w:sz w:val="19"/>
                <w:szCs w:val="19"/>
                <w:lang w:val="es-ES"/>
              </w:rPr>
            </w:pPr>
            <w:r w:rsidRPr="006F0BB0">
              <w:rPr>
                <w:sz w:val="19"/>
                <w:szCs w:val="19"/>
                <w:lang w:val="es-ES"/>
              </w:rPr>
              <w:t>Se están introduciendo alternativas de bajo PCA gracias a los PGEH (i.e., CO</w:t>
            </w:r>
            <w:r w:rsidRPr="006F0BB0">
              <w:rPr>
                <w:sz w:val="19"/>
                <w:szCs w:val="19"/>
                <w:vertAlign w:val="subscript"/>
                <w:lang w:val="es-ES"/>
              </w:rPr>
              <w:t>2</w:t>
            </w:r>
            <w:r w:rsidRPr="006F0BB0">
              <w:rPr>
                <w:sz w:val="19"/>
                <w:szCs w:val="19"/>
                <w:lang w:val="es-ES"/>
              </w:rPr>
              <w:t xml:space="preserve">, </w:t>
            </w:r>
            <w:proofErr w:type="spellStart"/>
            <w:r w:rsidRPr="006F0BB0">
              <w:rPr>
                <w:sz w:val="19"/>
                <w:szCs w:val="19"/>
                <w:lang w:val="es-ES"/>
              </w:rPr>
              <w:t>isobutano</w:t>
            </w:r>
            <w:proofErr w:type="spellEnd"/>
            <w:r w:rsidRPr="006F0BB0">
              <w:rPr>
                <w:sz w:val="19"/>
                <w:szCs w:val="19"/>
                <w:lang w:val="es-ES"/>
              </w:rPr>
              <w:t xml:space="preserve"> y HFO). </w:t>
            </w:r>
          </w:p>
          <w:p w14:paraId="2D75E2F9" w14:textId="77777777" w:rsidR="006F0BB0" w:rsidRPr="006F0BB0" w:rsidRDefault="006F0BB0" w:rsidP="007D1DBA">
            <w:pPr>
              <w:spacing w:after="60"/>
              <w:jc w:val="left"/>
              <w:rPr>
                <w:sz w:val="19"/>
                <w:szCs w:val="19"/>
                <w:lang w:val="es-ES"/>
              </w:rPr>
            </w:pPr>
            <w:r w:rsidRPr="006F0BB0">
              <w:rPr>
                <w:sz w:val="19"/>
                <w:szCs w:val="19"/>
                <w:lang w:val="es-ES"/>
              </w:rPr>
              <w:t>Los países que operan al amparo del artículo 5 podrían considerar la posibilidad de establecer medidas reglamentarias para evitar la instalación de capacidad de fabricación de espumas de poliestireno extruido a partir de los HFC.</w:t>
            </w:r>
          </w:p>
        </w:tc>
      </w:tr>
      <w:tr w:rsidR="006F0BB0" w:rsidRPr="00482916" w14:paraId="6EFDCF67" w14:textId="77777777" w:rsidTr="007D1DBA">
        <w:tc>
          <w:tcPr>
            <w:tcW w:w="1165" w:type="dxa"/>
            <w:tcMar>
              <w:left w:w="72" w:type="dxa"/>
              <w:right w:w="43" w:type="dxa"/>
            </w:tcMar>
          </w:tcPr>
          <w:p w14:paraId="456BEF7D" w14:textId="77777777" w:rsidR="006F0BB0" w:rsidRPr="006F0BB0" w:rsidRDefault="006F0BB0" w:rsidP="007D1DBA">
            <w:pPr>
              <w:jc w:val="left"/>
              <w:rPr>
                <w:sz w:val="19"/>
                <w:szCs w:val="19"/>
                <w:lang w:val="es-ES"/>
              </w:rPr>
            </w:pPr>
            <w:r w:rsidRPr="006F0BB0">
              <w:rPr>
                <w:sz w:val="19"/>
                <w:szCs w:val="19"/>
                <w:lang w:val="es-ES"/>
              </w:rPr>
              <w:t>Refrigeración doméstica (sistemas de refrigeración)</w:t>
            </w:r>
          </w:p>
        </w:tc>
        <w:tc>
          <w:tcPr>
            <w:tcW w:w="1170" w:type="dxa"/>
            <w:tcMar>
              <w:left w:w="72" w:type="dxa"/>
              <w:right w:w="43" w:type="dxa"/>
            </w:tcMar>
          </w:tcPr>
          <w:p w14:paraId="58CF6DCB" w14:textId="77777777" w:rsidR="006F0BB0" w:rsidRPr="006F0BB0" w:rsidRDefault="006F0BB0" w:rsidP="007D1DBA">
            <w:pPr>
              <w:jc w:val="left"/>
              <w:rPr>
                <w:sz w:val="19"/>
                <w:szCs w:val="19"/>
              </w:rPr>
            </w:pPr>
            <w:proofErr w:type="spellStart"/>
            <w:r w:rsidRPr="006F0BB0">
              <w:rPr>
                <w:sz w:val="19"/>
                <w:szCs w:val="19"/>
              </w:rPr>
              <w:t>Ninguno</w:t>
            </w:r>
            <w:proofErr w:type="spellEnd"/>
          </w:p>
        </w:tc>
        <w:tc>
          <w:tcPr>
            <w:tcW w:w="1170" w:type="dxa"/>
            <w:tcMar>
              <w:left w:w="72" w:type="dxa"/>
              <w:right w:w="43" w:type="dxa"/>
            </w:tcMar>
          </w:tcPr>
          <w:p w14:paraId="28B3E75A" w14:textId="77777777" w:rsidR="006F0BB0" w:rsidRPr="006F0BB0" w:rsidRDefault="006F0BB0" w:rsidP="007D1DBA">
            <w:pPr>
              <w:jc w:val="left"/>
              <w:rPr>
                <w:sz w:val="19"/>
                <w:szCs w:val="19"/>
              </w:rPr>
            </w:pPr>
            <w:r w:rsidRPr="006F0BB0">
              <w:rPr>
                <w:sz w:val="19"/>
                <w:szCs w:val="19"/>
              </w:rPr>
              <w:t>HFC-134a</w:t>
            </w:r>
          </w:p>
        </w:tc>
        <w:tc>
          <w:tcPr>
            <w:tcW w:w="3150" w:type="dxa"/>
            <w:tcMar>
              <w:left w:w="72" w:type="dxa"/>
              <w:right w:w="43" w:type="dxa"/>
            </w:tcMar>
          </w:tcPr>
          <w:p w14:paraId="18BF4309" w14:textId="77777777" w:rsidR="006F0BB0" w:rsidRPr="006F0BB0" w:rsidRDefault="006F0BB0" w:rsidP="007D1DBA">
            <w:pPr>
              <w:spacing w:after="60"/>
              <w:jc w:val="left"/>
              <w:rPr>
                <w:sz w:val="19"/>
                <w:szCs w:val="19"/>
                <w:lang w:val="es-ES"/>
              </w:rPr>
            </w:pPr>
            <w:r w:rsidRPr="006F0BB0">
              <w:rPr>
                <w:sz w:val="19"/>
                <w:szCs w:val="19"/>
                <w:lang w:val="es-ES"/>
              </w:rPr>
              <w:t xml:space="preserve">En la mayoría de los países ya se ha completado la conversión de paneles de espumas a base de HCFC-141b. </w:t>
            </w:r>
          </w:p>
          <w:p w14:paraId="7C7B73DA" w14:textId="77777777" w:rsidR="006F0BB0" w:rsidRPr="006F0BB0" w:rsidRDefault="006F0BB0" w:rsidP="007D1DBA">
            <w:pPr>
              <w:spacing w:after="60"/>
              <w:jc w:val="left"/>
              <w:rPr>
                <w:sz w:val="19"/>
                <w:szCs w:val="19"/>
                <w:lang w:val="es-ES"/>
              </w:rPr>
            </w:pPr>
            <w:r w:rsidRPr="006F0BB0">
              <w:rPr>
                <w:sz w:val="19"/>
                <w:szCs w:val="19"/>
                <w:lang w:val="es-ES"/>
              </w:rPr>
              <w:t xml:space="preserve">En el caso de estos sistemas de refrigeración no es posible la ejecución integrada porque los HCFC no se usan. </w:t>
            </w:r>
          </w:p>
        </w:tc>
        <w:tc>
          <w:tcPr>
            <w:tcW w:w="2790" w:type="dxa"/>
            <w:tcMar>
              <w:left w:w="72" w:type="dxa"/>
              <w:right w:w="43" w:type="dxa"/>
            </w:tcMar>
          </w:tcPr>
          <w:p w14:paraId="27186C41" w14:textId="77777777" w:rsidR="006F0BB0" w:rsidRPr="006F0BB0" w:rsidRDefault="006F0BB0" w:rsidP="007D1DBA">
            <w:pPr>
              <w:spacing w:after="60"/>
              <w:jc w:val="left"/>
              <w:rPr>
                <w:sz w:val="19"/>
                <w:szCs w:val="19"/>
                <w:lang w:val="es-ES"/>
              </w:rPr>
            </w:pPr>
            <w:r w:rsidRPr="006F0BB0">
              <w:rPr>
                <w:sz w:val="19"/>
                <w:szCs w:val="19"/>
                <w:lang w:val="es-ES"/>
              </w:rPr>
              <w:t>A medida que se disponga de alternativas comerciales rentables al HFC-134a, en los mercados locales este sector podría iniciar la conversión, seguida de un reglamento que garantice la sostenibilidad de la eliminación.</w:t>
            </w:r>
          </w:p>
        </w:tc>
      </w:tr>
      <w:tr w:rsidR="006F0BB0" w:rsidRPr="00482916" w14:paraId="0309D239" w14:textId="77777777" w:rsidTr="007D1DBA">
        <w:tc>
          <w:tcPr>
            <w:tcW w:w="1165" w:type="dxa"/>
            <w:tcMar>
              <w:left w:w="72" w:type="dxa"/>
              <w:right w:w="43" w:type="dxa"/>
            </w:tcMar>
          </w:tcPr>
          <w:p w14:paraId="1A0AA1CC" w14:textId="77777777" w:rsidR="006F0BB0" w:rsidRPr="006F0BB0" w:rsidRDefault="006F0BB0" w:rsidP="007D1DBA">
            <w:pPr>
              <w:jc w:val="left"/>
              <w:rPr>
                <w:sz w:val="19"/>
                <w:szCs w:val="19"/>
                <w:lang w:val="es-ES"/>
              </w:rPr>
            </w:pPr>
            <w:r w:rsidRPr="006F0BB0">
              <w:rPr>
                <w:sz w:val="19"/>
                <w:szCs w:val="19"/>
                <w:lang w:val="es-ES"/>
              </w:rPr>
              <w:t>Refrigeración comercial (unidades autónomas)</w:t>
            </w:r>
          </w:p>
        </w:tc>
        <w:tc>
          <w:tcPr>
            <w:tcW w:w="1170" w:type="dxa"/>
            <w:tcMar>
              <w:left w:w="72" w:type="dxa"/>
              <w:right w:w="43" w:type="dxa"/>
            </w:tcMar>
          </w:tcPr>
          <w:p w14:paraId="24EDE0DC" w14:textId="77777777" w:rsidR="006F0BB0" w:rsidRPr="006F0BB0" w:rsidRDefault="006F0BB0" w:rsidP="007D1DBA">
            <w:pPr>
              <w:jc w:val="left"/>
              <w:rPr>
                <w:sz w:val="19"/>
                <w:szCs w:val="19"/>
              </w:rPr>
            </w:pPr>
            <w:r w:rsidRPr="006F0BB0">
              <w:rPr>
                <w:sz w:val="19"/>
                <w:szCs w:val="19"/>
              </w:rPr>
              <w:t>HCFC-22</w:t>
            </w:r>
          </w:p>
        </w:tc>
        <w:tc>
          <w:tcPr>
            <w:tcW w:w="1170" w:type="dxa"/>
            <w:tcMar>
              <w:left w:w="72" w:type="dxa"/>
              <w:right w:w="43" w:type="dxa"/>
            </w:tcMar>
          </w:tcPr>
          <w:p w14:paraId="54D811EA" w14:textId="77777777" w:rsidR="006F0BB0" w:rsidRPr="006F0BB0" w:rsidRDefault="006F0BB0" w:rsidP="007D1DBA">
            <w:pPr>
              <w:jc w:val="left"/>
              <w:rPr>
                <w:sz w:val="19"/>
                <w:szCs w:val="19"/>
                <w:lang w:val="es-ES"/>
              </w:rPr>
            </w:pPr>
            <w:r w:rsidRPr="006F0BB0">
              <w:rPr>
                <w:sz w:val="19"/>
                <w:szCs w:val="19"/>
                <w:lang w:val="es-ES"/>
              </w:rPr>
              <w:t>HFC-134a</w:t>
            </w:r>
          </w:p>
          <w:p w14:paraId="00342E7B" w14:textId="77777777" w:rsidR="006F0BB0" w:rsidRPr="006F0BB0" w:rsidRDefault="006F0BB0" w:rsidP="007D1DBA">
            <w:pPr>
              <w:jc w:val="left"/>
              <w:rPr>
                <w:sz w:val="19"/>
                <w:szCs w:val="19"/>
                <w:lang w:val="es-ES"/>
              </w:rPr>
            </w:pPr>
            <w:r w:rsidRPr="006F0BB0">
              <w:rPr>
                <w:sz w:val="19"/>
                <w:szCs w:val="19"/>
                <w:lang w:val="es-ES"/>
              </w:rPr>
              <w:t>R-404A</w:t>
            </w:r>
          </w:p>
          <w:p w14:paraId="6CE7CA72" w14:textId="77777777" w:rsidR="006F0BB0" w:rsidRPr="006F0BB0" w:rsidRDefault="006F0BB0" w:rsidP="007D1DBA">
            <w:pPr>
              <w:jc w:val="left"/>
              <w:rPr>
                <w:sz w:val="19"/>
                <w:szCs w:val="19"/>
                <w:lang w:val="es-ES"/>
              </w:rPr>
            </w:pPr>
            <w:r w:rsidRPr="006F0BB0">
              <w:rPr>
                <w:sz w:val="19"/>
                <w:szCs w:val="19"/>
                <w:lang w:val="es-ES"/>
              </w:rPr>
              <w:t>Mezclas</w:t>
            </w:r>
          </w:p>
        </w:tc>
        <w:tc>
          <w:tcPr>
            <w:tcW w:w="3150" w:type="dxa"/>
            <w:tcMar>
              <w:left w:w="72" w:type="dxa"/>
              <w:right w:w="43" w:type="dxa"/>
            </w:tcMar>
          </w:tcPr>
          <w:p w14:paraId="134E663D" w14:textId="77777777" w:rsidR="006F0BB0" w:rsidRPr="006F0BB0" w:rsidRDefault="006F0BB0" w:rsidP="007D1DBA">
            <w:pPr>
              <w:spacing w:after="60"/>
              <w:jc w:val="left"/>
              <w:rPr>
                <w:sz w:val="19"/>
                <w:szCs w:val="19"/>
                <w:lang w:val="es-ES"/>
              </w:rPr>
            </w:pPr>
            <w:r w:rsidRPr="006F0BB0">
              <w:rPr>
                <w:sz w:val="19"/>
                <w:szCs w:val="19"/>
                <w:lang w:val="es-ES"/>
              </w:rPr>
              <w:t xml:space="preserve">En la mayoría de los países ya se ha completado la conversión de paneles de espumas a base de HCFC-141b. </w:t>
            </w:r>
          </w:p>
          <w:p w14:paraId="41B4E689" w14:textId="77777777" w:rsidR="006F0BB0" w:rsidRPr="006F0BB0" w:rsidRDefault="006F0BB0" w:rsidP="007D1DBA">
            <w:pPr>
              <w:spacing w:after="60"/>
              <w:jc w:val="left"/>
              <w:rPr>
                <w:sz w:val="19"/>
                <w:szCs w:val="19"/>
                <w:lang w:val="es-ES"/>
              </w:rPr>
            </w:pPr>
            <w:r w:rsidRPr="006F0BB0">
              <w:rPr>
                <w:sz w:val="19"/>
                <w:szCs w:val="19"/>
                <w:lang w:val="es-ES"/>
              </w:rPr>
              <w:t>Es posible la ejecución integrada cuando se trata de sistemas de refrigeración en empresas que usan múltiples refrigerantes para diferentes aplicaciones (</w:t>
            </w:r>
            <w:proofErr w:type="spellStart"/>
            <w:r w:rsidRPr="006F0BB0">
              <w:rPr>
                <w:sz w:val="19"/>
                <w:szCs w:val="19"/>
                <w:lang w:val="es-ES"/>
              </w:rPr>
              <w:t>e.g</w:t>
            </w:r>
            <w:proofErr w:type="spellEnd"/>
            <w:r w:rsidRPr="006F0BB0">
              <w:rPr>
                <w:sz w:val="19"/>
                <w:szCs w:val="19"/>
                <w:lang w:val="es-ES"/>
              </w:rPr>
              <w:t>., HCFC-22, HFC</w:t>
            </w:r>
            <w:r w:rsidRPr="006F0BB0">
              <w:rPr>
                <w:sz w:val="19"/>
                <w:szCs w:val="19"/>
                <w:lang w:val="es-ES"/>
              </w:rPr>
              <w:noBreakHyphen/>
              <w:t>134a y R</w:t>
            </w:r>
            <w:r w:rsidRPr="006F0BB0">
              <w:rPr>
                <w:sz w:val="19"/>
                <w:szCs w:val="19"/>
                <w:lang w:val="es-ES"/>
              </w:rPr>
              <w:noBreakHyphen/>
              <w:t>404A).</w:t>
            </w:r>
          </w:p>
        </w:tc>
        <w:tc>
          <w:tcPr>
            <w:tcW w:w="2790" w:type="dxa"/>
            <w:tcMar>
              <w:left w:w="72" w:type="dxa"/>
              <w:right w:w="43" w:type="dxa"/>
            </w:tcMar>
          </w:tcPr>
          <w:p w14:paraId="53FCEE55" w14:textId="77777777" w:rsidR="006F0BB0" w:rsidRPr="006F0BB0" w:rsidRDefault="006F0BB0" w:rsidP="007D1DBA">
            <w:pPr>
              <w:spacing w:after="60"/>
              <w:jc w:val="left"/>
              <w:rPr>
                <w:sz w:val="19"/>
                <w:szCs w:val="19"/>
                <w:lang w:val="es-ES"/>
              </w:rPr>
            </w:pPr>
            <w:r w:rsidRPr="006F0BB0">
              <w:rPr>
                <w:sz w:val="19"/>
                <w:szCs w:val="19"/>
                <w:lang w:val="es-ES"/>
              </w:rPr>
              <w:t xml:space="preserve">En el mercado se dispone de varias opciones técnicas y hay otras en vías de desarrollo. </w:t>
            </w:r>
          </w:p>
          <w:p w14:paraId="2950278B" w14:textId="77777777" w:rsidR="006F0BB0" w:rsidRPr="006F0BB0" w:rsidRDefault="006F0BB0" w:rsidP="007D1DBA">
            <w:pPr>
              <w:spacing w:after="60"/>
              <w:jc w:val="left"/>
              <w:rPr>
                <w:sz w:val="19"/>
                <w:szCs w:val="19"/>
                <w:lang w:val="es-ES"/>
              </w:rPr>
            </w:pPr>
            <w:r w:rsidRPr="006F0BB0">
              <w:rPr>
                <w:sz w:val="19"/>
                <w:szCs w:val="19"/>
                <w:lang w:val="es-ES"/>
              </w:rPr>
              <w:t>El subsector que fabrica unidades autónomas pequeñas podría ahora hacer la conversión a alternativas como R-290 y CO</w:t>
            </w:r>
            <w:r w:rsidRPr="006F0BB0">
              <w:rPr>
                <w:sz w:val="19"/>
                <w:szCs w:val="19"/>
                <w:vertAlign w:val="subscript"/>
                <w:lang w:val="es-ES"/>
              </w:rPr>
              <w:t>2,</w:t>
            </w:r>
            <w:r w:rsidRPr="006F0BB0">
              <w:rPr>
                <w:sz w:val="19"/>
                <w:szCs w:val="19"/>
                <w:lang w:val="es-ES"/>
              </w:rPr>
              <w:t xml:space="preserve"> a lo que seguiría un reglamento específico del subsector que garantice la sostenibilidad.</w:t>
            </w:r>
          </w:p>
        </w:tc>
      </w:tr>
      <w:tr w:rsidR="006F0BB0" w:rsidRPr="00482916" w14:paraId="71C868EB" w14:textId="77777777" w:rsidTr="007D1DBA">
        <w:tc>
          <w:tcPr>
            <w:tcW w:w="1165" w:type="dxa"/>
            <w:tcMar>
              <w:left w:w="72" w:type="dxa"/>
              <w:right w:w="43" w:type="dxa"/>
            </w:tcMar>
          </w:tcPr>
          <w:p w14:paraId="2AD27634" w14:textId="77777777" w:rsidR="006F0BB0" w:rsidRPr="006F0BB0" w:rsidRDefault="006F0BB0" w:rsidP="007D1DBA">
            <w:pPr>
              <w:jc w:val="left"/>
              <w:rPr>
                <w:sz w:val="19"/>
                <w:szCs w:val="19"/>
                <w:lang w:val="es-ES"/>
              </w:rPr>
            </w:pPr>
            <w:r w:rsidRPr="006F0BB0">
              <w:rPr>
                <w:sz w:val="19"/>
                <w:szCs w:val="19"/>
                <w:lang w:val="es-ES"/>
              </w:rPr>
              <w:t xml:space="preserve">Refrigeración comercial e industrial de mayor tamaño </w:t>
            </w:r>
          </w:p>
        </w:tc>
        <w:tc>
          <w:tcPr>
            <w:tcW w:w="1170" w:type="dxa"/>
            <w:tcMar>
              <w:left w:w="72" w:type="dxa"/>
              <w:right w:w="43" w:type="dxa"/>
            </w:tcMar>
          </w:tcPr>
          <w:p w14:paraId="670D63C9" w14:textId="77777777" w:rsidR="006F0BB0" w:rsidRPr="006F0BB0" w:rsidRDefault="006F0BB0" w:rsidP="007D1DBA">
            <w:pPr>
              <w:jc w:val="left"/>
              <w:rPr>
                <w:sz w:val="19"/>
                <w:szCs w:val="19"/>
              </w:rPr>
            </w:pPr>
            <w:r w:rsidRPr="006F0BB0">
              <w:rPr>
                <w:sz w:val="19"/>
                <w:szCs w:val="19"/>
              </w:rPr>
              <w:t>HCFC-22</w:t>
            </w:r>
          </w:p>
        </w:tc>
        <w:tc>
          <w:tcPr>
            <w:tcW w:w="1170" w:type="dxa"/>
            <w:tcMar>
              <w:left w:w="72" w:type="dxa"/>
              <w:right w:w="43" w:type="dxa"/>
            </w:tcMar>
          </w:tcPr>
          <w:p w14:paraId="07B9FE06" w14:textId="77777777" w:rsidR="006F0BB0" w:rsidRPr="006F0BB0" w:rsidRDefault="006F0BB0" w:rsidP="007D1DBA">
            <w:pPr>
              <w:jc w:val="left"/>
              <w:rPr>
                <w:sz w:val="19"/>
                <w:szCs w:val="19"/>
              </w:rPr>
            </w:pPr>
            <w:r w:rsidRPr="006F0BB0">
              <w:rPr>
                <w:sz w:val="19"/>
                <w:szCs w:val="19"/>
              </w:rPr>
              <w:t>HFC-134a</w:t>
            </w:r>
          </w:p>
          <w:p w14:paraId="0552E428" w14:textId="77777777" w:rsidR="006F0BB0" w:rsidRPr="006F0BB0" w:rsidRDefault="006F0BB0" w:rsidP="007D1DBA">
            <w:pPr>
              <w:jc w:val="left"/>
              <w:rPr>
                <w:sz w:val="19"/>
                <w:szCs w:val="19"/>
              </w:rPr>
            </w:pPr>
            <w:r w:rsidRPr="006F0BB0">
              <w:rPr>
                <w:sz w:val="19"/>
                <w:szCs w:val="19"/>
              </w:rPr>
              <w:t>R-404A</w:t>
            </w:r>
          </w:p>
          <w:p w14:paraId="580779F1" w14:textId="77777777" w:rsidR="006F0BB0" w:rsidRPr="006F0BB0" w:rsidRDefault="006F0BB0" w:rsidP="007D1DBA">
            <w:pPr>
              <w:jc w:val="left"/>
              <w:rPr>
                <w:sz w:val="19"/>
                <w:szCs w:val="19"/>
              </w:rPr>
            </w:pPr>
          </w:p>
        </w:tc>
        <w:tc>
          <w:tcPr>
            <w:tcW w:w="3150" w:type="dxa"/>
            <w:tcMar>
              <w:left w:w="72" w:type="dxa"/>
              <w:right w:w="43" w:type="dxa"/>
            </w:tcMar>
          </w:tcPr>
          <w:p w14:paraId="31DE0139" w14:textId="77777777" w:rsidR="006F0BB0" w:rsidRPr="006F0BB0" w:rsidRDefault="006F0BB0" w:rsidP="007D1DBA">
            <w:pPr>
              <w:spacing w:after="60"/>
              <w:jc w:val="left"/>
              <w:rPr>
                <w:sz w:val="19"/>
                <w:szCs w:val="19"/>
                <w:lang w:val="es-ES"/>
              </w:rPr>
            </w:pPr>
            <w:r w:rsidRPr="006F0BB0">
              <w:rPr>
                <w:sz w:val="19"/>
                <w:szCs w:val="19"/>
                <w:lang w:val="es-ES"/>
              </w:rPr>
              <w:t>Debe considerarse caso por caso dada la diversidad de aplicaciones y tipos de empresas.</w:t>
            </w:r>
          </w:p>
          <w:p w14:paraId="2CE1A60D" w14:textId="77777777" w:rsidR="006F0BB0" w:rsidRPr="006F0BB0" w:rsidRDefault="006F0BB0" w:rsidP="007D1DBA">
            <w:pPr>
              <w:spacing w:after="60"/>
              <w:jc w:val="left"/>
              <w:rPr>
                <w:sz w:val="19"/>
                <w:szCs w:val="19"/>
                <w:lang w:val="es-ES"/>
              </w:rPr>
            </w:pPr>
            <w:r w:rsidRPr="006F0BB0">
              <w:rPr>
                <w:sz w:val="19"/>
                <w:szCs w:val="19"/>
                <w:lang w:val="es-ES"/>
              </w:rPr>
              <w:t>La ejecución integrada tal vez sea factible en empresas que usen múltiples refrigerantes para diferentes aplicaciones (</w:t>
            </w:r>
            <w:proofErr w:type="spellStart"/>
            <w:r w:rsidRPr="006F0BB0">
              <w:rPr>
                <w:sz w:val="19"/>
                <w:szCs w:val="19"/>
                <w:lang w:val="es-ES"/>
              </w:rPr>
              <w:t>e.g</w:t>
            </w:r>
            <w:proofErr w:type="spellEnd"/>
            <w:r w:rsidRPr="006F0BB0">
              <w:rPr>
                <w:sz w:val="19"/>
                <w:szCs w:val="19"/>
                <w:lang w:val="es-ES"/>
              </w:rPr>
              <w:t>., HCFC-22, HFC-134a y R</w:t>
            </w:r>
            <w:r w:rsidRPr="006F0BB0">
              <w:rPr>
                <w:sz w:val="19"/>
                <w:szCs w:val="19"/>
                <w:lang w:val="es-ES"/>
              </w:rPr>
              <w:noBreakHyphen/>
              <w:t xml:space="preserve">404A). Sin embargo, un enfoque sectorial o </w:t>
            </w:r>
            <w:proofErr w:type="spellStart"/>
            <w:r w:rsidRPr="006F0BB0">
              <w:rPr>
                <w:sz w:val="19"/>
                <w:szCs w:val="19"/>
                <w:lang w:val="es-ES"/>
              </w:rPr>
              <w:t>subsectorial</w:t>
            </w:r>
            <w:proofErr w:type="spellEnd"/>
            <w:r w:rsidRPr="006F0BB0">
              <w:rPr>
                <w:sz w:val="19"/>
                <w:szCs w:val="19"/>
                <w:lang w:val="es-ES"/>
              </w:rPr>
              <w:t xml:space="preserve"> probablemente sería más adecuado para asegurar la eliminación sostenible.</w:t>
            </w:r>
          </w:p>
        </w:tc>
        <w:tc>
          <w:tcPr>
            <w:tcW w:w="2790" w:type="dxa"/>
            <w:tcMar>
              <w:left w:w="72" w:type="dxa"/>
              <w:right w:w="43" w:type="dxa"/>
            </w:tcMar>
          </w:tcPr>
          <w:p w14:paraId="67ABF8FE" w14:textId="77777777" w:rsidR="006F0BB0" w:rsidRPr="006F0BB0" w:rsidRDefault="006F0BB0" w:rsidP="007D1DBA">
            <w:pPr>
              <w:spacing w:after="60"/>
              <w:jc w:val="left"/>
              <w:rPr>
                <w:sz w:val="19"/>
                <w:szCs w:val="19"/>
                <w:lang w:val="es-ES"/>
              </w:rPr>
            </w:pPr>
            <w:r w:rsidRPr="006F0BB0">
              <w:rPr>
                <w:sz w:val="19"/>
                <w:szCs w:val="19"/>
                <w:lang w:val="es-ES"/>
              </w:rPr>
              <w:t>Las actividades destinadas a reducir el uso del R-404A y el    R-507A en la fabricación podrían tener una importante repercusión debido a su alto PCA. No obstante, tendrían que abarcar a todo el sector para garantizar su eliminación sostenida.</w:t>
            </w:r>
          </w:p>
          <w:p w14:paraId="4B7C11EC" w14:textId="77777777" w:rsidR="006F0BB0" w:rsidRPr="006F0BB0" w:rsidRDefault="006F0BB0" w:rsidP="007D1DBA">
            <w:pPr>
              <w:spacing w:after="60"/>
              <w:jc w:val="left"/>
              <w:rPr>
                <w:sz w:val="19"/>
                <w:szCs w:val="19"/>
                <w:lang w:val="es-ES"/>
              </w:rPr>
            </w:pPr>
            <w:r w:rsidRPr="006F0BB0">
              <w:rPr>
                <w:sz w:val="19"/>
                <w:szCs w:val="19"/>
                <w:lang w:val="es-ES"/>
              </w:rPr>
              <w:t xml:space="preserve">Entre las actividades que podrían llevarse a cabo en la etapa I de los planes de reducción de los HFC en el sector de servicio y </w:t>
            </w:r>
            <w:r w:rsidRPr="006F0BB0">
              <w:rPr>
                <w:sz w:val="19"/>
                <w:szCs w:val="19"/>
                <w:lang w:val="es-ES"/>
              </w:rPr>
              <w:lastRenderedPageBreak/>
              <w:t>mantenimiento figuran el mantenimiento preventivo, el control de las fugas, y el apoyo a los usuarios finales para una mejor manipulación del equipo instalado</w:t>
            </w:r>
          </w:p>
        </w:tc>
      </w:tr>
      <w:tr w:rsidR="006F0BB0" w:rsidRPr="00482916" w14:paraId="237B2618" w14:textId="77777777" w:rsidTr="007D1DBA">
        <w:tc>
          <w:tcPr>
            <w:tcW w:w="1165" w:type="dxa"/>
            <w:tcMar>
              <w:left w:w="72" w:type="dxa"/>
              <w:right w:w="43" w:type="dxa"/>
            </w:tcMar>
          </w:tcPr>
          <w:p w14:paraId="306DE593" w14:textId="77777777" w:rsidR="006F0BB0" w:rsidRPr="006F0BB0" w:rsidRDefault="006F0BB0" w:rsidP="007D1DBA">
            <w:pPr>
              <w:jc w:val="left"/>
              <w:rPr>
                <w:sz w:val="19"/>
                <w:szCs w:val="19"/>
                <w:lang w:val="es-ES"/>
              </w:rPr>
            </w:pPr>
            <w:r w:rsidRPr="006F0BB0">
              <w:rPr>
                <w:sz w:val="19"/>
                <w:szCs w:val="19"/>
                <w:lang w:val="es-ES"/>
              </w:rPr>
              <w:lastRenderedPageBreak/>
              <w:t>Aire acondicionado residencial y comercial</w:t>
            </w:r>
          </w:p>
        </w:tc>
        <w:tc>
          <w:tcPr>
            <w:tcW w:w="1170" w:type="dxa"/>
            <w:tcMar>
              <w:left w:w="72" w:type="dxa"/>
              <w:right w:w="43" w:type="dxa"/>
            </w:tcMar>
          </w:tcPr>
          <w:p w14:paraId="030D08F4" w14:textId="77777777" w:rsidR="006F0BB0" w:rsidRPr="006F0BB0" w:rsidRDefault="006F0BB0" w:rsidP="007D1DBA">
            <w:pPr>
              <w:jc w:val="left"/>
              <w:rPr>
                <w:sz w:val="19"/>
                <w:szCs w:val="19"/>
              </w:rPr>
            </w:pPr>
            <w:r w:rsidRPr="006F0BB0">
              <w:rPr>
                <w:sz w:val="19"/>
                <w:szCs w:val="19"/>
              </w:rPr>
              <w:t>HCFC-22</w:t>
            </w:r>
          </w:p>
        </w:tc>
        <w:tc>
          <w:tcPr>
            <w:tcW w:w="1170" w:type="dxa"/>
            <w:tcMar>
              <w:left w:w="72" w:type="dxa"/>
              <w:right w:w="43" w:type="dxa"/>
            </w:tcMar>
          </w:tcPr>
          <w:p w14:paraId="261D363C" w14:textId="77777777" w:rsidR="006F0BB0" w:rsidRPr="006F0BB0" w:rsidRDefault="006F0BB0" w:rsidP="007D1DBA">
            <w:pPr>
              <w:jc w:val="left"/>
              <w:rPr>
                <w:sz w:val="19"/>
                <w:szCs w:val="19"/>
                <w:lang w:val="pt-BR"/>
              </w:rPr>
            </w:pPr>
            <w:r w:rsidRPr="006F0BB0">
              <w:rPr>
                <w:sz w:val="19"/>
                <w:szCs w:val="19"/>
                <w:lang w:val="pt-BR"/>
              </w:rPr>
              <w:t>R-410ª</w:t>
            </w:r>
          </w:p>
          <w:p w14:paraId="49B65B1D" w14:textId="77777777" w:rsidR="006F0BB0" w:rsidRPr="006F0BB0" w:rsidRDefault="006F0BB0" w:rsidP="007D1DBA">
            <w:pPr>
              <w:jc w:val="left"/>
              <w:rPr>
                <w:sz w:val="19"/>
                <w:szCs w:val="19"/>
                <w:lang w:val="pt-BR"/>
              </w:rPr>
            </w:pPr>
            <w:r w:rsidRPr="006F0BB0">
              <w:rPr>
                <w:sz w:val="19"/>
                <w:szCs w:val="19"/>
                <w:lang w:val="pt-BR"/>
              </w:rPr>
              <w:t>R-407C</w:t>
            </w:r>
          </w:p>
          <w:p w14:paraId="73D244AB" w14:textId="77777777" w:rsidR="006F0BB0" w:rsidRPr="006F0BB0" w:rsidRDefault="006F0BB0" w:rsidP="007D1DBA">
            <w:pPr>
              <w:jc w:val="left"/>
              <w:rPr>
                <w:sz w:val="19"/>
                <w:szCs w:val="19"/>
                <w:lang w:val="pt-BR"/>
              </w:rPr>
            </w:pPr>
            <w:r w:rsidRPr="006F0BB0">
              <w:rPr>
                <w:sz w:val="19"/>
                <w:szCs w:val="19"/>
                <w:lang w:val="pt-BR"/>
              </w:rPr>
              <w:t>Blends</w:t>
            </w:r>
          </w:p>
        </w:tc>
        <w:tc>
          <w:tcPr>
            <w:tcW w:w="3150" w:type="dxa"/>
            <w:tcMar>
              <w:left w:w="72" w:type="dxa"/>
              <w:right w:w="43" w:type="dxa"/>
            </w:tcMar>
          </w:tcPr>
          <w:p w14:paraId="64A14BDB" w14:textId="429F3C8F" w:rsidR="006F0BB0" w:rsidRPr="006F0BB0" w:rsidRDefault="006F0BB0" w:rsidP="007D1DBA">
            <w:pPr>
              <w:spacing w:after="60"/>
              <w:jc w:val="left"/>
              <w:rPr>
                <w:sz w:val="19"/>
                <w:szCs w:val="19"/>
                <w:lang w:val="es-ES"/>
              </w:rPr>
            </w:pPr>
            <w:r w:rsidRPr="006F0BB0">
              <w:rPr>
                <w:sz w:val="19"/>
                <w:szCs w:val="19"/>
                <w:lang w:val="es-ES"/>
              </w:rPr>
              <w:t>Posibilidad de ejecución integrada en empresas que consumen tanto HCFC</w:t>
            </w:r>
            <w:r w:rsidRPr="006F0BB0">
              <w:rPr>
                <w:sz w:val="19"/>
                <w:szCs w:val="19"/>
                <w:lang w:val="es-ES"/>
              </w:rPr>
              <w:noBreakHyphen/>
              <w:t>22 como R</w:t>
            </w:r>
            <w:r w:rsidRPr="006F0BB0">
              <w:rPr>
                <w:sz w:val="19"/>
                <w:szCs w:val="19"/>
                <w:lang w:val="es-ES"/>
              </w:rPr>
              <w:noBreakHyphen/>
              <w:t>410A (u otros HFC de alto PCA). No obstante, es posible que algunas conversiones de empresas no sean sostenibles si otros fabricantes siguen usando HFC de alto PCA o importando equipos con HFC de alto PCA. Es menester aplicar un enfoque sectorial para asegurar la adopción sostenida de tecnologías alternativas de PCA más bajo.</w:t>
            </w:r>
          </w:p>
        </w:tc>
        <w:tc>
          <w:tcPr>
            <w:tcW w:w="2790" w:type="dxa"/>
            <w:tcMar>
              <w:left w:w="72" w:type="dxa"/>
              <w:right w:w="43" w:type="dxa"/>
            </w:tcMar>
          </w:tcPr>
          <w:p w14:paraId="1AE7F497" w14:textId="77777777" w:rsidR="006F0BB0" w:rsidRPr="006F0BB0" w:rsidRDefault="006F0BB0" w:rsidP="007D1DBA">
            <w:pPr>
              <w:spacing w:after="60"/>
              <w:jc w:val="left"/>
              <w:rPr>
                <w:sz w:val="19"/>
                <w:szCs w:val="19"/>
                <w:lang w:val="es-ES"/>
              </w:rPr>
            </w:pPr>
            <w:r w:rsidRPr="006F0BB0">
              <w:rPr>
                <w:sz w:val="19"/>
                <w:szCs w:val="19"/>
                <w:lang w:val="es-ES"/>
              </w:rPr>
              <w:t>Las normas de eficiencia energética en material de aire acondicionado podrían favorecer, a corto plazo, la adopción del R</w:t>
            </w:r>
            <w:r w:rsidRPr="006F0BB0">
              <w:rPr>
                <w:sz w:val="19"/>
                <w:szCs w:val="19"/>
                <w:lang w:val="es-ES"/>
              </w:rPr>
              <w:noBreakHyphen/>
              <w:t>410A y otros refrigerantes de alto PCA; tal vez sea necesario aplicar medidas normativas para evitar que eso ocurra.</w:t>
            </w:r>
          </w:p>
          <w:p w14:paraId="4F9F0B23" w14:textId="77777777" w:rsidR="006F0BB0" w:rsidRPr="006F0BB0" w:rsidRDefault="006F0BB0" w:rsidP="007D1DBA">
            <w:pPr>
              <w:spacing w:after="60"/>
              <w:jc w:val="left"/>
              <w:rPr>
                <w:sz w:val="19"/>
                <w:szCs w:val="19"/>
                <w:lang w:val="es-ES"/>
              </w:rPr>
            </w:pPr>
          </w:p>
        </w:tc>
      </w:tr>
      <w:tr w:rsidR="006F0BB0" w:rsidRPr="00482916" w14:paraId="2D0826DC" w14:textId="77777777" w:rsidTr="007D1DBA">
        <w:tc>
          <w:tcPr>
            <w:tcW w:w="1165" w:type="dxa"/>
            <w:tcMar>
              <w:left w:w="72" w:type="dxa"/>
              <w:right w:w="43" w:type="dxa"/>
            </w:tcMar>
          </w:tcPr>
          <w:p w14:paraId="46711B2B" w14:textId="77777777" w:rsidR="006F0BB0" w:rsidRPr="006F0BB0" w:rsidRDefault="006F0BB0" w:rsidP="007D1DBA">
            <w:pPr>
              <w:jc w:val="left"/>
              <w:rPr>
                <w:sz w:val="19"/>
                <w:szCs w:val="19"/>
              </w:rPr>
            </w:pPr>
            <w:proofErr w:type="spellStart"/>
            <w:r w:rsidRPr="006F0BB0">
              <w:rPr>
                <w:sz w:val="19"/>
                <w:szCs w:val="19"/>
              </w:rPr>
              <w:t>Aire</w:t>
            </w:r>
            <w:proofErr w:type="spellEnd"/>
            <w:r w:rsidRPr="006F0BB0">
              <w:rPr>
                <w:sz w:val="19"/>
                <w:szCs w:val="19"/>
              </w:rPr>
              <w:t xml:space="preserve"> </w:t>
            </w:r>
            <w:proofErr w:type="spellStart"/>
            <w:r w:rsidRPr="006F0BB0">
              <w:rPr>
                <w:sz w:val="19"/>
                <w:szCs w:val="19"/>
              </w:rPr>
              <w:t>acondicionado</w:t>
            </w:r>
            <w:proofErr w:type="spellEnd"/>
            <w:r w:rsidRPr="006F0BB0">
              <w:rPr>
                <w:sz w:val="19"/>
                <w:szCs w:val="19"/>
              </w:rPr>
              <w:t xml:space="preserve"> </w:t>
            </w:r>
            <w:proofErr w:type="spellStart"/>
            <w:r w:rsidRPr="006F0BB0">
              <w:rPr>
                <w:sz w:val="19"/>
                <w:szCs w:val="19"/>
              </w:rPr>
              <w:t>móvil</w:t>
            </w:r>
            <w:proofErr w:type="spellEnd"/>
            <w:r w:rsidRPr="006F0BB0">
              <w:rPr>
                <w:sz w:val="19"/>
                <w:szCs w:val="19"/>
              </w:rPr>
              <w:t xml:space="preserve"> (</w:t>
            </w:r>
            <w:proofErr w:type="spellStart"/>
            <w:r w:rsidRPr="006F0BB0">
              <w:rPr>
                <w:sz w:val="19"/>
                <w:szCs w:val="19"/>
              </w:rPr>
              <w:t>vehículos</w:t>
            </w:r>
            <w:proofErr w:type="spellEnd"/>
            <w:r w:rsidRPr="006F0BB0">
              <w:rPr>
                <w:sz w:val="19"/>
                <w:szCs w:val="19"/>
              </w:rPr>
              <w:t>)</w:t>
            </w:r>
          </w:p>
        </w:tc>
        <w:tc>
          <w:tcPr>
            <w:tcW w:w="1170" w:type="dxa"/>
            <w:tcMar>
              <w:left w:w="72" w:type="dxa"/>
              <w:right w:w="43" w:type="dxa"/>
            </w:tcMar>
          </w:tcPr>
          <w:p w14:paraId="7C2C2027" w14:textId="77777777" w:rsidR="006F0BB0" w:rsidRPr="006F0BB0" w:rsidRDefault="006F0BB0" w:rsidP="007D1DBA">
            <w:pPr>
              <w:jc w:val="left"/>
              <w:rPr>
                <w:sz w:val="19"/>
                <w:szCs w:val="19"/>
              </w:rPr>
            </w:pPr>
            <w:proofErr w:type="spellStart"/>
            <w:r w:rsidRPr="006F0BB0">
              <w:rPr>
                <w:sz w:val="19"/>
                <w:szCs w:val="19"/>
              </w:rPr>
              <w:t>Ninguno</w:t>
            </w:r>
            <w:proofErr w:type="spellEnd"/>
          </w:p>
        </w:tc>
        <w:tc>
          <w:tcPr>
            <w:tcW w:w="1170" w:type="dxa"/>
            <w:tcMar>
              <w:left w:w="72" w:type="dxa"/>
              <w:right w:w="43" w:type="dxa"/>
            </w:tcMar>
          </w:tcPr>
          <w:p w14:paraId="43DA68B6" w14:textId="77777777" w:rsidR="006F0BB0" w:rsidRPr="006F0BB0" w:rsidRDefault="006F0BB0" w:rsidP="007D1DBA">
            <w:pPr>
              <w:jc w:val="left"/>
              <w:rPr>
                <w:sz w:val="19"/>
                <w:szCs w:val="19"/>
                <w:lang w:val="pt-BR"/>
              </w:rPr>
            </w:pPr>
            <w:r w:rsidRPr="006F0BB0">
              <w:rPr>
                <w:sz w:val="19"/>
                <w:szCs w:val="19"/>
                <w:lang w:val="pt-BR"/>
              </w:rPr>
              <w:t>HFC-134a</w:t>
            </w:r>
          </w:p>
        </w:tc>
        <w:tc>
          <w:tcPr>
            <w:tcW w:w="3150" w:type="dxa"/>
            <w:tcMar>
              <w:left w:w="72" w:type="dxa"/>
              <w:right w:w="43" w:type="dxa"/>
            </w:tcMar>
          </w:tcPr>
          <w:p w14:paraId="2CEFE15D" w14:textId="77777777" w:rsidR="006F0BB0" w:rsidRPr="006F0BB0" w:rsidRDefault="006F0BB0" w:rsidP="007D1DBA">
            <w:pPr>
              <w:spacing w:after="60"/>
              <w:jc w:val="left"/>
              <w:rPr>
                <w:sz w:val="19"/>
                <w:szCs w:val="19"/>
                <w:lang w:val="pt-BR"/>
              </w:rPr>
            </w:pPr>
            <w:r w:rsidRPr="006F0BB0">
              <w:rPr>
                <w:sz w:val="19"/>
                <w:szCs w:val="19"/>
                <w:lang w:val="pt-BR"/>
              </w:rPr>
              <w:t>No es posible la ejecución integrada debido a que no se usan los HCFC.</w:t>
            </w:r>
          </w:p>
        </w:tc>
        <w:tc>
          <w:tcPr>
            <w:tcW w:w="2790" w:type="dxa"/>
            <w:tcMar>
              <w:left w:w="72" w:type="dxa"/>
              <w:right w:w="43" w:type="dxa"/>
            </w:tcMar>
          </w:tcPr>
          <w:p w14:paraId="09A57F0F" w14:textId="77777777" w:rsidR="006F0BB0" w:rsidRPr="006F0BB0" w:rsidRDefault="006F0BB0" w:rsidP="007D1DBA">
            <w:pPr>
              <w:spacing w:after="60"/>
              <w:jc w:val="left"/>
              <w:rPr>
                <w:sz w:val="19"/>
                <w:szCs w:val="19"/>
                <w:lang w:val="pt-BR"/>
              </w:rPr>
            </w:pPr>
            <w:r w:rsidRPr="006F0BB0">
              <w:rPr>
                <w:sz w:val="19"/>
                <w:szCs w:val="19"/>
                <w:lang w:val="pt-BR"/>
              </w:rPr>
              <w:t>Se dispone de información limitada, En la actualidad, algunos fabricantes de automóviles están usando HFO</w:t>
            </w:r>
            <w:r w:rsidRPr="006F0BB0">
              <w:rPr>
                <w:sz w:val="19"/>
                <w:szCs w:val="19"/>
                <w:lang w:val="pt-BR"/>
              </w:rPr>
              <w:noBreakHyphen/>
              <w:t xml:space="preserve">1234yf como alternativa al HFC-134a. </w:t>
            </w:r>
          </w:p>
        </w:tc>
      </w:tr>
      <w:tr w:rsidR="006F0BB0" w:rsidRPr="00482916" w14:paraId="5CD51169" w14:textId="77777777" w:rsidTr="007D1DBA">
        <w:tc>
          <w:tcPr>
            <w:tcW w:w="1165" w:type="dxa"/>
            <w:tcMar>
              <w:left w:w="72" w:type="dxa"/>
              <w:right w:w="43" w:type="dxa"/>
            </w:tcMar>
          </w:tcPr>
          <w:p w14:paraId="2CC7998B" w14:textId="77777777" w:rsidR="006F0BB0" w:rsidRPr="006F0BB0" w:rsidRDefault="006F0BB0" w:rsidP="007D1DBA">
            <w:pPr>
              <w:jc w:val="left"/>
              <w:rPr>
                <w:sz w:val="19"/>
                <w:szCs w:val="19"/>
              </w:rPr>
            </w:pPr>
            <w:proofErr w:type="spellStart"/>
            <w:r w:rsidRPr="006F0BB0">
              <w:rPr>
                <w:sz w:val="19"/>
                <w:szCs w:val="19"/>
              </w:rPr>
              <w:t>Enfriadores</w:t>
            </w:r>
            <w:proofErr w:type="spellEnd"/>
          </w:p>
        </w:tc>
        <w:tc>
          <w:tcPr>
            <w:tcW w:w="1170" w:type="dxa"/>
            <w:tcMar>
              <w:left w:w="72" w:type="dxa"/>
              <w:right w:w="43" w:type="dxa"/>
            </w:tcMar>
          </w:tcPr>
          <w:p w14:paraId="005A3840" w14:textId="77777777" w:rsidR="006F0BB0" w:rsidRPr="006F0BB0" w:rsidRDefault="006F0BB0" w:rsidP="007D1DBA">
            <w:pPr>
              <w:jc w:val="left"/>
              <w:rPr>
                <w:sz w:val="19"/>
                <w:szCs w:val="19"/>
              </w:rPr>
            </w:pPr>
            <w:r w:rsidRPr="006F0BB0">
              <w:rPr>
                <w:sz w:val="19"/>
                <w:szCs w:val="19"/>
              </w:rPr>
              <w:t>HCFC-22</w:t>
            </w:r>
          </w:p>
        </w:tc>
        <w:tc>
          <w:tcPr>
            <w:tcW w:w="1170" w:type="dxa"/>
            <w:tcMar>
              <w:left w:w="72" w:type="dxa"/>
              <w:right w:w="43" w:type="dxa"/>
            </w:tcMar>
          </w:tcPr>
          <w:p w14:paraId="202C9F0E" w14:textId="77777777" w:rsidR="006F0BB0" w:rsidRPr="006F0BB0" w:rsidRDefault="006F0BB0" w:rsidP="007D1DBA">
            <w:pPr>
              <w:jc w:val="left"/>
              <w:rPr>
                <w:sz w:val="19"/>
                <w:szCs w:val="19"/>
                <w:lang w:val="pt-BR"/>
              </w:rPr>
            </w:pPr>
            <w:r w:rsidRPr="006F0BB0">
              <w:rPr>
                <w:sz w:val="19"/>
                <w:szCs w:val="19"/>
                <w:lang w:val="pt-BR"/>
              </w:rPr>
              <w:t>HFC-134a,</w:t>
            </w:r>
          </w:p>
          <w:p w14:paraId="6ADEB194" w14:textId="77777777" w:rsidR="006F0BB0" w:rsidRPr="006F0BB0" w:rsidRDefault="006F0BB0" w:rsidP="007D1DBA">
            <w:pPr>
              <w:jc w:val="left"/>
              <w:rPr>
                <w:sz w:val="19"/>
                <w:szCs w:val="19"/>
                <w:lang w:val="pt-BR"/>
              </w:rPr>
            </w:pPr>
            <w:r w:rsidRPr="006F0BB0">
              <w:rPr>
                <w:sz w:val="19"/>
                <w:szCs w:val="19"/>
                <w:lang w:val="pt-BR"/>
              </w:rPr>
              <w:t>R-410A,</w:t>
            </w:r>
          </w:p>
          <w:p w14:paraId="7C4F6CA7" w14:textId="77777777" w:rsidR="006F0BB0" w:rsidRPr="006F0BB0" w:rsidRDefault="006F0BB0" w:rsidP="007D1DBA">
            <w:pPr>
              <w:jc w:val="left"/>
              <w:rPr>
                <w:sz w:val="19"/>
                <w:szCs w:val="19"/>
                <w:lang w:val="pt-BR"/>
              </w:rPr>
            </w:pPr>
            <w:r w:rsidRPr="006F0BB0">
              <w:rPr>
                <w:sz w:val="19"/>
                <w:szCs w:val="19"/>
                <w:lang w:val="pt-BR"/>
              </w:rPr>
              <w:t>R-407C,</w:t>
            </w:r>
          </w:p>
          <w:p w14:paraId="0E084678" w14:textId="77777777" w:rsidR="006F0BB0" w:rsidRPr="006F0BB0" w:rsidRDefault="006F0BB0" w:rsidP="007D1DBA">
            <w:pPr>
              <w:jc w:val="left"/>
              <w:rPr>
                <w:sz w:val="19"/>
                <w:szCs w:val="19"/>
                <w:lang w:val="pt-BR"/>
              </w:rPr>
            </w:pPr>
            <w:r w:rsidRPr="006F0BB0">
              <w:rPr>
                <w:sz w:val="19"/>
                <w:szCs w:val="19"/>
                <w:lang w:val="pt-BR"/>
              </w:rPr>
              <w:t xml:space="preserve">R-413A </w:t>
            </w:r>
          </w:p>
        </w:tc>
        <w:tc>
          <w:tcPr>
            <w:tcW w:w="3150" w:type="dxa"/>
            <w:tcMar>
              <w:left w:w="72" w:type="dxa"/>
              <w:right w:w="43" w:type="dxa"/>
            </w:tcMar>
          </w:tcPr>
          <w:p w14:paraId="6E84308C" w14:textId="77777777" w:rsidR="006F0BB0" w:rsidRPr="006F0BB0" w:rsidRDefault="006F0BB0" w:rsidP="007D1DBA">
            <w:pPr>
              <w:spacing w:after="60"/>
              <w:jc w:val="left"/>
              <w:rPr>
                <w:sz w:val="19"/>
                <w:szCs w:val="19"/>
                <w:lang w:val="es-ES"/>
              </w:rPr>
            </w:pPr>
            <w:r w:rsidRPr="006F0BB0">
              <w:rPr>
                <w:sz w:val="19"/>
                <w:szCs w:val="19"/>
                <w:lang w:val="es-ES"/>
              </w:rPr>
              <w:t>Situación análoga a la del aire acondicionado comercial, aunque los niveles de consumo tal vez sean más bajos. Este sector está más relacionado con los usuarios finales o las empresas de montaje.</w:t>
            </w:r>
          </w:p>
          <w:p w14:paraId="60476B96" w14:textId="77777777" w:rsidR="006F0BB0" w:rsidRPr="006F0BB0" w:rsidRDefault="006F0BB0" w:rsidP="007D1DBA">
            <w:pPr>
              <w:spacing w:after="60"/>
              <w:jc w:val="left"/>
              <w:rPr>
                <w:sz w:val="19"/>
                <w:szCs w:val="19"/>
                <w:lang w:val="es-ES"/>
              </w:rPr>
            </w:pPr>
            <w:r w:rsidRPr="006F0BB0">
              <w:rPr>
                <w:sz w:val="19"/>
                <w:szCs w:val="19"/>
                <w:lang w:val="es-ES"/>
              </w:rPr>
              <w:t>Es poco probable que se puedan ejecutar de manera integrada los planes de eliminación de HCFC y reducción de los HFC.</w:t>
            </w:r>
          </w:p>
        </w:tc>
        <w:tc>
          <w:tcPr>
            <w:tcW w:w="2790" w:type="dxa"/>
            <w:tcMar>
              <w:left w:w="72" w:type="dxa"/>
              <w:right w:w="43" w:type="dxa"/>
            </w:tcMar>
          </w:tcPr>
          <w:p w14:paraId="2EF735BB" w14:textId="77777777" w:rsidR="006F0BB0" w:rsidRPr="006F0BB0" w:rsidRDefault="006F0BB0" w:rsidP="007D1DBA">
            <w:pPr>
              <w:spacing w:after="60"/>
              <w:jc w:val="left"/>
              <w:rPr>
                <w:sz w:val="19"/>
                <w:szCs w:val="19"/>
                <w:lang w:val="es-ES"/>
              </w:rPr>
            </w:pPr>
            <w:r w:rsidRPr="006F0BB0">
              <w:rPr>
                <w:sz w:val="19"/>
                <w:szCs w:val="19"/>
                <w:lang w:val="es-ES"/>
              </w:rPr>
              <w:t>Se dispone de información limitada.</w:t>
            </w:r>
          </w:p>
        </w:tc>
      </w:tr>
      <w:tr w:rsidR="006F0BB0" w:rsidRPr="00482916" w14:paraId="599B67CA" w14:textId="77777777" w:rsidTr="007D1DBA">
        <w:tc>
          <w:tcPr>
            <w:tcW w:w="1165" w:type="dxa"/>
            <w:tcMar>
              <w:left w:w="72" w:type="dxa"/>
              <w:right w:w="43" w:type="dxa"/>
            </w:tcMar>
          </w:tcPr>
          <w:p w14:paraId="7509D81C" w14:textId="77777777" w:rsidR="006F0BB0" w:rsidRPr="006F0BB0" w:rsidRDefault="006F0BB0" w:rsidP="007D1DBA">
            <w:pPr>
              <w:jc w:val="left"/>
              <w:rPr>
                <w:sz w:val="19"/>
                <w:szCs w:val="19"/>
              </w:rPr>
            </w:pPr>
            <w:r w:rsidRPr="006F0BB0">
              <w:rPr>
                <w:sz w:val="19"/>
                <w:szCs w:val="19"/>
              </w:rPr>
              <w:t>Aerosol</w:t>
            </w:r>
          </w:p>
        </w:tc>
        <w:tc>
          <w:tcPr>
            <w:tcW w:w="1170" w:type="dxa"/>
            <w:tcMar>
              <w:left w:w="72" w:type="dxa"/>
              <w:right w:w="43" w:type="dxa"/>
            </w:tcMar>
          </w:tcPr>
          <w:p w14:paraId="15B4AAC0" w14:textId="77777777" w:rsidR="006F0BB0" w:rsidRPr="006F0BB0" w:rsidRDefault="006F0BB0" w:rsidP="007D1DBA">
            <w:pPr>
              <w:jc w:val="left"/>
              <w:rPr>
                <w:sz w:val="19"/>
                <w:szCs w:val="19"/>
              </w:rPr>
            </w:pPr>
            <w:r w:rsidRPr="006F0BB0">
              <w:rPr>
                <w:sz w:val="19"/>
                <w:szCs w:val="19"/>
              </w:rPr>
              <w:t>HCFC-22, HCFC-141b</w:t>
            </w:r>
          </w:p>
        </w:tc>
        <w:tc>
          <w:tcPr>
            <w:tcW w:w="1170" w:type="dxa"/>
            <w:tcMar>
              <w:left w:w="72" w:type="dxa"/>
              <w:right w:w="43" w:type="dxa"/>
            </w:tcMar>
          </w:tcPr>
          <w:p w14:paraId="4F0755E6" w14:textId="77777777" w:rsidR="006F0BB0" w:rsidRPr="006F0BB0" w:rsidRDefault="006F0BB0" w:rsidP="007D1DBA">
            <w:pPr>
              <w:jc w:val="left"/>
              <w:rPr>
                <w:sz w:val="19"/>
                <w:szCs w:val="19"/>
                <w:lang w:val="es-ES"/>
              </w:rPr>
            </w:pPr>
            <w:r w:rsidRPr="006F0BB0">
              <w:rPr>
                <w:sz w:val="19"/>
                <w:szCs w:val="19"/>
                <w:lang w:val="es-ES"/>
              </w:rPr>
              <w:t>HFC-134a y</w:t>
            </w:r>
          </w:p>
          <w:p w14:paraId="677743B3" w14:textId="77777777" w:rsidR="006F0BB0" w:rsidRPr="006F0BB0" w:rsidRDefault="006F0BB0" w:rsidP="007D1DBA">
            <w:pPr>
              <w:jc w:val="left"/>
              <w:rPr>
                <w:sz w:val="19"/>
                <w:szCs w:val="19"/>
                <w:lang w:val="es-ES"/>
              </w:rPr>
            </w:pPr>
            <w:r w:rsidRPr="006F0BB0">
              <w:rPr>
                <w:sz w:val="19"/>
                <w:szCs w:val="19"/>
                <w:lang w:val="es-ES"/>
              </w:rPr>
              <w:t>HFC-152a</w:t>
            </w:r>
          </w:p>
          <w:p w14:paraId="656D207D" w14:textId="77777777" w:rsidR="006F0BB0" w:rsidRPr="006F0BB0" w:rsidRDefault="006F0BB0" w:rsidP="007D1DBA">
            <w:pPr>
              <w:jc w:val="left"/>
              <w:rPr>
                <w:sz w:val="19"/>
                <w:szCs w:val="19"/>
                <w:lang w:val="es-ES"/>
              </w:rPr>
            </w:pPr>
            <w:r w:rsidRPr="006F0BB0">
              <w:rPr>
                <w:sz w:val="19"/>
                <w:szCs w:val="19"/>
                <w:lang w:val="es-ES"/>
              </w:rPr>
              <w:t>HFC-134a en los MDI</w:t>
            </w:r>
          </w:p>
        </w:tc>
        <w:tc>
          <w:tcPr>
            <w:tcW w:w="3150" w:type="dxa"/>
            <w:tcMar>
              <w:left w:w="72" w:type="dxa"/>
              <w:right w:w="43" w:type="dxa"/>
            </w:tcMar>
          </w:tcPr>
          <w:p w14:paraId="26843BEB" w14:textId="77777777" w:rsidR="006F0BB0" w:rsidRPr="006F0BB0" w:rsidRDefault="006F0BB0" w:rsidP="007D1DBA">
            <w:pPr>
              <w:spacing w:after="60"/>
              <w:jc w:val="left"/>
              <w:rPr>
                <w:sz w:val="19"/>
                <w:szCs w:val="19"/>
                <w:lang w:val="es-ES"/>
              </w:rPr>
            </w:pPr>
            <w:r w:rsidRPr="006F0BB0">
              <w:rPr>
                <w:sz w:val="19"/>
                <w:szCs w:val="19"/>
                <w:lang w:val="es-ES"/>
              </w:rPr>
              <w:t xml:space="preserve">Se ejecutarán por separado a medida que se disponga de alternativas </w:t>
            </w:r>
          </w:p>
        </w:tc>
        <w:tc>
          <w:tcPr>
            <w:tcW w:w="2790" w:type="dxa"/>
            <w:tcMar>
              <w:left w:w="72" w:type="dxa"/>
              <w:right w:w="43" w:type="dxa"/>
            </w:tcMar>
          </w:tcPr>
          <w:p w14:paraId="39FB7E6A" w14:textId="77777777" w:rsidR="006F0BB0" w:rsidRPr="006F0BB0" w:rsidRDefault="006F0BB0" w:rsidP="007D1DBA">
            <w:pPr>
              <w:spacing w:after="60"/>
              <w:jc w:val="left"/>
              <w:rPr>
                <w:sz w:val="19"/>
                <w:szCs w:val="19"/>
                <w:lang w:val="es-ES"/>
              </w:rPr>
            </w:pPr>
            <w:r w:rsidRPr="006F0BB0">
              <w:rPr>
                <w:sz w:val="19"/>
                <w:szCs w:val="19"/>
                <w:lang w:val="es-ES"/>
              </w:rPr>
              <w:t xml:space="preserve">Varios países que usan HFC-152a (124 GWP). </w:t>
            </w:r>
          </w:p>
          <w:p w14:paraId="002D6C66" w14:textId="77777777" w:rsidR="006F0BB0" w:rsidRPr="006F0BB0" w:rsidRDefault="006F0BB0" w:rsidP="007D1DBA">
            <w:pPr>
              <w:spacing w:after="60"/>
              <w:jc w:val="left"/>
              <w:rPr>
                <w:sz w:val="19"/>
                <w:szCs w:val="19"/>
                <w:lang w:val="es-ES"/>
              </w:rPr>
            </w:pPr>
            <w:r w:rsidRPr="006F0BB0">
              <w:rPr>
                <w:sz w:val="19"/>
                <w:szCs w:val="19"/>
                <w:lang w:val="es-ES"/>
              </w:rPr>
              <w:t>Al parecer son bajos los niveles de consumo de HFC</w:t>
            </w:r>
            <w:r w:rsidRPr="006F0BB0">
              <w:rPr>
                <w:sz w:val="19"/>
                <w:szCs w:val="19"/>
                <w:lang w:val="es-ES"/>
              </w:rPr>
              <w:noBreakHyphen/>
              <w:t xml:space="preserve">134a en los MDI y otras aplicaciones de aerosoles. </w:t>
            </w:r>
          </w:p>
          <w:p w14:paraId="69A427E5" w14:textId="77777777" w:rsidR="006F0BB0" w:rsidRPr="006F0BB0" w:rsidRDefault="006F0BB0" w:rsidP="007D1DBA">
            <w:pPr>
              <w:spacing w:after="60"/>
              <w:jc w:val="left"/>
              <w:rPr>
                <w:sz w:val="19"/>
                <w:szCs w:val="19"/>
                <w:lang w:val="es-ES"/>
              </w:rPr>
            </w:pPr>
            <w:r w:rsidRPr="006F0BB0">
              <w:rPr>
                <w:sz w:val="19"/>
                <w:szCs w:val="19"/>
                <w:lang w:val="es-ES"/>
              </w:rPr>
              <w:t>Hace falta tiempo para crear una tecnología para los MDI que no use HFC. De manera que no se recomienda la aplicación de medidas tempranas en el caso de los MDI.</w:t>
            </w:r>
          </w:p>
        </w:tc>
      </w:tr>
      <w:tr w:rsidR="006F0BB0" w:rsidRPr="00482916" w14:paraId="228F9C4F" w14:textId="77777777" w:rsidTr="007D1DBA">
        <w:tc>
          <w:tcPr>
            <w:tcW w:w="1165" w:type="dxa"/>
            <w:tcMar>
              <w:left w:w="72" w:type="dxa"/>
              <w:right w:w="43" w:type="dxa"/>
            </w:tcMar>
          </w:tcPr>
          <w:p w14:paraId="39E99251" w14:textId="77777777" w:rsidR="006F0BB0" w:rsidRPr="006F0BB0" w:rsidRDefault="006F0BB0" w:rsidP="007D1DBA">
            <w:pPr>
              <w:jc w:val="left"/>
              <w:rPr>
                <w:sz w:val="19"/>
                <w:szCs w:val="19"/>
                <w:lang w:val="es-ES"/>
              </w:rPr>
            </w:pPr>
            <w:r w:rsidRPr="006F0BB0">
              <w:rPr>
                <w:sz w:val="19"/>
                <w:szCs w:val="19"/>
                <w:lang w:val="es-ES"/>
              </w:rPr>
              <w:t>Disolventes</w:t>
            </w:r>
          </w:p>
        </w:tc>
        <w:tc>
          <w:tcPr>
            <w:tcW w:w="1170" w:type="dxa"/>
            <w:tcMar>
              <w:left w:w="72" w:type="dxa"/>
              <w:right w:w="43" w:type="dxa"/>
            </w:tcMar>
          </w:tcPr>
          <w:p w14:paraId="509EF069" w14:textId="77777777" w:rsidR="006F0BB0" w:rsidRPr="006F0BB0" w:rsidRDefault="006F0BB0" w:rsidP="007D1DBA">
            <w:pPr>
              <w:jc w:val="left"/>
              <w:rPr>
                <w:sz w:val="19"/>
                <w:szCs w:val="19"/>
                <w:lang w:val="es-ES"/>
              </w:rPr>
            </w:pPr>
            <w:r w:rsidRPr="006F0BB0">
              <w:rPr>
                <w:sz w:val="19"/>
                <w:szCs w:val="19"/>
                <w:lang w:val="es-ES"/>
              </w:rPr>
              <w:t>HCFC-141b</w:t>
            </w:r>
          </w:p>
          <w:p w14:paraId="7C79D4D1" w14:textId="77777777" w:rsidR="006F0BB0" w:rsidRPr="006F0BB0" w:rsidRDefault="006F0BB0" w:rsidP="007D1DBA">
            <w:pPr>
              <w:jc w:val="left"/>
              <w:rPr>
                <w:sz w:val="19"/>
                <w:szCs w:val="19"/>
                <w:lang w:val="es-ES"/>
              </w:rPr>
            </w:pPr>
            <w:r w:rsidRPr="006F0BB0">
              <w:rPr>
                <w:sz w:val="19"/>
                <w:szCs w:val="19"/>
                <w:lang w:val="es-ES"/>
              </w:rPr>
              <w:t>HCFC-22</w:t>
            </w:r>
          </w:p>
          <w:p w14:paraId="68E64C9C" w14:textId="77777777" w:rsidR="006F0BB0" w:rsidRPr="006F0BB0" w:rsidRDefault="006F0BB0" w:rsidP="007D1DBA">
            <w:pPr>
              <w:jc w:val="left"/>
              <w:rPr>
                <w:sz w:val="19"/>
                <w:szCs w:val="19"/>
                <w:lang w:val="es-ES"/>
              </w:rPr>
            </w:pPr>
            <w:r w:rsidRPr="006F0BB0">
              <w:rPr>
                <w:sz w:val="19"/>
                <w:szCs w:val="19"/>
                <w:lang w:val="es-ES"/>
              </w:rPr>
              <w:t>HCFC-225ca</w:t>
            </w:r>
          </w:p>
          <w:p w14:paraId="6615F215" w14:textId="77777777" w:rsidR="006F0BB0" w:rsidRPr="006F0BB0" w:rsidRDefault="006F0BB0" w:rsidP="007D1DBA">
            <w:pPr>
              <w:jc w:val="left"/>
              <w:rPr>
                <w:sz w:val="19"/>
                <w:szCs w:val="19"/>
                <w:lang w:val="es-ES"/>
              </w:rPr>
            </w:pPr>
            <w:r w:rsidRPr="006F0BB0">
              <w:rPr>
                <w:sz w:val="19"/>
                <w:szCs w:val="19"/>
                <w:lang w:val="es-ES"/>
              </w:rPr>
              <w:t>HCFC-225cb</w:t>
            </w:r>
          </w:p>
        </w:tc>
        <w:tc>
          <w:tcPr>
            <w:tcW w:w="1170" w:type="dxa"/>
            <w:tcMar>
              <w:left w:w="72" w:type="dxa"/>
              <w:right w:w="43" w:type="dxa"/>
            </w:tcMar>
          </w:tcPr>
          <w:p w14:paraId="72F501AB" w14:textId="77777777" w:rsidR="006F0BB0" w:rsidRPr="006F0BB0" w:rsidRDefault="006F0BB0" w:rsidP="007D1DBA">
            <w:pPr>
              <w:jc w:val="left"/>
              <w:rPr>
                <w:sz w:val="19"/>
                <w:szCs w:val="19"/>
                <w:lang w:val="es-ES"/>
              </w:rPr>
            </w:pPr>
            <w:r w:rsidRPr="006F0BB0">
              <w:rPr>
                <w:sz w:val="19"/>
                <w:szCs w:val="19"/>
                <w:lang w:val="es-ES"/>
              </w:rPr>
              <w:t>Diversas mezclas de HFC</w:t>
            </w:r>
          </w:p>
        </w:tc>
        <w:tc>
          <w:tcPr>
            <w:tcW w:w="3150" w:type="dxa"/>
            <w:tcMar>
              <w:left w:w="72" w:type="dxa"/>
              <w:right w:w="43" w:type="dxa"/>
            </w:tcMar>
          </w:tcPr>
          <w:p w14:paraId="3C4DE87E" w14:textId="77777777" w:rsidR="006F0BB0" w:rsidRPr="006F0BB0" w:rsidRDefault="006F0BB0" w:rsidP="007D1DBA">
            <w:pPr>
              <w:spacing w:after="60"/>
              <w:jc w:val="left"/>
              <w:rPr>
                <w:sz w:val="19"/>
                <w:szCs w:val="19"/>
                <w:lang w:val="es-ES"/>
              </w:rPr>
            </w:pPr>
            <w:r w:rsidRPr="006F0BB0">
              <w:rPr>
                <w:sz w:val="19"/>
                <w:szCs w:val="19"/>
                <w:lang w:val="es-ES"/>
              </w:rPr>
              <w:t xml:space="preserve">Por determinar. </w:t>
            </w:r>
          </w:p>
        </w:tc>
        <w:tc>
          <w:tcPr>
            <w:tcW w:w="2790" w:type="dxa"/>
            <w:tcMar>
              <w:left w:w="72" w:type="dxa"/>
              <w:right w:w="43" w:type="dxa"/>
            </w:tcMar>
          </w:tcPr>
          <w:p w14:paraId="13DD0EDB" w14:textId="77777777" w:rsidR="006F0BB0" w:rsidRPr="006F0BB0" w:rsidRDefault="006F0BB0" w:rsidP="007D1DBA">
            <w:pPr>
              <w:spacing w:after="60"/>
              <w:jc w:val="left"/>
              <w:rPr>
                <w:sz w:val="19"/>
                <w:szCs w:val="19"/>
                <w:lang w:val="es-ES"/>
              </w:rPr>
            </w:pPr>
            <w:r w:rsidRPr="006F0BB0">
              <w:rPr>
                <w:sz w:val="19"/>
                <w:szCs w:val="19"/>
                <w:lang w:val="es-ES"/>
              </w:rPr>
              <w:t>Los niveles de consumo de HFC parecen ser bajos.</w:t>
            </w:r>
          </w:p>
        </w:tc>
      </w:tr>
      <w:tr w:rsidR="006F0BB0" w:rsidRPr="00482916" w14:paraId="0143A577" w14:textId="77777777" w:rsidTr="007D1DBA">
        <w:tc>
          <w:tcPr>
            <w:tcW w:w="1165" w:type="dxa"/>
            <w:tcMar>
              <w:left w:w="72" w:type="dxa"/>
              <w:right w:w="43" w:type="dxa"/>
            </w:tcMar>
          </w:tcPr>
          <w:p w14:paraId="7A6C57BD" w14:textId="77777777" w:rsidR="006F0BB0" w:rsidRPr="006F0BB0" w:rsidRDefault="006F0BB0" w:rsidP="007D1DBA">
            <w:pPr>
              <w:jc w:val="left"/>
              <w:rPr>
                <w:sz w:val="19"/>
                <w:szCs w:val="19"/>
              </w:rPr>
            </w:pPr>
            <w:proofErr w:type="spellStart"/>
            <w:r w:rsidRPr="006F0BB0">
              <w:rPr>
                <w:sz w:val="19"/>
                <w:szCs w:val="19"/>
              </w:rPr>
              <w:t>Lucha</w:t>
            </w:r>
            <w:proofErr w:type="spellEnd"/>
            <w:r w:rsidRPr="006F0BB0">
              <w:rPr>
                <w:sz w:val="19"/>
                <w:szCs w:val="19"/>
              </w:rPr>
              <w:t xml:space="preserve"> contra </w:t>
            </w:r>
            <w:proofErr w:type="spellStart"/>
            <w:r w:rsidRPr="006F0BB0">
              <w:rPr>
                <w:sz w:val="19"/>
                <w:szCs w:val="19"/>
              </w:rPr>
              <w:t>incendios</w:t>
            </w:r>
            <w:proofErr w:type="spellEnd"/>
          </w:p>
        </w:tc>
        <w:tc>
          <w:tcPr>
            <w:tcW w:w="1170" w:type="dxa"/>
            <w:tcMar>
              <w:left w:w="72" w:type="dxa"/>
              <w:right w:w="43" w:type="dxa"/>
            </w:tcMar>
          </w:tcPr>
          <w:p w14:paraId="296EF415" w14:textId="77777777" w:rsidR="006F0BB0" w:rsidRPr="006F0BB0" w:rsidRDefault="006F0BB0" w:rsidP="007D1DBA">
            <w:pPr>
              <w:jc w:val="left"/>
              <w:rPr>
                <w:sz w:val="19"/>
                <w:szCs w:val="19"/>
              </w:rPr>
            </w:pPr>
            <w:r w:rsidRPr="006F0BB0">
              <w:rPr>
                <w:sz w:val="19"/>
                <w:szCs w:val="19"/>
              </w:rPr>
              <w:t>HCFC-123</w:t>
            </w:r>
          </w:p>
        </w:tc>
        <w:tc>
          <w:tcPr>
            <w:tcW w:w="1170" w:type="dxa"/>
            <w:tcMar>
              <w:left w:w="72" w:type="dxa"/>
              <w:right w:w="43" w:type="dxa"/>
            </w:tcMar>
          </w:tcPr>
          <w:p w14:paraId="20969E60" w14:textId="77777777" w:rsidR="006F0BB0" w:rsidRPr="006F0BB0" w:rsidRDefault="006F0BB0" w:rsidP="007D1DBA">
            <w:pPr>
              <w:jc w:val="left"/>
              <w:rPr>
                <w:sz w:val="19"/>
                <w:szCs w:val="19"/>
              </w:rPr>
            </w:pPr>
            <w:r w:rsidRPr="006F0BB0">
              <w:rPr>
                <w:sz w:val="19"/>
                <w:szCs w:val="19"/>
              </w:rPr>
              <w:t xml:space="preserve">HFC-227ea, HFC-236fa, HFC-23, HFC-125 </w:t>
            </w:r>
          </w:p>
          <w:p w14:paraId="4D468D0F" w14:textId="77777777" w:rsidR="006F0BB0" w:rsidRPr="006F0BB0" w:rsidRDefault="006F0BB0" w:rsidP="007D1DBA">
            <w:pPr>
              <w:jc w:val="left"/>
              <w:rPr>
                <w:sz w:val="19"/>
                <w:szCs w:val="19"/>
                <w:lang w:val="es-ES"/>
              </w:rPr>
            </w:pPr>
            <w:r w:rsidRPr="006F0BB0">
              <w:rPr>
                <w:sz w:val="19"/>
                <w:szCs w:val="19"/>
                <w:lang w:val="es-ES"/>
              </w:rPr>
              <w:t>y otros HFC y mezclas</w:t>
            </w:r>
          </w:p>
        </w:tc>
        <w:tc>
          <w:tcPr>
            <w:tcW w:w="3150" w:type="dxa"/>
            <w:tcMar>
              <w:left w:w="72" w:type="dxa"/>
              <w:right w:w="43" w:type="dxa"/>
            </w:tcMar>
          </w:tcPr>
          <w:p w14:paraId="269E5D88" w14:textId="77777777" w:rsidR="006F0BB0" w:rsidRPr="006F0BB0" w:rsidRDefault="006F0BB0" w:rsidP="007D1DBA">
            <w:pPr>
              <w:spacing w:after="60"/>
              <w:jc w:val="left"/>
              <w:rPr>
                <w:sz w:val="19"/>
                <w:szCs w:val="19"/>
                <w:lang w:val="es-ES"/>
              </w:rPr>
            </w:pPr>
            <w:r w:rsidRPr="006F0BB0">
              <w:rPr>
                <w:sz w:val="19"/>
                <w:szCs w:val="19"/>
                <w:lang w:val="es-ES"/>
              </w:rPr>
              <w:t xml:space="preserve">Se podría considerar la posible ejecución integrada en los pocos países que no han incluido el HCFC-123 en sus PGEH y han notificado su consumo de HFC. Sin embargo, las </w:t>
            </w:r>
            <w:r w:rsidRPr="006F0BB0">
              <w:rPr>
                <w:sz w:val="19"/>
                <w:szCs w:val="19"/>
                <w:lang w:val="es-ES"/>
              </w:rPr>
              <w:lastRenderedPageBreak/>
              <w:t>cantidades son insignificantes, salvo en un solo país.</w:t>
            </w:r>
          </w:p>
          <w:p w14:paraId="2476DF28" w14:textId="77777777" w:rsidR="006F0BB0" w:rsidRPr="006F0BB0" w:rsidRDefault="006F0BB0" w:rsidP="007D1DBA">
            <w:pPr>
              <w:spacing w:after="60"/>
              <w:jc w:val="left"/>
              <w:rPr>
                <w:sz w:val="19"/>
                <w:szCs w:val="19"/>
                <w:lang w:val="es-ES"/>
              </w:rPr>
            </w:pPr>
            <w:r w:rsidRPr="006F0BB0">
              <w:rPr>
                <w:sz w:val="19"/>
                <w:szCs w:val="19"/>
                <w:lang w:val="es-ES"/>
              </w:rPr>
              <w:t xml:space="preserve">Además, las Partes ajustaron el Protocolo de Montreal para permitir el mantenimiento de equipos de lucha contra incendios a base de HCFC-123 durante la prórroga del período de mantenimiento. Por tal motivo, probablemente no surja la intención de aplicar medidas tempranas mediante la ejecución integrada con los PGEH. </w:t>
            </w:r>
          </w:p>
        </w:tc>
        <w:tc>
          <w:tcPr>
            <w:tcW w:w="2790" w:type="dxa"/>
            <w:tcMar>
              <w:left w:w="72" w:type="dxa"/>
              <w:right w:w="43" w:type="dxa"/>
            </w:tcMar>
          </w:tcPr>
          <w:p w14:paraId="7F5BD692" w14:textId="77777777" w:rsidR="006F0BB0" w:rsidRPr="006F0BB0" w:rsidRDefault="006F0BB0" w:rsidP="007D1DBA">
            <w:pPr>
              <w:spacing w:after="60"/>
              <w:jc w:val="left"/>
              <w:rPr>
                <w:sz w:val="19"/>
                <w:szCs w:val="19"/>
                <w:lang w:val="es-ES"/>
              </w:rPr>
            </w:pPr>
            <w:r w:rsidRPr="006F0BB0">
              <w:rPr>
                <w:sz w:val="19"/>
                <w:szCs w:val="19"/>
                <w:lang w:val="es-ES"/>
              </w:rPr>
              <w:lastRenderedPageBreak/>
              <w:t xml:space="preserve">Los niveles de consumo tanto de HCFC-123 como de los HFC en este sector parecen ser bajos, excepto en el caso de un país que usa 6 087 </w:t>
            </w:r>
            <w:proofErr w:type="spellStart"/>
            <w:r w:rsidRPr="006F0BB0">
              <w:rPr>
                <w:sz w:val="19"/>
                <w:szCs w:val="19"/>
                <w:lang w:val="es-ES"/>
              </w:rPr>
              <w:t>tm</w:t>
            </w:r>
            <w:proofErr w:type="spellEnd"/>
            <w:r w:rsidRPr="006F0BB0">
              <w:rPr>
                <w:sz w:val="19"/>
                <w:szCs w:val="19"/>
                <w:lang w:val="es-ES"/>
              </w:rPr>
              <w:t xml:space="preserve"> de HFC-225ea.</w:t>
            </w:r>
          </w:p>
        </w:tc>
      </w:tr>
      <w:tr w:rsidR="006F0BB0" w:rsidRPr="00482916" w14:paraId="12CD6F20" w14:textId="77777777" w:rsidTr="007D1DBA">
        <w:tc>
          <w:tcPr>
            <w:tcW w:w="1165" w:type="dxa"/>
            <w:tcMar>
              <w:left w:w="72" w:type="dxa"/>
              <w:right w:w="43" w:type="dxa"/>
            </w:tcMar>
          </w:tcPr>
          <w:p w14:paraId="1B2F749D" w14:textId="77777777" w:rsidR="006F0BB0" w:rsidRPr="006F0BB0" w:rsidRDefault="006F0BB0" w:rsidP="007D1DBA">
            <w:pPr>
              <w:jc w:val="left"/>
              <w:rPr>
                <w:sz w:val="19"/>
                <w:szCs w:val="19"/>
                <w:lang w:val="es-ES"/>
              </w:rPr>
            </w:pPr>
            <w:r w:rsidRPr="006F0BB0">
              <w:rPr>
                <w:sz w:val="19"/>
                <w:szCs w:val="19"/>
                <w:lang w:val="es-ES"/>
              </w:rPr>
              <w:lastRenderedPageBreak/>
              <w:t>Usos diversos del HFC-23 (lucha contra incendios, refrigeración de baja temperatura, otros)</w:t>
            </w:r>
          </w:p>
        </w:tc>
        <w:tc>
          <w:tcPr>
            <w:tcW w:w="1170" w:type="dxa"/>
            <w:tcMar>
              <w:left w:w="72" w:type="dxa"/>
              <w:right w:w="43" w:type="dxa"/>
            </w:tcMar>
          </w:tcPr>
          <w:p w14:paraId="06996F3A" w14:textId="77777777" w:rsidR="006F0BB0" w:rsidRPr="006F0BB0" w:rsidRDefault="006F0BB0" w:rsidP="007D1DBA">
            <w:pPr>
              <w:jc w:val="left"/>
              <w:rPr>
                <w:sz w:val="19"/>
                <w:szCs w:val="19"/>
              </w:rPr>
            </w:pPr>
            <w:r w:rsidRPr="006F0BB0">
              <w:rPr>
                <w:sz w:val="19"/>
                <w:szCs w:val="19"/>
              </w:rPr>
              <w:t>N/A</w:t>
            </w:r>
          </w:p>
        </w:tc>
        <w:tc>
          <w:tcPr>
            <w:tcW w:w="1170" w:type="dxa"/>
            <w:tcMar>
              <w:left w:w="72" w:type="dxa"/>
              <w:right w:w="43" w:type="dxa"/>
            </w:tcMar>
          </w:tcPr>
          <w:p w14:paraId="474CA7EC" w14:textId="77777777" w:rsidR="006F0BB0" w:rsidRPr="006F0BB0" w:rsidRDefault="006F0BB0" w:rsidP="007D1DBA">
            <w:pPr>
              <w:jc w:val="left"/>
              <w:rPr>
                <w:sz w:val="19"/>
                <w:szCs w:val="19"/>
              </w:rPr>
            </w:pPr>
            <w:r w:rsidRPr="006F0BB0">
              <w:rPr>
                <w:sz w:val="19"/>
                <w:szCs w:val="19"/>
              </w:rPr>
              <w:t>HFC-23</w:t>
            </w:r>
          </w:p>
        </w:tc>
        <w:tc>
          <w:tcPr>
            <w:tcW w:w="3150" w:type="dxa"/>
            <w:tcMar>
              <w:left w:w="72" w:type="dxa"/>
              <w:right w:w="43" w:type="dxa"/>
            </w:tcMar>
          </w:tcPr>
          <w:p w14:paraId="62D2F27E" w14:textId="77777777" w:rsidR="006F0BB0" w:rsidRPr="006F0BB0" w:rsidRDefault="006F0BB0" w:rsidP="007D1DBA">
            <w:pPr>
              <w:spacing w:after="60"/>
              <w:jc w:val="left"/>
              <w:rPr>
                <w:sz w:val="19"/>
                <w:szCs w:val="19"/>
                <w:lang w:val="es-ES"/>
              </w:rPr>
            </w:pPr>
            <w:r w:rsidRPr="006F0BB0">
              <w:rPr>
                <w:sz w:val="19"/>
                <w:szCs w:val="19"/>
                <w:lang w:val="es-ES"/>
              </w:rPr>
              <w:t>Pocas posibilidades de integración.</w:t>
            </w:r>
          </w:p>
        </w:tc>
        <w:tc>
          <w:tcPr>
            <w:tcW w:w="2790" w:type="dxa"/>
            <w:tcMar>
              <w:left w:w="72" w:type="dxa"/>
              <w:right w:w="43" w:type="dxa"/>
            </w:tcMar>
          </w:tcPr>
          <w:p w14:paraId="51ADC78E" w14:textId="77777777" w:rsidR="006F0BB0" w:rsidRPr="006F0BB0" w:rsidRDefault="006F0BB0" w:rsidP="007D1DBA">
            <w:pPr>
              <w:spacing w:after="60"/>
              <w:jc w:val="left"/>
              <w:rPr>
                <w:sz w:val="19"/>
                <w:szCs w:val="19"/>
                <w:lang w:val="es-ES"/>
              </w:rPr>
            </w:pPr>
            <w:r w:rsidRPr="006F0BB0">
              <w:rPr>
                <w:sz w:val="19"/>
                <w:szCs w:val="19"/>
                <w:lang w:val="es-ES"/>
              </w:rPr>
              <w:t>A pesar del limitado consumo de HFC-23 en los países, su (muy) alto PCA tal vez lo convierta en el objetivo oportuno para medidas tempranas.</w:t>
            </w:r>
          </w:p>
        </w:tc>
      </w:tr>
    </w:tbl>
    <w:p w14:paraId="6E2CDE9C" w14:textId="77777777" w:rsidR="006F0BB0" w:rsidRPr="006F0BB0" w:rsidRDefault="006F0BB0" w:rsidP="006F0BB0">
      <w:pPr>
        <w:rPr>
          <w:lang w:val="es-ES"/>
        </w:rPr>
      </w:pPr>
    </w:p>
    <w:p w14:paraId="4A650B85" w14:textId="77777777" w:rsidR="006F0BB0" w:rsidRPr="006F0BB0" w:rsidRDefault="006F0BB0" w:rsidP="006F0BB0">
      <w:pPr>
        <w:jc w:val="left"/>
        <w:rPr>
          <w:b/>
          <w:lang w:val="es-ES"/>
        </w:rPr>
        <w:sectPr w:rsidR="006F0BB0" w:rsidRPr="006F0BB0" w:rsidSect="008A6DB6">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titlePg/>
        </w:sectPr>
      </w:pPr>
    </w:p>
    <w:p w14:paraId="2177C91B" w14:textId="77777777" w:rsidR="006F0BB0" w:rsidRPr="006F0BB0" w:rsidRDefault="006F0BB0" w:rsidP="006F0BB0">
      <w:pPr>
        <w:pStyle w:val="Heading1"/>
        <w:numPr>
          <w:ilvl w:val="0"/>
          <w:numId w:val="0"/>
        </w:numPr>
        <w:jc w:val="center"/>
        <w:rPr>
          <w:b/>
          <w:lang w:val="es-ES"/>
        </w:rPr>
      </w:pPr>
      <w:r w:rsidRPr="006F0BB0">
        <w:rPr>
          <w:b/>
          <w:lang w:val="es-ES"/>
        </w:rPr>
        <w:lastRenderedPageBreak/>
        <w:t>Anexo III</w:t>
      </w:r>
    </w:p>
    <w:p w14:paraId="0B6AD7D8" w14:textId="77777777" w:rsidR="006F0BB0" w:rsidRPr="006F0BB0" w:rsidRDefault="006F0BB0" w:rsidP="006F0BB0">
      <w:pPr>
        <w:jc w:val="center"/>
        <w:rPr>
          <w:b/>
          <w:lang w:val="es-ES"/>
        </w:rPr>
      </w:pPr>
      <w:r w:rsidRPr="006F0BB0">
        <w:rPr>
          <w:b/>
          <w:lang w:val="es-ES"/>
        </w:rPr>
        <w:t xml:space="preserve">DOCUMENTO DEL PROYECTO DE ESTRATEGIA INTEGRADA DE CUMPLIMIENTO </w:t>
      </w:r>
    </w:p>
    <w:p w14:paraId="1CE73471" w14:textId="77777777" w:rsidR="006F0BB0" w:rsidRPr="006F0BB0" w:rsidRDefault="006F0BB0" w:rsidP="006F0BB0">
      <w:pPr>
        <w:jc w:val="center"/>
        <w:rPr>
          <w:b/>
          <w:lang w:val="es-ES"/>
        </w:rPr>
      </w:pPr>
      <w:r w:rsidRPr="006F0BB0">
        <w:rPr>
          <w:b/>
          <w:lang w:val="es-ES"/>
        </w:rPr>
        <w:t>(que se presenta con fines informativos, junto con la etapa I del plan de reducción de los HFC)</w:t>
      </w:r>
    </w:p>
    <w:p w14:paraId="6CD384A7" w14:textId="77777777" w:rsidR="006F0BB0" w:rsidRPr="006F0BB0" w:rsidRDefault="006F0BB0" w:rsidP="006F0BB0">
      <w:pPr>
        <w:rPr>
          <w:lang w:val="es-ES"/>
        </w:rPr>
      </w:pPr>
    </w:p>
    <w:p w14:paraId="0994DDF4" w14:textId="77777777" w:rsidR="006F0BB0" w:rsidRPr="006F0BB0" w:rsidRDefault="006F0BB0" w:rsidP="006F0BB0">
      <w:pPr>
        <w:rPr>
          <w:b/>
          <w:lang w:val="es-ES"/>
        </w:rPr>
      </w:pPr>
      <w:r w:rsidRPr="006F0BB0">
        <w:rPr>
          <w:b/>
          <w:lang w:val="es-ES"/>
        </w:rPr>
        <w:t>Compromiso de los gobiernos</w:t>
      </w:r>
    </w:p>
    <w:p w14:paraId="2F1380AE" w14:textId="77777777" w:rsidR="006F0BB0" w:rsidRPr="006F0BB0" w:rsidRDefault="006F0BB0" w:rsidP="006F0BB0">
      <w:pPr>
        <w:rPr>
          <w:b/>
          <w:lang w:val="es-ES"/>
        </w:rPr>
      </w:pPr>
    </w:p>
    <w:p w14:paraId="1A3C5F0A" w14:textId="77777777" w:rsidR="006F0BB0" w:rsidRPr="006F0BB0" w:rsidRDefault="006F0BB0" w:rsidP="006F0BB0">
      <w:pPr>
        <w:rPr>
          <w:lang w:val="es-ES"/>
        </w:rPr>
      </w:pPr>
      <w:r w:rsidRPr="006F0BB0">
        <w:rPr>
          <w:lang w:val="es-ES"/>
        </w:rPr>
        <w:t>En esta sección figura la declaración de compromiso del Gobierno de armonizar en todo lo posible la eliminación de los HCFC y la reducción del consumo de HFC durante el período que media entre 2021 y 2030 (2032). Se incluye también una descripción general del enfoque, los sectores señalados como prioritarios y las medidas y actividades específicas propuestas para controlar los aumentos del consumo de HFC, incluso los resultantes de la ejecución de los planes de gestión de eliminación de los HCFC.</w:t>
      </w:r>
    </w:p>
    <w:p w14:paraId="1916D595" w14:textId="77777777" w:rsidR="006F0BB0" w:rsidRPr="006F0BB0" w:rsidRDefault="006F0BB0" w:rsidP="006F0BB0">
      <w:pPr>
        <w:rPr>
          <w:lang w:val="es-ES"/>
        </w:rPr>
      </w:pPr>
    </w:p>
    <w:p w14:paraId="1C0C6B88" w14:textId="77777777" w:rsidR="006F0BB0" w:rsidRPr="006F0BB0" w:rsidRDefault="006F0BB0" w:rsidP="006F0BB0">
      <w:pPr>
        <w:rPr>
          <w:b/>
          <w:lang w:val="es-ES"/>
        </w:rPr>
      </w:pPr>
      <w:r w:rsidRPr="006F0BB0">
        <w:rPr>
          <w:b/>
          <w:lang w:val="es-ES"/>
        </w:rPr>
        <w:t>Actividades integradas</w:t>
      </w:r>
    </w:p>
    <w:p w14:paraId="2385EEF0" w14:textId="77777777" w:rsidR="006F0BB0" w:rsidRPr="006F0BB0" w:rsidRDefault="006F0BB0" w:rsidP="006F0BB0">
      <w:pPr>
        <w:rPr>
          <w:lang w:val="es-ES"/>
        </w:rPr>
      </w:pPr>
    </w:p>
    <w:p w14:paraId="642C3F4F" w14:textId="77777777" w:rsidR="006F0BB0" w:rsidRPr="006F0BB0" w:rsidRDefault="006F0BB0" w:rsidP="006F0BB0">
      <w:pPr>
        <w:rPr>
          <w:lang w:val="es-ES"/>
        </w:rPr>
      </w:pPr>
      <w:r w:rsidRPr="006F0BB0">
        <w:rPr>
          <w:lang w:val="es-ES"/>
        </w:rPr>
        <w:t>En esta sección se indican los sectores o las aplicaciones en que será posible la ejecución integrada de la eliminación de los HCFC y la reducción de los HFC. En el caso del sector de servicio y mantenimiento de equipos de refrigeración, se incluye una descripción general del plan para combinar las actividades propuestas con las que ya se realizan con arreglo al plan de gestión de eliminación de los HCFC y el plan de reducción de los HFC propuesto.</w:t>
      </w:r>
    </w:p>
    <w:p w14:paraId="1085968A" w14:textId="77777777" w:rsidR="006F0BB0" w:rsidRPr="006F0BB0" w:rsidRDefault="006F0BB0" w:rsidP="006F0BB0">
      <w:pPr>
        <w:rPr>
          <w:lang w:val="es-ES"/>
        </w:rPr>
      </w:pPr>
    </w:p>
    <w:p w14:paraId="6FECE1A1" w14:textId="77777777" w:rsidR="006F0BB0" w:rsidRPr="006F0BB0" w:rsidRDefault="006F0BB0" w:rsidP="006F0BB0">
      <w:pPr>
        <w:rPr>
          <w:b/>
          <w:lang w:val="es-ES"/>
        </w:rPr>
      </w:pPr>
      <w:r w:rsidRPr="006F0BB0">
        <w:rPr>
          <w:b/>
          <w:lang w:val="es-ES"/>
        </w:rPr>
        <w:t xml:space="preserve">Actividades paralelas </w:t>
      </w:r>
    </w:p>
    <w:p w14:paraId="6D98D1D9" w14:textId="77777777" w:rsidR="006F0BB0" w:rsidRPr="006F0BB0" w:rsidRDefault="006F0BB0" w:rsidP="006F0BB0">
      <w:pPr>
        <w:rPr>
          <w:lang w:val="es-ES"/>
        </w:rPr>
      </w:pPr>
    </w:p>
    <w:p w14:paraId="1AB7757C" w14:textId="77777777" w:rsidR="006F0BB0" w:rsidRPr="006F0BB0" w:rsidRDefault="006F0BB0" w:rsidP="006F0BB0">
      <w:pPr>
        <w:rPr>
          <w:lang w:val="es-ES"/>
        </w:rPr>
      </w:pPr>
      <w:r w:rsidRPr="006F0BB0">
        <w:rPr>
          <w:lang w:val="es-ES"/>
        </w:rPr>
        <w:t>En esta sección se señalan los sectores en que la reducción de los HFC no podría integrarse con la eliminación de los HCFC que ya está en marcha y, por consiguiente, habrá que ejecutar por separado, ya sea en paralelo con la eliminación de los HCFC ya iniciada o acto seguido después de que se hayan eliminado los HCFC.</w:t>
      </w:r>
    </w:p>
    <w:p w14:paraId="0B22CF12" w14:textId="77777777" w:rsidR="006F0BB0" w:rsidRPr="006F0BB0" w:rsidRDefault="006F0BB0" w:rsidP="006F0BB0">
      <w:pPr>
        <w:pStyle w:val="StyleHeader4Para4Left0Firstline0"/>
        <w:numPr>
          <w:ilvl w:val="0"/>
          <w:numId w:val="0"/>
        </w:numPr>
        <w:spacing w:after="0"/>
        <w:jc w:val="left"/>
        <w:rPr>
          <w:sz w:val="22"/>
          <w:lang w:val="es-ES"/>
        </w:rPr>
      </w:pPr>
    </w:p>
    <w:p w14:paraId="516EA1C8" w14:textId="77777777" w:rsidR="006F0BB0" w:rsidRPr="006F0BB0" w:rsidRDefault="006F0BB0" w:rsidP="006F0BB0">
      <w:pPr>
        <w:rPr>
          <w:b/>
          <w:lang w:val="es-ES"/>
        </w:rPr>
      </w:pPr>
      <w:r w:rsidRPr="006F0BB0">
        <w:rPr>
          <w:b/>
          <w:lang w:val="es-ES"/>
        </w:rPr>
        <w:t>Cronograma del consumo máximo admisible de HCFC y HFC propuesto hasta 2030</w:t>
      </w:r>
    </w:p>
    <w:p w14:paraId="1C4150FF" w14:textId="77777777" w:rsidR="006F0BB0" w:rsidRPr="006F0BB0" w:rsidRDefault="006F0BB0" w:rsidP="006F0BB0">
      <w:pPr>
        <w:rPr>
          <w:lang w:val="es-ES"/>
        </w:rPr>
      </w:pPr>
    </w:p>
    <w:p w14:paraId="10CD0A3A" w14:textId="77777777" w:rsidR="006F0BB0" w:rsidRPr="006F0BB0" w:rsidRDefault="006F0BB0" w:rsidP="006F0BB0">
      <w:pPr>
        <w:rPr>
          <w:lang w:val="es-ES"/>
        </w:rPr>
      </w:pPr>
      <w:r w:rsidRPr="006F0BB0">
        <w:rPr>
          <w:lang w:val="es-ES"/>
        </w:rPr>
        <w:t xml:space="preserve">Los plazos de consume se pueden presentar en la forma de cuadro usando como referencia la parte del cuadro que muestra el consumo máximo admisible usado en el apéndice 2-A de los acuerdos de los planes de gestión de eliminación de los HCFC, como se presentan en el cuadro 1. El cronograma de eliminación de los HCFC se presentaría de la misma manera en los renglones 1.1 y 1.2 del apéndice 2-A del acuerdo del PGEH ya existente (en toneladas PAO). En la última etapa del PGEH que todavía no ha sido aprobada por el Comité Ejecutivo, se debería incluir un cronograma como se propondrá entonces. </w:t>
      </w:r>
    </w:p>
    <w:p w14:paraId="250E0067" w14:textId="77777777" w:rsidR="006F0BB0" w:rsidRPr="006F0BB0" w:rsidRDefault="006F0BB0" w:rsidP="006F0BB0">
      <w:pPr>
        <w:rPr>
          <w:lang w:val="es-ES"/>
        </w:rPr>
      </w:pPr>
    </w:p>
    <w:p w14:paraId="25324523" w14:textId="77777777" w:rsidR="006F0BB0" w:rsidRPr="006F0BB0" w:rsidRDefault="006F0BB0" w:rsidP="006F0BB0">
      <w:pPr>
        <w:rPr>
          <w:lang w:val="es-ES"/>
        </w:rPr>
      </w:pPr>
      <w:r w:rsidRPr="006F0BB0">
        <w:rPr>
          <w:lang w:val="es-ES"/>
        </w:rPr>
        <w:t>El consumo máximo admisible de HFC propuesto hasta 2030 (2032 para los países del grupo 2) se puede presentar en el mismo formato usado en los renglones 1.1 y 1.2 del apéndice 2-A del acuerdo del PGEH, pero en toneladas equivalentes de CO</w:t>
      </w:r>
      <w:r w:rsidRPr="006F0BB0">
        <w:rPr>
          <w:vertAlign w:val="subscript"/>
          <w:lang w:val="es-ES"/>
        </w:rPr>
        <w:t>2</w:t>
      </w:r>
      <w:r w:rsidRPr="006F0BB0">
        <w:rPr>
          <w:lang w:val="es-ES"/>
        </w:rPr>
        <w:t>, como figura en el cuadro 1.</w:t>
      </w:r>
    </w:p>
    <w:p w14:paraId="149321C4" w14:textId="77777777" w:rsidR="006F0BB0" w:rsidRPr="006F0BB0" w:rsidRDefault="006F0BB0" w:rsidP="006F0BB0">
      <w:pPr>
        <w:rPr>
          <w:lang w:val="es-ES"/>
        </w:rPr>
      </w:pPr>
    </w:p>
    <w:p w14:paraId="6B830BB5" w14:textId="77777777" w:rsidR="006F0BB0" w:rsidRPr="006F0BB0" w:rsidRDefault="006F0BB0" w:rsidP="006F0BB0">
      <w:pPr>
        <w:jc w:val="left"/>
        <w:rPr>
          <w:b/>
          <w:lang w:val="es-ES"/>
        </w:rPr>
      </w:pPr>
      <w:r w:rsidRPr="006F0BB0">
        <w:rPr>
          <w:b/>
          <w:lang w:val="es-ES"/>
        </w:rPr>
        <w:br w:type="page"/>
      </w:r>
    </w:p>
    <w:p w14:paraId="1D64FEBD" w14:textId="77777777" w:rsidR="006F0BB0" w:rsidRPr="006F0BB0" w:rsidRDefault="006F0BB0" w:rsidP="006F0BB0">
      <w:pPr>
        <w:rPr>
          <w:b/>
          <w:lang w:val="es-ES"/>
        </w:rPr>
      </w:pPr>
      <w:r w:rsidRPr="006F0BB0">
        <w:rPr>
          <w:b/>
          <w:lang w:val="es-ES"/>
        </w:rPr>
        <w:lastRenderedPageBreak/>
        <w:t>Cuadro 1: Cronogramas de eliminación de los HCFC y reducción del consumo de HFC hasta 2030 (2032)</w:t>
      </w:r>
    </w:p>
    <w:tbl>
      <w:tblPr>
        <w:tblW w:w="9360" w:type="dxa"/>
        <w:tblLayout w:type="fixed"/>
        <w:tblLook w:val="04A0" w:firstRow="1" w:lastRow="0" w:firstColumn="1" w:lastColumn="0" w:noHBand="0" w:noVBand="1"/>
      </w:tblPr>
      <w:tblGrid>
        <w:gridCol w:w="4615"/>
        <w:gridCol w:w="807"/>
        <w:gridCol w:w="717"/>
        <w:gridCol w:w="734"/>
        <w:gridCol w:w="623"/>
        <w:gridCol w:w="623"/>
        <w:gridCol w:w="623"/>
        <w:gridCol w:w="618"/>
      </w:tblGrid>
      <w:tr w:rsidR="006F0BB0" w:rsidRPr="006F0BB0" w14:paraId="25186199" w14:textId="77777777" w:rsidTr="007D1DBA">
        <w:trPr>
          <w:tblHeader/>
        </w:trPr>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468D665C" w14:textId="77777777" w:rsidR="006F0BB0" w:rsidRPr="006F0BB0" w:rsidRDefault="006F0BB0" w:rsidP="007D1DBA">
            <w:pPr>
              <w:keepNext/>
              <w:keepLines/>
              <w:jc w:val="center"/>
              <w:rPr>
                <w:b/>
                <w:bCs/>
                <w:color w:val="000000"/>
                <w:sz w:val="20"/>
                <w:szCs w:val="20"/>
                <w:lang w:eastAsia="en-CA"/>
              </w:rPr>
            </w:pPr>
            <w:proofErr w:type="spellStart"/>
            <w:r w:rsidRPr="006F0BB0">
              <w:rPr>
                <w:b/>
                <w:bCs/>
                <w:color w:val="000000"/>
                <w:sz w:val="20"/>
                <w:szCs w:val="20"/>
                <w:lang w:eastAsia="en-CA"/>
              </w:rPr>
              <w:t>Detalles</w:t>
            </w:r>
            <w:proofErr w:type="spellEnd"/>
          </w:p>
        </w:tc>
        <w:tc>
          <w:tcPr>
            <w:tcW w:w="431" w:type="pct"/>
            <w:tcBorders>
              <w:top w:val="single" w:sz="4" w:space="0" w:color="auto"/>
              <w:left w:val="nil"/>
              <w:bottom w:val="single" w:sz="4" w:space="0" w:color="auto"/>
              <w:right w:val="single" w:sz="4" w:space="0" w:color="auto"/>
            </w:tcBorders>
            <w:shd w:val="clear" w:color="auto" w:fill="auto"/>
            <w:hideMark/>
          </w:tcPr>
          <w:p w14:paraId="399CBF20"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2024</w:t>
            </w:r>
          </w:p>
        </w:tc>
        <w:tc>
          <w:tcPr>
            <w:tcW w:w="383" w:type="pct"/>
            <w:tcBorders>
              <w:top w:val="single" w:sz="4" w:space="0" w:color="auto"/>
              <w:left w:val="nil"/>
              <w:bottom w:val="single" w:sz="4" w:space="0" w:color="auto"/>
              <w:right w:val="single" w:sz="4" w:space="0" w:color="auto"/>
            </w:tcBorders>
          </w:tcPr>
          <w:p w14:paraId="4D5CF116"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2025</w:t>
            </w:r>
          </w:p>
        </w:tc>
        <w:tc>
          <w:tcPr>
            <w:tcW w:w="392" w:type="pct"/>
            <w:tcBorders>
              <w:top w:val="single" w:sz="4" w:space="0" w:color="auto"/>
              <w:left w:val="single" w:sz="4" w:space="0" w:color="auto"/>
              <w:bottom w:val="single" w:sz="4" w:space="0" w:color="auto"/>
              <w:right w:val="single" w:sz="4" w:space="0" w:color="auto"/>
            </w:tcBorders>
          </w:tcPr>
          <w:p w14:paraId="0199B742"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2026</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0117FF6D"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2027</w:t>
            </w:r>
          </w:p>
        </w:tc>
        <w:tc>
          <w:tcPr>
            <w:tcW w:w="333" w:type="pct"/>
            <w:tcBorders>
              <w:top w:val="single" w:sz="4" w:space="0" w:color="auto"/>
              <w:left w:val="nil"/>
              <w:bottom w:val="single" w:sz="4" w:space="0" w:color="auto"/>
              <w:right w:val="single" w:sz="4" w:space="0" w:color="auto"/>
            </w:tcBorders>
            <w:shd w:val="clear" w:color="auto" w:fill="auto"/>
            <w:hideMark/>
          </w:tcPr>
          <w:p w14:paraId="10AE9EAA"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2028</w:t>
            </w:r>
          </w:p>
        </w:tc>
        <w:tc>
          <w:tcPr>
            <w:tcW w:w="333" w:type="pct"/>
            <w:tcBorders>
              <w:top w:val="single" w:sz="4" w:space="0" w:color="auto"/>
              <w:left w:val="nil"/>
              <w:bottom w:val="single" w:sz="4" w:space="0" w:color="auto"/>
              <w:right w:val="single" w:sz="4" w:space="0" w:color="auto"/>
            </w:tcBorders>
            <w:shd w:val="clear" w:color="auto" w:fill="auto"/>
            <w:hideMark/>
          </w:tcPr>
          <w:p w14:paraId="1609A93A"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2029</w:t>
            </w:r>
          </w:p>
        </w:tc>
        <w:tc>
          <w:tcPr>
            <w:tcW w:w="331" w:type="pct"/>
            <w:tcBorders>
              <w:top w:val="single" w:sz="4" w:space="0" w:color="auto"/>
              <w:left w:val="nil"/>
              <w:bottom w:val="single" w:sz="4" w:space="0" w:color="auto"/>
              <w:right w:val="single" w:sz="4" w:space="0" w:color="auto"/>
            </w:tcBorders>
            <w:shd w:val="clear" w:color="auto" w:fill="auto"/>
            <w:hideMark/>
          </w:tcPr>
          <w:p w14:paraId="0BADC983"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2030</w:t>
            </w:r>
          </w:p>
        </w:tc>
      </w:tr>
      <w:tr w:rsidR="006F0BB0" w:rsidRPr="00482916" w14:paraId="42C5633C" w14:textId="77777777" w:rsidTr="007D1DBA">
        <w:trPr>
          <w:tblHeader/>
        </w:trPr>
        <w:tc>
          <w:tcPr>
            <w:tcW w:w="5000" w:type="pct"/>
            <w:gridSpan w:val="8"/>
            <w:tcBorders>
              <w:top w:val="single" w:sz="4" w:space="0" w:color="auto"/>
              <w:left w:val="single" w:sz="4" w:space="0" w:color="auto"/>
              <w:bottom w:val="single" w:sz="4" w:space="0" w:color="auto"/>
              <w:right w:val="single" w:sz="4" w:space="0" w:color="auto"/>
            </w:tcBorders>
          </w:tcPr>
          <w:p w14:paraId="3364F2DA" w14:textId="77777777" w:rsidR="006F0BB0" w:rsidRPr="006F0BB0" w:rsidRDefault="006F0BB0" w:rsidP="007D1DBA">
            <w:pPr>
              <w:keepNext/>
              <w:keepLines/>
              <w:jc w:val="center"/>
              <w:rPr>
                <w:b/>
                <w:bCs/>
                <w:color w:val="000000"/>
                <w:sz w:val="20"/>
                <w:szCs w:val="20"/>
                <w:lang w:val="es-ES" w:eastAsia="en-CA"/>
              </w:rPr>
            </w:pPr>
            <w:r w:rsidRPr="006F0BB0">
              <w:rPr>
                <w:b/>
                <w:bCs/>
                <w:color w:val="000000"/>
                <w:sz w:val="20"/>
                <w:szCs w:val="20"/>
                <w:lang w:val="es-ES" w:eastAsia="en-CA"/>
              </w:rPr>
              <w:t xml:space="preserve">Cronograma de eliminación de los HCFC </w:t>
            </w:r>
          </w:p>
        </w:tc>
      </w:tr>
      <w:tr w:rsidR="006F0BB0" w:rsidRPr="00482916" w14:paraId="28AFBDEF" w14:textId="77777777" w:rsidTr="007D1DBA">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CC250" w14:textId="77777777" w:rsidR="006F0BB0" w:rsidRPr="006F0BB0" w:rsidRDefault="006F0BB0" w:rsidP="007D1DBA">
            <w:pPr>
              <w:keepNext/>
              <w:keepLines/>
              <w:jc w:val="left"/>
              <w:rPr>
                <w:color w:val="000000"/>
                <w:sz w:val="20"/>
                <w:szCs w:val="20"/>
                <w:lang w:val="es-ES" w:eastAsia="en-CA"/>
              </w:rPr>
            </w:pPr>
            <w:r w:rsidRPr="006F0BB0">
              <w:rPr>
                <w:color w:val="000000"/>
                <w:sz w:val="20"/>
                <w:szCs w:val="20"/>
                <w:lang w:val="es-ES" w:eastAsia="en-CA"/>
              </w:rPr>
              <w:t>Cronograma de reducción de las sustancias del grupo I del anexo C del Protocolo de Montreal (toneladas PAO)</w:t>
            </w:r>
          </w:p>
        </w:tc>
        <w:tc>
          <w:tcPr>
            <w:tcW w:w="431" w:type="pct"/>
            <w:tcBorders>
              <w:top w:val="nil"/>
              <w:left w:val="nil"/>
              <w:bottom w:val="single" w:sz="4" w:space="0" w:color="auto"/>
              <w:right w:val="single" w:sz="4" w:space="0" w:color="auto"/>
            </w:tcBorders>
            <w:shd w:val="clear" w:color="auto" w:fill="FFFFFF" w:themeFill="background1"/>
          </w:tcPr>
          <w:p w14:paraId="32373A33" w14:textId="77777777" w:rsidR="006F0BB0" w:rsidRPr="006F0BB0" w:rsidRDefault="006F0BB0" w:rsidP="007D1DBA">
            <w:pPr>
              <w:keepNext/>
              <w:keepLines/>
              <w:jc w:val="right"/>
              <w:rPr>
                <w:color w:val="000000"/>
                <w:sz w:val="20"/>
                <w:szCs w:val="20"/>
                <w:lang w:val="es-ES" w:eastAsia="en-CA"/>
              </w:rPr>
            </w:pPr>
          </w:p>
        </w:tc>
        <w:tc>
          <w:tcPr>
            <w:tcW w:w="383" w:type="pct"/>
            <w:tcBorders>
              <w:top w:val="single" w:sz="4" w:space="0" w:color="auto"/>
              <w:left w:val="nil"/>
              <w:bottom w:val="single" w:sz="4" w:space="0" w:color="auto"/>
              <w:right w:val="single" w:sz="4" w:space="0" w:color="auto"/>
            </w:tcBorders>
            <w:shd w:val="clear" w:color="auto" w:fill="FFFFFF" w:themeFill="background1"/>
          </w:tcPr>
          <w:p w14:paraId="0BC086C7" w14:textId="77777777" w:rsidR="006F0BB0" w:rsidRPr="006F0BB0" w:rsidRDefault="006F0BB0" w:rsidP="007D1DBA">
            <w:pPr>
              <w:keepNext/>
              <w:keepLines/>
              <w:jc w:val="right"/>
              <w:rPr>
                <w:color w:val="000000"/>
                <w:sz w:val="20"/>
                <w:szCs w:val="20"/>
                <w:lang w:val="es-ES" w:eastAsia="en-CA"/>
              </w:rPr>
            </w:pP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73FF485F" w14:textId="77777777" w:rsidR="006F0BB0" w:rsidRPr="006F0BB0" w:rsidRDefault="006F0BB0" w:rsidP="007D1DBA">
            <w:pPr>
              <w:keepNext/>
              <w:keepLines/>
              <w:jc w:val="right"/>
              <w:rPr>
                <w:color w:val="000000"/>
                <w:sz w:val="20"/>
                <w:szCs w:val="20"/>
                <w:lang w:val="es-ES" w:eastAsia="en-CA"/>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14:paraId="23885AAD" w14:textId="77777777" w:rsidR="006F0BB0" w:rsidRPr="006F0BB0" w:rsidRDefault="006F0BB0" w:rsidP="007D1DBA">
            <w:pPr>
              <w:keepNext/>
              <w:keepLines/>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410B638F" w14:textId="77777777" w:rsidR="006F0BB0" w:rsidRPr="006F0BB0" w:rsidRDefault="006F0BB0" w:rsidP="007D1DBA">
            <w:pPr>
              <w:keepNext/>
              <w:keepLines/>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6CF72E14" w14:textId="77777777" w:rsidR="006F0BB0" w:rsidRPr="006F0BB0" w:rsidRDefault="006F0BB0" w:rsidP="007D1DBA">
            <w:pPr>
              <w:keepNext/>
              <w:keepLines/>
              <w:jc w:val="right"/>
              <w:rPr>
                <w:color w:val="000000"/>
                <w:sz w:val="20"/>
                <w:szCs w:val="20"/>
                <w:lang w:val="es-ES" w:eastAsia="en-CA"/>
              </w:rPr>
            </w:pPr>
          </w:p>
        </w:tc>
        <w:tc>
          <w:tcPr>
            <w:tcW w:w="331" w:type="pct"/>
            <w:tcBorders>
              <w:top w:val="nil"/>
              <w:left w:val="nil"/>
              <w:bottom w:val="single" w:sz="4" w:space="0" w:color="auto"/>
              <w:right w:val="single" w:sz="4" w:space="0" w:color="auto"/>
            </w:tcBorders>
            <w:shd w:val="clear" w:color="auto" w:fill="FFFFFF" w:themeFill="background1"/>
          </w:tcPr>
          <w:p w14:paraId="61AF99E5" w14:textId="77777777" w:rsidR="006F0BB0" w:rsidRPr="006F0BB0" w:rsidRDefault="006F0BB0" w:rsidP="007D1DBA">
            <w:pPr>
              <w:keepNext/>
              <w:keepLines/>
              <w:jc w:val="right"/>
              <w:rPr>
                <w:color w:val="000000"/>
                <w:sz w:val="20"/>
                <w:szCs w:val="20"/>
                <w:lang w:val="es-ES" w:eastAsia="en-CA"/>
              </w:rPr>
            </w:pPr>
          </w:p>
        </w:tc>
      </w:tr>
      <w:tr w:rsidR="006F0BB0" w:rsidRPr="00482916" w14:paraId="03563B6E" w14:textId="77777777" w:rsidTr="007D1DBA">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64832" w14:textId="77777777" w:rsidR="006F0BB0" w:rsidRPr="006F0BB0" w:rsidRDefault="006F0BB0" w:rsidP="007D1DBA">
            <w:pPr>
              <w:jc w:val="left"/>
              <w:rPr>
                <w:color w:val="000000"/>
                <w:sz w:val="20"/>
                <w:szCs w:val="20"/>
                <w:lang w:val="es-ES" w:eastAsia="en-CA"/>
              </w:rPr>
            </w:pPr>
            <w:r w:rsidRPr="006F0BB0">
              <w:rPr>
                <w:color w:val="000000"/>
                <w:sz w:val="20"/>
                <w:szCs w:val="20"/>
                <w:lang w:val="es-ES" w:eastAsia="en-CA"/>
              </w:rPr>
              <w:t>Consumo total máximo admisible de sustancias del grupo I del anexo C (toneladas PAO)</w:t>
            </w:r>
          </w:p>
        </w:tc>
        <w:tc>
          <w:tcPr>
            <w:tcW w:w="431" w:type="pct"/>
            <w:tcBorders>
              <w:top w:val="nil"/>
              <w:left w:val="nil"/>
              <w:bottom w:val="single" w:sz="4" w:space="0" w:color="auto"/>
              <w:right w:val="single" w:sz="4" w:space="0" w:color="auto"/>
            </w:tcBorders>
            <w:shd w:val="clear" w:color="auto" w:fill="FFFFFF" w:themeFill="background1"/>
          </w:tcPr>
          <w:p w14:paraId="66DCA637" w14:textId="77777777" w:rsidR="006F0BB0" w:rsidRPr="006F0BB0" w:rsidRDefault="006F0BB0" w:rsidP="007D1DBA">
            <w:pPr>
              <w:jc w:val="right"/>
              <w:rPr>
                <w:color w:val="000000"/>
                <w:sz w:val="20"/>
                <w:szCs w:val="20"/>
                <w:lang w:val="es-ES" w:eastAsia="en-CA"/>
              </w:rPr>
            </w:pPr>
          </w:p>
        </w:tc>
        <w:tc>
          <w:tcPr>
            <w:tcW w:w="383" w:type="pct"/>
            <w:tcBorders>
              <w:top w:val="single" w:sz="4" w:space="0" w:color="auto"/>
              <w:left w:val="nil"/>
              <w:bottom w:val="single" w:sz="4" w:space="0" w:color="auto"/>
              <w:right w:val="single" w:sz="4" w:space="0" w:color="auto"/>
            </w:tcBorders>
            <w:shd w:val="clear" w:color="auto" w:fill="FFFFFF" w:themeFill="background1"/>
          </w:tcPr>
          <w:p w14:paraId="39E17628" w14:textId="77777777" w:rsidR="006F0BB0" w:rsidRPr="006F0BB0" w:rsidRDefault="006F0BB0" w:rsidP="007D1DBA">
            <w:pPr>
              <w:jc w:val="right"/>
              <w:rPr>
                <w:color w:val="000000"/>
                <w:sz w:val="20"/>
                <w:szCs w:val="20"/>
                <w:lang w:val="es-ES" w:eastAsia="en-CA"/>
              </w:rPr>
            </w:pP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197E9EC5" w14:textId="77777777" w:rsidR="006F0BB0" w:rsidRPr="006F0BB0" w:rsidRDefault="006F0BB0" w:rsidP="007D1DBA">
            <w:pPr>
              <w:jc w:val="right"/>
              <w:rPr>
                <w:color w:val="000000"/>
                <w:sz w:val="20"/>
                <w:szCs w:val="20"/>
                <w:lang w:val="es-ES" w:eastAsia="en-CA"/>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14:paraId="299DB4EC" w14:textId="77777777" w:rsidR="006F0BB0" w:rsidRPr="006F0BB0" w:rsidRDefault="006F0BB0" w:rsidP="007D1DBA">
            <w:pPr>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223294E8" w14:textId="77777777" w:rsidR="006F0BB0" w:rsidRPr="006F0BB0" w:rsidRDefault="006F0BB0" w:rsidP="007D1DBA">
            <w:pPr>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09875396" w14:textId="77777777" w:rsidR="006F0BB0" w:rsidRPr="006F0BB0" w:rsidRDefault="006F0BB0" w:rsidP="007D1DBA">
            <w:pPr>
              <w:jc w:val="right"/>
              <w:rPr>
                <w:color w:val="000000"/>
                <w:sz w:val="20"/>
                <w:szCs w:val="20"/>
                <w:lang w:val="es-ES" w:eastAsia="en-CA"/>
              </w:rPr>
            </w:pPr>
          </w:p>
        </w:tc>
        <w:tc>
          <w:tcPr>
            <w:tcW w:w="331" w:type="pct"/>
            <w:tcBorders>
              <w:top w:val="nil"/>
              <w:left w:val="nil"/>
              <w:bottom w:val="single" w:sz="4" w:space="0" w:color="auto"/>
              <w:right w:val="single" w:sz="4" w:space="0" w:color="auto"/>
            </w:tcBorders>
            <w:shd w:val="clear" w:color="auto" w:fill="FFFFFF" w:themeFill="background1"/>
          </w:tcPr>
          <w:p w14:paraId="279E6A06" w14:textId="77777777" w:rsidR="006F0BB0" w:rsidRPr="006F0BB0" w:rsidRDefault="006F0BB0" w:rsidP="007D1DBA">
            <w:pPr>
              <w:jc w:val="right"/>
              <w:rPr>
                <w:color w:val="000000"/>
                <w:sz w:val="20"/>
                <w:szCs w:val="20"/>
                <w:lang w:val="es-ES" w:eastAsia="en-CA"/>
              </w:rPr>
            </w:pPr>
          </w:p>
        </w:tc>
      </w:tr>
      <w:tr w:rsidR="006F0BB0" w:rsidRPr="00482916" w14:paraId="15D2AD6D" w14:textId="77777777" w:rsidTr="007D1DBA">
        <w:tc>
          <w:tcPr>
            <w:tcW w:w="5000" w:type="pct"/>
            <w:gridSpan w:val="8"/>
            <w:tcBorders>
              <w:top w:val="single" w:sz="4" w:space="0" w:color="auto"/>
              <w:left w:val="single" w:sz="4" w:space="0" w:color="auto"/>
              <w:bottom w:val="single" w:sz="4" w:space="0" w:color="auto"/>
              <w:right w:val="single" w:sz="4" w:space="0" w:color="auto"/>
            </w:tcBorders>
          </w:tcPr>
          <w:p w14:paraId="1E3296DF" w14:textId="77777777" w:rsidR="006F0BB0" w:rsidRPr="006F0BB0" w:rsidRDefault="006F0BB0" w:rsidP="007D1DBA">
            <w:pPr>
              <w:jc w:val="center"/>
              <w:rPr>
                <w:b/>
                <w:color w:val="000000"/>
                <w:sz w:val="20"/>
                <w:szCs w:val="20"/>
                <w:lang w:val="es-ES" w:eastAsia="en-CA"/>
              </w:rPr>
            </w:pPr>
            <w:r w:rsidRPr="006F0BB0">
              <w:rPr>
                <w:b/>
                <w:color w:val="000000"/>
                <w:sz w:val="20"/>
                <w:szCs w:val="20"/>
                <w:lang w:val="es-ES" w:eastAsia="en-CA"/>
              </w:rPr>
              <w:t xml:space="preserve">Cronograma de reducción de los HFC </w:t>
            </w:r>
          </w:p>
        </w:tc>
      </w:tr>
      <w:tr w:rsidR="006F0BB0" w:rsidRPr="00482916" w14:paraId="69EACAE6" w14:textId="77777777" w:rsidTr="007D1DBA">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14:paraId="4E53DBDB" w14:textId="77777777" w:rsidR="006F0BB0" w:rsidRPr="006F0BB0" w:rsidRDefault="006F0BB0" w:rsidP="007D1DBA">
            <w:pPr>
              <w:keepNext/>
              <w:keepLines/>
              <w:jc w:val="left"/>
              <w:rPr>
                <w:color w:val="000000"/>
                <w:sz w:val="20"/>
                <w:szCs w:val="20"/>
                <w:lang w:val="es-ES" w:eastAsia="en-CA"/>
              </w:rPr>
            </w:pPr>
            <w:r w:rsidRPr="006F0BB0">
              <w:rPr>
                <w:color w:val="000000"/>
                <w:sz w:val="20"/>
                <w:szCs w:val="20"/>
                <w:lang w:val="es-ES" w:eastAsia="en-CA"/>
              </w:rPr>
              <w:t xml:space="preserve">Cronograma de reducción de sustancias del grupo I del anexo F del Protocolo de Montreal (t </w:t>
            </w:r>
            <w:proofErr w:type="spellStart"/>
            <w:r w:rsidRPr="006F0BB0">
              <w:rPr>
                <w:color w:val="000000"/>
                <w:sz w:val="20"/>
                <w:szCs w:val="20"/>
                <w:lang w:val="es-ES" w:eastAsia="en-CA"/>
              </w:rPr>
              <w:t>eq</w:t>
            </w:r>
            <w:proofErr w:type="spellEnd"/>
            <w:r w:rsidRPr="006F0BB0">
              <w:rPr>
                <w:color w:val="000000"/>
                <w:sz w:val="20"/>
                <w:szCs w:val="20"/>
                <w:lang w:val="es-ES" w:eastAsia="en-CA"/>
              </w:rPr>
              <w:t>. de CO</w:t>
            </w:r>
            <w:r w:rsidRPr="006F0BB0">
              <w:rPr>
                <w:color w:val="000000"/>
                <w:sz w:val="20"/>
                <w:szCs w:val="20"/>
                <w:vertAlign w:val="subscript"/>
                <w:lang w:val="es-ES" w:eastAsia="en-CA"/>
              </w:rPr>
              <w:t>2</w:t>
            </w:r>
            <w:r w:rsidRPr="006F0BB0">
              <w:rPr>
                <w:color w:val="000000"/>
                <w:sz w:val="20"/>
                <w:szCs w:val="20"/>
                <w:lang w:val="es-ES" w:eastAsia="en-CA"/>
              </w:rPr>
              <w:t>)</w:t>
            </w:r>
          </w:p>
        </w:tc>
        <w:tc>
          <w:tcPr>
            <w:tcW w:w="431" w:type="pct"/>
            <w:tcBorders>
              <w:top w:val="nil"/>
              <w:left w:val="nil"/>
              <w:bottom w:val="single" w:sz="4" w:space="0" w:color="auto"/>
              <w:right w:val="single" w:sz="4" w:space="0" w:color="auto"/>
            </w:tcBorders>
            <w:shd w:val="clear" w:color="auto" w:fill="FFFFFF" w:themeFill="background1"/>
          </w:tcPr>
          <w:p w14:paraId="02262F50" w14:textId="77777777" w:rsidR="006F0BB0" w:rsidRPr="006F0BB0" w:rsidRDefault="006F0BB0" w:rsidP="007D1DBA">
            <w:pPr>
              <w:jc w:val="right"/>
              <w:rPr>
                <w:color w:val="000000"/>
                <w:sz w:val="20"/>
                <w:szCs w:val="20"/>
                <w:lang w:val="es-ES" w:eastAsia="en-CA"/>
              </w:rPr>
            </w:pPr>
          </w:p>
        </w:tc>
        <w:tc>
          <w:tcPr>
            <w:tcW w:w="383" w:type="pct"/>
            <w:tcBorders>
              <w:top w:val="single" w:sz="4" w:space="0" w:color="auto"/>
              <w:left w:val="nil"/>
              <w:bottom w:val="single" w:sz="4" w:space="0" w:color="auto"/>
              <w:right w:val="single" w:sz="4" w:space="0" w:color="auto"/>
            </w:tcBorders>
            <w:shd w:val="clear" w:color="auto" w:fill="FFFFFF" w:themeFill="background1"/>
          </w:tcPr>
          <w:p w14:paraId="0DF1BFDF" w14:textId="77777777" w:rsidR="006F0BB0" w:rsidRPr="006F0BB0" w:rsidRDefault="006F0BB0" w:rsidP="007D1DBA">
            <w:pPr>
              <w:jc w:val="right"/>
              <w:rPr>
                <w:color w:val="000000"/>
                <w:sz w:val="20"/>
                <w:szCs w:val="20"/>
                <w:lang w:val="es-ES" w:eastAsia="en-CA"/>
              </w:rPr>
            </w:pP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E5A7D26" w14:textId="77777777" w:rsidR="006F0BB0" w:rsidRPr="006F0BB0" w:rsidRDefault="006F0BB0" w:rsidP="007D1DBA">
            <w:pPr>
              <w:jc w:val="right"/>
              <w:rPr>
                <w:color w:val="000000"/>
                <w:sz w:val="20"/>
                <w:szCs w:val="20"/>
                <w:lang w:val="es-ES" w:eastAsia="en-CA"/>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7FC896" w14:textId="77777777" w:rsidR="006F0BB0" w:rsidRPr="006F0BB0" w:rsidRDefault="006F0BB0" w:rsidP="007D1DBA">
            <w:pPr>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013EFBA9" w14:textId="77777777" w:rsidR="006F0BB0" w:rsidRPr="006F0BB0" w:rsidRDefault="006F0BB0" w:rsidP="007D1DBA">
            <w:pPr>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68493BB6" w14:textId="77777777" w:rsidR="006F0BB0" w:rsidRPr="006F0BB0" w:rsidRDefault="006F0BB0" w:rsidP="007D1DBA">
            <w:pPr>
              <w:jc w:val="right"/>
              <w:rPr>
                <w:color w:val="000000"/>
                <w:sz w:val="20"/>
                <w:szCs w:val="20"/>
                <w:lang w:val="es-ES" w:eastAsia="en-CA"/>
              </w:rPr>
            </w:pPr>
          </w:p>
        </w:tc>
        <w:tc>
          <w:tcPr>
            <w:tcW w:w="331" w:type="pct"/>
            <w:tcBorders>
              <w:top w:val="nil"/>
              <w:left w:val="nil"/>
              <w:bottom w:val="single" w:sz="4" w:space="0" w:color="auto"/>
              <w:right w:val="single" w:sz="4" w:space="0" w:color="auto"/>
            </w:tcBorders>
            <w:shd w:val="clear" w:color="auto" w:fill="FFFFFF" w:themeFill="background1"/>
          </w:tcPr>
          <w:p w14:paraId="5C84B399" w14:textId="77777777" w:rsidR="006F0BB0" w:rsidRPr="006F0BB0" w:rsidRDefault="006F0BB0" w:rsidP="007D1DBA">
            <w:pPr>
              <w:jc w:val="right"/>
              <w:rPr>
                <w:color w:val="000000"/>
                <w:sz w:val="20"/>
                <w:szCs w:val="20"/>
                <w:lang w:val="es-ES" w:eastAsia="en-CA"/>
              </w:rPr>
            </w:pPr>
          </w:p>
        </w:tc>
      </w:tr>
      <w:tr w:rsidR="006F0BB0" w:rsidRPr="00482916" w14:paraId="7D563450" w14:textId="77777777" w:rsidTr="007D1DBA">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14:paraId="6F76BCFB" w14:textId="77777777" w:rsidR="006F0BB0" w:rsidRPr="006F0BB0" w:rsidRDefault="006F0BB0" w:rsidP="007D1DBA">
            <w:pPr>
              <w:jc w:val="left"/>
              <w:rPr>
                <w:color w:val="000000"/>
                <w:sz w:val="20"/>
                <w:szCs w:val="20"/>
                <w:lang w:val="es-ES" w:eastAsia="en-CA"/>
              </w:rPr>
            </w:pPr>
            <w:r w:rsidRPr="006F0BB0">
              <w:rPr>
                <w:color w:val="000000"/>
                <w:sz w:val="20"/>
                <w:szCs w:val="20"/>
                <w:lang w:val="es-ES" w:eastAsia="en-CA"/>
              </w:rPr>
              <w:t xml:space="preserve">Consumo total máximo admisible de sustancias del Grupo I del anexo (t </w:t>
            </w:r>
            <w:proofErr w:type="spellStart"/>
            <w:r w:rsidRPr="006F0BB0">
              <w:rPr>
                <w:color w:val="000000"/>
                <w:sz w:val="20"/>
                <w:szCs w:val="20"/>
                <w:lang w:val="es-ES" w:eastAsia="en-CA"/>
              </w:rPr>
              <w:t>eq</w:t>
            </w:r>
            <w:proofErr w:type="spellEnd"/>
            <w:r w:rsidRPr="006F0BB0">
              <w:rPr>
                <w:color w:val="000000"/>
                <w:sz w:val="20"/>
                <w:szCs w:val="20"/>
                <w:lang w:val="es-ES" w:eastAsia="en-CA"/>
              </w:rPr>
              <w:t>. de CO</w:t>
            </w:r>
            <w:r w:rsidRPr="006F0BB0">
              <w:rPr>
                <w:color w:val="000000"/>
                <w:sz w:val="20"/>
                <w:szCs w:val="20"/>
                <w:vertAlign w:val="subscript"/>
                <w:lang w:val="es-ES" w:eastAsia="en-CA"/>
              </w:rPr>
              <w:t>2</w:t>
            </w:r>
            <w:r w:rsidRPr="006F0BB0">
              <w:rPr>
                <w:color w:val="000000"/>
                <w:sz w:val="20"/>
                <w:szCs w:val="20"/>
                <w:lang w:val="es-ES" w:eastAsia="en-CA"/>
              </w:rPr>
              <w:t>)</w:t>
            </w:r>
          </w:p>
        </w:tc>
        <w:tc>
          <w:tcPr>
            <w:tcW w:w="431" w:type="pct"/>
            <w:tcBorders>
              <w:top w:val="nil"/>
              <w:left w:val="nil"/>
              <w:bottom w:val="single" w:sz="4" w:space="0" w:color="auto"/>
              <w:right w:val="single" w:sz="4" w:space="0" w:color="auto"/>
            </w:tcBorders>
            <w:shd w:val="clear" w:color="auto" w:fill="FFFFFF" w:themeFill="background1"/>
          </w:tcPr>
          <w:p w14:paraId="393CEACF" w14:textId="77777777" w:rsidR="006F0BB0" w:rsidRPr="006F0BB0" w:rsidRDefault="006F0BB0" w:rsidP="007D1DBA">
            <w:pPr>
              <w:jc w:val="right"/>
              <w:rPr>
                <w:color w:val="000000"/>
                <w:sz w:val="20"/>
                <w:szCs w:val="20"/>
                <w:lang w:val="es-ES" w:eastAsia="en-CA"/>
              </w:rPr>
            </w:pPr>
          </w:p>
        </w:tc>
        <w:tc>
          <w:tcPr>
            <w:tcW w:w="383" w:type="pct"/>
            <w:tcBorders>
              <w:top w:val="single" w:sz="4" w:space="0" w:color="auto"/>
              <w:left w:val="nil"/>
              <w:bottom w:val="single" w:sz="4" w:space="0" w:color="auto"/>
              <w:right w:val="single" w:sz="4" w:space="0" w:color="auto"/>
            </w:tcBorders>
            <w:shd w:val="clear" w:color="auto" w:fill="FFFFFF" w:themeFill="background1"/>
          </w:tcPr>
          <w:p w14:paraId="7108EA54" w14:textId="77777777" w:rsidR="006F0BB0" w:rsidRPr="006F0BB0" w:rsidRDefault="006F0BB0" w:rsidP="007D1DBA">
            <w:pPr>
              <w:jc w:val="right"/>
              <w:rPr>
                <w:color w:val="000000"/>
                <w:sz w:val="20"/>
                <w:szCs w:val="20"/>
                <w:lang w:val="es-ES" w:eastAsia="en-CA"/>
              </w:rPr>
            </w:pP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7E127E44" w14:textId="77777777" w:rsidR="006F0BB0" w:rsidRPr="006F0BB0" w:rsidRDefault="006F0BB0" w:rsidP="007D1DBA">
            <w:pPr>
              <w:jc w:val="right"/>
              <w:rPr>
                <w:color w:val="000000"/>
                <w:sz w:val="20"/>
                <w:szCs w:val="20"/>
                <w:lang w:val="es-ES" w:eastAsia="en-CA"/>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2EA52" w14:textId="77777777" w:rsidR="006F0BB0" w:rsidRPr="006F0BB0" w:rsidRDefault="006F0BB0" w:rsidP="007D1DBA">
            <w:pPr>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076409C2" w14:textId="77777777" w:rsidR="006F0BB0" w:rsidRPr="006F0BB0" w:rsidRDefault="006F0BB0" w:rsidP="007D1DBA">
            <w:pPr>
              <w:jc w:val="right"/>
              <w:rPr>
                <w:color w:val="000000"/>
                <w:sz w:val="20"/>
                <w:szCs w:val="20"/>
                <w:lang w:val="es-ES" w:eastAsia="en-CA"/>
              </w:rPr>
            </w:pPr>
          </w:p>
        </w:tc>
        <w:tc>
          <w:tcPr>
            <w:tcW w:w="333" w:type="pct"/>
            <w:tcBorders>
              <w:top w:val="nil"/>
              <w:left w:val="nil"/>
              <w:bottom w:val="single" w:sz="4" w:space="0" w:color="auto"/>
              <w:right w:val="single" w:sz="4" w:space="0" w:color="auto"/>
            </w:tcBorders>
            <w:shd w:val="clear" w:color="auto" w:fill="FFFFFF" w:themeFill="background1"/>
          </w:tcPr>
          <w:p w14:paraId="23D71345" w14:textId="77777777" w:rsidR="006F0BB0" w:rsidRPr="006F0BB0" w:rsidRDefault="006F0BB0" w:rsidP="007D1DBA">
            <w:pPr>
              <w:jc w:val="right"/>
              <w:rPr>
                <w:color w:val="000000"/>
                <w:sz w:val="20"/>
                <w:szCs w:val="20"/>
                <w:lang w:val="es-ES" w:eastAsia="en-CA"/>
              </w:rPr>
            </w:pPr>
          </w:p>
        </w:tc>
        <w:tc>
          <w:tcPr>
            <w:tcW w:w="331" w:type="pct"/>
            <w:tcBorders>
              <w:top w:val="nil"/>
              <w:left w:val="nil"/>
              <w:bottom w:val="single" w:sz="4" w:space="0" w:color="auto"/>
              <w:right w:val="single" w:sz="4" w:space="0" w:color="auto"/>
            </w:tcBorders>
            <w:shd w:val="clear" w:color="auto" w:fill="FFFFFF" w:themeFill="background1"/>
          </w:tcPr>
          <w:p w14:paraId="0D0B15F6" w14:textId="77777777" w:rsidR="006F0BB0" w:rsidRPr="006F0BB0" w:rsidRDefault="006F0BB0" w:rsidP="007D1DBA">
            <w:pPr>
              <w:jc w:val="right"/>
              <w:rPr>
                <w:color w:val="000000"/>
                <w:sz w:val="20"/>
                <w:szCs w:val="20"/>
                <w:lang w:val="es-ES" w:eastAsia="en-CA"/>
              </w:rPr>
            </w:pPr>
          </w:p>
        </w:tc>
      </w:tr>
    </w:tbl>
    <w:p w14:paraId="6F21D8DF" w14:textId="77777777" w:rsidR="006F0BB0" w:rsidRPr="006F0BB0" w:rsidRDefault="006F0BB0" w:rsidP="006F0BB0">
      <w:pPr>
        <w:rPr>
          <w:lang w:val="es-ES"/>
        </w:rPr>
      </w:pPr>
    </w:p>
    <w:p w14:paraId="0089CDF0" w14:textId="77777777" w:rsidR="006F0BB0" w:rsidRPr="006F0BB0" w:rsidRDefault="006F0BB0" w:rsidP="006F0BB0">
      <w:pPr>
        <w:keepNext/>
        <w:keepLines/>
        <w:rPr>
          <w:b/>
          <w:lang w:val="es-ES"/>
        </w:rPr>
      </w:pPr>
      <w:r w:rsidRPr="006F0BB0">
        <w:rPr>
          <w:b/>
          <w:lang w:val="es-ES"/>
        </w:rPr>
        <w:t xml:space="preserve">Tramos de financiación propuestos para los PGEH y los planes de reducción de los HFC </w:t>
      </w:r>
    </w:p>
    <w:p w14:paraId="41AE2B75" w14:textId="77777777" w:rsidR="006F0BB0" w:rsidRPr="006F0BB0" w:rsidRDefault="006F0BB0" w:rsidP="006F0BB0">
      <w:pPr>
        <w:keepNext/>
        <w:keepLines/>
        <w:rPr>
          <w:lang w:val="es-ES"/>
        </w:rPr>
      </w:pPr>
    </w:p>
    <w:p w14:paraId="51C5F4FB" w14:textId="77777777" w:rsidR="006F0BB0" w:rsidRPr="006F0BB0" w:rsidRDefault="006F0BB0" w:rsidP="006F0BB0">
      <w:pPr>
        <w:keepNext/>
        <w:keepLines/>
        <w:rPr>
          <w:lang w:val="es-ES"/>
        </w:rPr>
      </w:pPr>
      <w:r w:rsidRPr="006F0BB0">
        <w:rPr>
          <w:lang w:val="es-ES"/>
        </w:rPr>
        <w:t xml:space="preserve">Los cronogramas se pueden presentar en la forma de un cuadro que use como referencia el cuadro que contiene los cronogramas de financiación acordados, usados en el apéndice 2-A de los acuerdos los PGEH, como se muestra en el cuadro 2. Siempre que sea posible, los tramos para los PGEH y los planes de reducción de los HFC deberán sincronizarse a fin de reducir al mínimo la duplicación de la preparación de los planes de ejecución de los tramos, los planes de ejecución de los tramos y la tarea de encargar verificaciones relacionadas con la liberación de fondos por tramos. </w:t>
      </w:r>
    </w:p>
    <w:p w14:paraId="32541F72" w14:textId="77777777" w:rsidR="006F0BB0" w:rsidRPr="006F0BB0" w:rsidRDefault="006F0BB0" w:rsidP="006F0BB0">
      <w:pPr>
        <w:tabs>
          <w:tab w:val="left" w:pos="4112"/>
        </w:tabs>
        <w:rPr>
          <w:lang w:val="es-ES"/>
        </w:rPr>
      </w:pPr>
      <w:r w:rsidRPr="006F0BB0">
        <w:rPr>
          <w:lang w:val="es-ES"/>
        </w:rPr>
        <w:tab/>
      </w:r>
    </w:p>
    <w:p w14:paraId="60471F38" w14:textId="77777777" w:rsidR="006F0BB0" w:rsidRPr="006F0BB0" w:rsidRDefault="006F0BB0" w:rsidP="006F0BB0">
      <w:pPr>
        <w:rPr>
          <w:b/>
          <w:lang w:val="es-ES"/>
        </w:rPr>
      </w:pPr>
      <w:r w:rsidRPr="006F0BB0">
        <w:rPr>
          <w:b/>
          <w:lang w:val="es-ES"/>
        </w:rPr>
        <w:t>Cuadro 2. Cronogramas de financiación de la eliminación de los HCFC y la reducción de los HFC hasta 2030 (2032)</w:t>
      </w:r>
    </w:p>
    <w:tbl>
      <w:tblPr>
        <w:tblW w:w="9360" w:type="dxa"/>
        <w:tblLayout w:type="fixed"/>
        <w:tblLook w:val="04A0" w:firstRow="1" w:lastRow="0" w:firstColumn="1" w:lastColumn="0" w:noHBand="0" w:noVBand="1"/>
      </w:tblPr>
      <w:tblGrid>
        <w:gridCol w:w="4866"/>
        <w:gridCol w:w="677"/>
        <w:gridCol w:w="637"/>
        <w:gridCol w:w="636"/>
        <w:gridCol w:w="636"/>
        <w:gridCol w:w="636"/>
        <w:gridCol w:w="636"/>
        <w:gridCol w:w="636"/>
      </w:tblGrid>
      <w:tr w:rsidR="006F0BB0" w:rsidRPr="006F0BB0" w14:paraId="352E95A9" w14:textId="77777777" w:rsidTr="007D1DBA">
        <w:trPr>
          <w:tblHeader/>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14:paraId="23859A23" w14:textId="77777777" w:rsidR="006F0BB0" w:rsidRPr="006F0BB0" w:rsidRDefault="006F0BB0" w:rsidP="007D1DBA">
            <w:pPr>
              <w:keepNext/>
              <w:keepLines/>
              <w:jc w:val="center"/>
              <w:rPr>
                <w:b/>
                <w:bCs/>
                <w:color w:val="000000"/>
                <w:sz w:val="20"/>
                <w:szCs w:val="20"/>
                <w:lang w:eastAsia="en-CA"/>
              </w:rPr>
            </w:pPr>
            <w:proofErr w:type="spellStart"/>
            <w:r w:rsidRPr="006F0BB0">
              <w:rPr>
                <w:b/>
                <w:bCs/>
                <w:color w:val="000000"/>
                <w:sz w:val="20"/>
                <w:szCs w:val="20"/>
                <w:lang w:eastAsia="en-CA"/>
              </w:rPr>
              <w:t>Detalles</w:t>
            </w:r>
            <w:proofErr w:type="spellEnd"/>
          </w:p>
        </w:tc>
        <w:tc>
          <w:tcPr>
            <w:tcW w:w="361" w:type="pct"/>
            <w:tcBorders>
              <w:top w:val="single" w:sz="4" w:space="0" w:color="auto"/>
              <w:left w:val="nil"/>
              <w:bottom w:val="single" w:sz="4" w:space="0" w:color="auto"/>
              <w:right w:val="single" w:sz="4" w:space="0" w:color="auto"/>
            </w:tcBorders>
            <w:shd w:val="clear" w:color="auto" w:fill="auto"/>
            <w:hideMark/>
          </w:tcPr>
          <w:p w14:paraId="5776EEAE"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2024</w:t>
            </w:r>
          </w:p>
        </w:tc>
        <w:tc>
          <w:tcPr>
            <w:tcW w:w="340" w:type="pct"/>
            <w:tcBorders>
              <w:top w:val="single" w:sz="4" w:space="0" w:color="auto"/>
              <w:left w:val="nil"/>
              <w:bottom w:val="single" w:sz="4" w:space="0" w:color="auto"/>
              <w:right w:val="single" w:sz="4" w:space="0" w:color="auto"/>
            </w:tcBorders>
          </w:tcPr>
          <w:p w14:paraId="08AF6B5F"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2025</w:t>
            </w:r>
          </w:p>
        </w:tc>
        <w:tc>
          <w:tcPr>
            <w:tcW w:w="340" w:type="pct"/>
            <w:tcBorders>
              <w:top w:val="single" w:sz="4" w:space="0" w:color="auto"/>
              <w:left w:val="single" w:sz="4" w:space="0" w:color="auto"/>
              <w:bottom w:val="single" w:sz="4" w:space="0" w:color="auto"/>
              <w:right w:val="single" w:sz="4" w:space="0" w:color="auto"/>
            </w:tcBorders>
          </w:tcPr>
          <w:p w14:paraId="4CB6CD0A"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2026</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14:paraId="1BE4D4F2"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2027</w:t>
            </w:r>
          </w:p>
        </w:tc>
        <w:tc>
          <w:tcPr>
            <w:tcW w:w="340" w:type="pct"/>
            <w:tcBorders>
              <w:top w:val="single" w:sz="4" w:space="0" w:color="auto"/>
              <w:left w:val="nil"/>
              <w:bottom w:val="single" w:sz="4" w:space="0" w:color="auto"/>
              <w:right w:val="single" w:sz="4" w:space="0" w:color="auto"/>
            </w:tcBorders>
            <w:shd w:val="clear" w:color="auto" w:fill="auto"/>
            <w:hideMark/>
          </w:tcPr>
          <w:p w14:paraId="34CA195D"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2028</w:t>
            </w:r>
          </w:p>
        </w:tc>
        <w:tc>
          <w:tcPr>
            <w:tcW w:w="340" w:type="pct"/>
            <w:tcBorders>
              <w:top w:val="single" w:sz="4" w:space="0" w:color="auto"/>
              <w:left w:val="nil"/>
              <w:bottom w:val="single" w:sz="4" w:space="0" w:color="auto"/>
              <w:right w:val="single" w:sz="4" w:space="0" w:color="auto"/>
            </w:tcBorders>
            <w:shd w:val="clear" w:color="auto" w:fill="auto"/>
            <w:hideMark/>
          </w:tcPr>
          <w:p w14:paraId="483BC945"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2029</w:t>
            </w:r>
          </w:p>
        </w:tc>
        <w:tc>
          <w:tcPr>
            <w:tcW w:w="341" w:type="pct"/>
            <w:tcBorders>
              <w:top w:val="single" w:sz="4" w:space="0" w:color="auto"/>
              <w:left w:val="nil"/>
              <w:bottom w:val="single" w:sz="4" w:space="0" w:color="auto"/>
              <w:right w:val="single" w:sz="4" w:space="0" w:color="auto"/>
            </w:tcBorders>
            <w:shd w:val="clear" w:color="auto" w:fill="auto"/>
            <w:hideMark/>
          </w:tcPr>
          <w:p w14:paraId="38A536A8" w14:textId="77777777" w:rsidR="006F0BB0" w:rsidRPr="006F0BB0" w:rsidRDefault="006F0BB0" w:rsidP="007D1DBA">
            <w:pPr>
              <w:keepNext/>
              <w:keepLines/>
              <w:jc w:val="center"/>
              <w:rPr>
                <w:b/>
                <w:bCs/>
                <w:color w:val="000000"/>
                <w:sz w:val="20"/>
                <w:szCs w:val="20"/>
                <w:lang w:eastAsia="en-CA"/>
              </w:rPr>
            </w:pPr>
            <w:r w:rsidRPr="006F0BB0">
              <w:rPr>
                <w:b/>
                <w:bCs/>
                <w:color w:val="000000"/>
                <w:sz w:val="20"/>
                <w:szCs w:val="20"/>
                <w:lang w:eastAsia="en-CA"/>
              </w:rPr>
              <w:t>2030</w:t>
            </w:r>
          </w:p>
        </w:tc>
      </w:tr>
      <w:tr w:rsidR="006F0BB0" w:rsidRPr="006F0BB0" w14:paraId="72B7AB28" w14:textId="77777777" w:rsidTr="007D1DBA">
        <w:trPr>
          <w:tblHeader/>
        </w:trPr>
        <w:tc>
          <w:tcPr>
            <w:tcW w:w="5000" w:type="pct"/>
            <w:gridSpan w:val="8"/>
            <w:tcBorders>
              <w:top w:val="single" w:sz="4" w:space="0" w:color="auto"/>
              <w:left w:val="single" w:sz="4" w:space="0" w:color="auto"/>
              <w:bottom w:val="single" w:sz="4" w:space="0" w:color="auto"/>
              <w:right w:val="single" w:sz="4" w:space="0" w:color="auto"/>
            </w:tcBorders>
          </w:tcPr>
          <w:p w14:paraId="57304AF0" w14:textId="77777777" w:rsidR="006F0BB0" w:rsidRPr="006F0BB0" w:rsidRDefault="006F0BB0" w:rsidP="007D1DBA">
            <w:pPr>
              <w:keepNext/>
              <w:keepLines/>
              <w:jc w:val="center"/>
              <w:rPr>
                <w:b/>
                <w:bCs/>
                <w:color w:val="000000"/>
                <w:sz w:val="20"/>
                <w:szCs w:val="20"/>
                <w:lang w:val="es-ES" w:eastAsia="en-CA"/>
              </w:rPr>
            </w:pPr>
            <w:r w:rsidRPr="006F0BB0">
              <w:rPr>
                <w:b/>
                <w:bCs/>
                <w:color w:val="000000"/>
                <w:sz w:val="20"/>
                <w:szCs w:val="20"/>
                <w:lang w:val="es-ES" w:eastAsia="en-CA"/>
              </w:rPr>
              <w:t xml:space="preserve">Financiación de los HCFC </w:t>
            </w:r>
          </w:p>
        </w:tc>
      </w:tr>
      <w:tr w:rsidR="006F0BB0" w:rsidRPr="00482916" w14:paraId="1AAA0158"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E12CC" w14:textId="3885A282" w:rsidR="006F0BB0" w:rsidRPr="006F0BB0" w:rsidRDefault="006F0BB0" w:rsidP="007D1DBA">
            <w:pPr>
              <w:keepNext/>
              <w:keepLines/>
              <w:jc w:val="left"/>
              <w:rPr>
                <w:color w:val="000000"/>
                <w:sz w:val="20"/>
                <w:szCs w:val="20"/>
                <w:lang w:val="es-ES" w:eastAsia="en-CA"/>
              </w:rPr>
            </w:pPr>
            <w:r w:rsidRPr="006F0BB0">
              <w:rPr>
                <w:color w:val="000000"/>
                <w:sz w:val="20"/>
                <w:szCs w:val="20"/>
                <w:lang w:val="es-ES" w:eastAsia="en-CA"/>
              </w:rPr>
              <w:t xml:space="preserve">Financiación acordada para el Organismo Principal </w:t>
            </w:r>
            <w:r w:rsidRPr="006F0BB0">
              <w:rPr>
                <w:color w:val="000000"/>
                <w:sz w:val="20"/>
                <w:szCs w:val="20"/>
                <w:lang w:val="es-ES" w:eastAsia="en-CA"/>
              </w:rPr>
              <w:br/>
              <w:t>(</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0193D9EE" w14:textId="77777777" w:rsidR="006F0BB0" w:rsidRPr="006F0BB0" w:rsidRDefault="006F0BB0" w:rsidP="007D1DBA">
            <w:pPr>
              <w:keepNext/>
              <w:keepLines/>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201C2D52" w14:textId="77777777" w:rsidR="006F0BB0" w:rsidRPr="006F0BB0" w:rsidRDefault="006F0BB0" w:rsidP="007D1DBA">
            <w:pPr>
              <w:keepNext/>
              <w:keepLines/>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035C8F" w14:textId="77777777" w:rsidR="006F0BB0" w:rsidRPr="006F0BB0" w:rsidRDefault="006F0BB0" w:rsidP="007D1DBA">
            <w:pPr>
              <w:keepNext/>
              <w:keepLines/>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4002C103" w14:textId="77777777" w:rsidR="006F0BB0" w:rsidRPr="006F0BB0" w:rsidRDefault="006F0BB0" w:rsidP="007D1DBA">
            <w:pPr>
              <w:keepNext/>
              <w:keepLines/>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44B37744" w14:textId="77777777" w:rsidR="006F0BB0" w:rsidRPr="006F0BB0" w:rsidRDefault="006F0BB0" w:rsidP="007D1DBA">
            <w:pPr>
              <w:keepNext/>
              <w:keepLines/>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33F34A1D" w14:textId="77777777" w:rsidR="006F0BB0" w:rsidRPr="006F0BB0" w:rsidRDefault="006F0BB0" w:rsidP="007D1DBA">
            <w:pPr>
              <w:keepNext/>
              <w:keepLines/>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176F0F48" w14:textId="77777777" w:rsidR="006F0BB0" w:rsidRPr="006F0BB0" w:rsidRDefault="006F0BB0" w:rsidP="007D1DBA">
            <w:pPr>
              <w:keepNext/>
              <w:keepLines/>
              <w:jc w:val="right"/>
              <w:rPr>
                <w:color w:val="000000"/>
                <w:sz w:val="20"/>
                <w:szCs w:val="20"/>
                <w:lang w:val="es-ES" w:eastAsia="en-CA"/>
              </w:rPr>
            </w:pPr>
          </w:p>
        </w:tc>
      </w:tr>
      <w:tr w:rsidR="006F0BB0" w:rsidRPr="00482916" w14:paraId="07ED3C13"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24BB0" w14:textId="298255E5" w:rsidR="006F0BB0" w:rsidRPr="006F0BB0" w:rsidRDefault="006F0BB0" w:rsidP="007D1DBA">
            <w:pPr>
              <w:jc w:val="left"/>
              <w:rPr>
                <w:color w:val="000000"/>
                <w:sz w:val="20"/>
                <w:szCs w:val="20"/>
                <w:lang w:val="es-ES" w:eastAsia="en-CA"/>
              </w:rPr>
            </w:pPr>
            <w:r w:rsidRPr="006F0BB0">
              <w:rPr>
                <w:color w:val="000000"/>
                <w:sz w:val="20"/>
                <w:szCs w:val="20"/>
                <w:lang w:val="es-ES" w:eastAsia="en-CA"/>
              </w:rPr>
              <w:t>Gastos de apoyo al Organismo Principal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7E1E53AF"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6C7D5BFB"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203E8C52"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1A99DB11"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1B75D446"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125D44A5"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1F1F1ECC" w14:textId="77777777" w:rsidR="006F0BB0" w:rsidRPr="006F0BB0" w:rsidRDefault="006F0BB0" w:rsidP="007D1DBA">
            <w:pPr>
              <w:jc w:val="right"/>
              <w:rPr>
                <w:color w:val="000000"/>
                <w:sz w:val="20"/>
                <w:szCs w:val="20"/>
                <w:lang w:val="es-ES" w:eastAsia="en-CA"/>
              </w:rPr>
            </w:pPr>
          </w:p>
        </w:tc>
      </w:tr>
      <w:tr w:rsidR="006F0BB0" w:rsidRPr="00482916" w14:paraId="25A36583"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33264EB7" w14:textId="31F116E5" w:rsidR="006F0BB0" w:rsidRPr="006F0BB0" w:rsidRDefault="006F0BB0" w:rsidP="007D1DBA">
            <w:pPr>
              <w:jc w:val="left"/>
              <w:rPr>
                <w:color w:val="000000"/>
                <w:sz w:val="20"/>
                <w:szCs w:val="20"/>
                <w:lang w:val="es-ES" w:eastAsia="en-CA"/>
              </w:rPr>
            </w:pPr>
            <w:r w:rsidRPr="006F0BB0">
              <w:rPr>
                <w:color w:val="000000"/>
                <w:sz w:val="20"/>
                <w:szCs w:val="20"/>
                <w:lang w:val="es-ES" w:eastAsia="en-CA"/>
              </w:rPr>
              <w:t xml:space="preserve">Financiación acordada para el Organismo Cooperante </w:t>
            </w:r>
            <w:r w:rsidRPr="006F0BB0">
              <w:rPr>
                <w:color w:val="000000"/>
                <w:sz w:val="20"/>
                <w:szCs w:val="20"/>
                <w:lang w:val="es-ES" w:eastAsia="en-CA"/>
              </w:rPr>
              <w:br/>
              <w:t>(</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5FA68397"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12133224"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05775357"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4DC4F64A"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18294BE1"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0350A5CC"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47F53948" w14:textId="77777777" w:rsidR="006F0BB0" w:rsidRPr="006F0BB0" w:rsidRDefault="006F0BB0" w:rsidP="007D1DBA">
            <w:pPr>
              <w:jc w:val="right"/>
              <w:rPr>
                <w:color w:val="000000"/>
                <w:sz w:val="20"/>
                <w:szCs w:val="20"/>
                <w:lang w:val="es-ES" w:eastAsia="en-CA"/>
              </w:rPr>
            </w:pPr>
          </w:p>
        </w:tc>
      </w:tr>
      <w:tr w:rsidR="006F0BB0" w:rsidRPr="00482916" w14:paraId="00B72885"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087A21B8" w14:textId="19B62299" w:rsidR="006F0BB0" w:rsidRPr="006F0BB0" w:rsidRDefault="006F0BB0" w:rsidP="007D1DBA">
            <w:pPr>
              <w:jc w:val="left"/>
              <w:rPr>
                <w:color w:val="000000"/>
                <w:sz w:val="20"/>
                <w:szCs w:val="20"/>
                <w:lang w:val="es-ES" w:eastAsia="en-CA"/>
              </w:rPr>
            </w:pPr>
            <w:r w:rsidRPr="006F0BB0">
              <w:rPr>
                <w:color w:val="000000"/>
                <w:sz w:val="20"/>
                <w:szCs w:val="20"/>
                <w:lang w:val="es-ES" w:eastAsia="en-CA"/>
              </w:rPr>
              <w:t>Gastos de apoyo al Organismo Cooperante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506C3C20"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634B7EE0"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624F3CC0"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DA88BD"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1EBC7F39"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406968E7"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26EA2C6D" w14:textId="77777777" w:rsidR="006F0BB0" w:rsidRPr="006F0BB0" w:rsidRDefault="006F0BB0" w:rsidP="007D1DBA">
            <w:pPr>
              <w:jc w:val="right"/>
              <w:rPr>
                <w:color w:val="000000"/>
                <w:sz w:val="20"/>
                <w:szCs w:val="20"/>
                <w:lang w:val="es-ES" w:eastAsia="en-CA"/>
              </w:rPr>
            </w:pPr>
          </w:p>
        </w:tc>
      </w:tr>
      <w:tr w:rsidR="006F0BB0" w:rsidRPr="006F0BB0" w14:paraId="46A0A9CB"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0D9A1E68" w14:textId="471533B5" w:rsidR="006F0BB0" w:rsidRPr="006F0BB0" w:rsidRDefault="006F0BB0" w:rsidP="007D1DBA">
            <w:pPr>
              <w:jc w:val="left"/>
              <w:rPr>
                <w:color w:val="000000"/>
                <w:sz w:val="20"/>
                <w:szCs w:val="20"/>
                <w:lang w:eastAsia="en-CA"/>
              </w:rPr>
            </w:pPr>
            <w:proofErr w:type="spellStart"/>
            <w:r w:rsidRPr="006F0BB0">
              <w:rPr>
                <w:color w:val="000000"/>
                <w:sz w:val="20"/>
                <w:szCs w:val="20"/>
                <w:lang w:eastAsia="en-CA"/>
              </w:rPr>
              <w:t>Financiación</w:t>
            </w:r>
            <w:proofErr w:type="spellEnd"/>
            <w:r w:rsidRPr="006F0BB0">
              <w:rPr>
                <w:color w:val="000000"/>
                <w:sz w:val="20"/>
                <w:szCs w:val="20"/>
                <w:lang w:eastAsia="en-CA"/>
              </w:rPr>
              <w:t xml:space="preserve"> total </w:t>
            </w:r>
            <w:proofErr w:type="spellStart"/>
            <w:r w:rsidRPr="006F0BB0">
              <w:rPr>
                <w:color w:val="000000"/>
                <w:sz w:val="20"/>
                <w:szCs w:val="20"/>
                <w:lang w:eastAsia="en-CA"/>
              </w:rPr>
              <w:t>acordada</w:t>
            </w:r>
            <w:proofErr w:type="spellEnd"/>
            <w:r w:rsidRPr="006F0BB0">
              <w:rPr>
                <w:color w:val="000000"/>
                <w:sz w:val="20"/>
                <w:szCs w:val="20"/>
                <w:lang w:eastAsia="en-CA"/>
              </w:rPr>
              <w:t xml:space="preserve"> (</w:t>
            </w:r>
            <w:r w:rsidR="00333ADB">
              <w:rPr>
                <w:color w:val="000000"/>
                <w:sz w:val="20"/>
                <w:szCs w:val="20"/>
                <w:lang w:eastAsia="en-CA"/>
              </w:rPr>
              <w:t>$EUA</w:t>
            </w:r>
            <w:r w:rsidRPr="006F0BB0">
              <w:rPr>
                <w:color w:val="000000"/>
                <w:sz w:val="20"/>
                <w:szCs w:val="20"/>
                <w:lang w:eastAsia="en-CA"/>
              </w:rPr>
              <w:t>)</w:t>
            </w:r>
          </w:p>
        </w:tc>
        <w:tc>
          <w:tcPr>
            <w:tcW w:w="361" w:type="pct"/>
            <w:tcBorders>
              <w:top w:val="nil"/>
              <w:left w:val="nil"/>
              <w:bottom w:val="single" w:sz="4" w:space="0" w:color="auto"/>
              <w:right w:val="single" w:sz="4" w:space="0" w:color="auto"/>
            </w:tcBorders>
            <w:shd w:val="clear" w:color="auto" w:fill="FFFFFF" w:themeFill="background1"/>
          </w:tcPr>
          <w:p w14:paraId="6C8D3613" w14:textId="77777777" w:rsidR="006F0BB0" w:rsidRPr="006F0BB0" w:rsidRDefault="006F0BB0" w:rsidP="007D1DBA">
            <w:pPr>
              <w:jc w:val="right"/>
              <w:rPr>
                <w:color w:val="000000"/>
                <w:sz w:val="20"/>
                <w:szCs w:val="20"/>
                <w:lang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00606863" w14:textId="77777777" w:rsidR="006F0BB0" w:rsidRPr="006F0BB0" w:rsidRDefault="006F0BB0" w:rsidP="007D1DBA">
            <w:pPr>
              <w:jc w:val="right"/>
              <w:rPr>
                <w:color w:val="000000"/>
                <w:sz w:val="20"/>
                <w:szCs w:val="20"/>
                <w:lang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0D914202" w14:textId="77777777" w:rsidR="006F0BB0" w:rsidRPr="006F0BB0" w:rsidRDefault="006F0BB0" w:rsidP="007D1DBA">
            <w:pPr>
              <w:jc w:val="right"/>
              <w:rPr>
                <w:color w:val="000000"/>
                <w:sz w:val="20"/>
                <w:szCs w:val="20"/>
                <w:lang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189E085E" w14:textId="77777777" w:rsidR="006F0BB0" w:rsidRPr="006F0BB0" w:rsidRDefault="006F0BB0" w:rsidP="007D1DBA">
            <w:pPr>
              <w:jc w:val="right"/>
              <w:rPr>
                <w:color w:val="000000"/>
                <w:sz w:val="20"/>
                <w:szCs w:val="20"/>
                <w:lang w:eastAsia="en-CA"/>
              </w:rPr>
            </w:pPr>
          </w:p>
        </w:tc>
        <w:tc>
          <w:tcPr>
            <w:tcW w:w="340" w:type="pct"/>
            <w:tcBorders>
              <w:top w:val="nil"/>
              <w:left w:val="nil"/>
              <w:bottom w:val="single" w:sz="4" w:space="0" w:color="auto"/>
              <w:right w:val="single" w:sz="4" w:space="0" w:color="auto"/>
            </w:tcBorders>
            <w:shd w:val="clear" w:color="auto" w:fill="FFFFFF" w:themeFill="background1"/>
          </w:tcPr>
          <w:p w14:paraId="01B3C47E" w14:textId="77777777" w:rsidR="006F0BB0" w:rsidRPr="006F0BB0" w:rsidRDefault="006F0BB0" w:rsidP="007D1DBA">
            <w:pPr>
              <w:jc w:val="right"/>
              <w:rPr>
                <w:color w:val="000000"/>
                <w:sz w:val="20"/>
                <w:szCs w:val="20"/>
                <w:lang w:eastAsia="en-CA"/>
              </w:rPr>
            </w:pPr>
          </w:p>
        </w:tc>
        <w:tc>
          <w:tcPr>
            <w:tcW w:w="340" w:type="pct"/>
            <w:tcBorders>
              <w:top w:val="nil"/>
              <w:left w:val="nil"/>
              <w:bottom w:val="single" w:sz="4" w:space="0" w:color="auto"/>
              <w:right w:val="single" w:sz="4" w:space="0" w:color="auto"/>
            </w:tcBorders>
            <w:shd w:val="clear" w:color="auto" w:fill="FFFFFF" w:themeFill="background1"/>
          </w:tcPr>
          <w:p w14:paraId="6885C03D" w14:textId="77777777" w:rsidR="006F0BB0" w:rsidRPr="006F0BB0" w:rsidRDefault="006F0BB0" w:rsidP="007D1DBA">
            <w:pPr>
              <w:jc w:val="right"/>
              <w:rPr>
                <w:color w:val="000000"/>
                <w:sz w:val="20"/>
                <w:szCs w:val="20"/>
                <w:lang w:eastAsia="en-CA"/>
              </w:rPr>
            </w:pPr>
          </w:p>
        </w:tc>
        <w:tc>
          <w:tcPr>
            <w:tcW w:w="341" w:type="pct"/>
            <w:tcBorders>
              <w:top w:val="nil"/>
              <w:left w:val="nil"/>
              <w:bottom w:val="single" w:sz="4" w:space="0" w:color="auto"/>
              <w:right w:val="single" w:sz="4" w:space="0" w:color="auto"/>
            </w:tcBorders>
            <w:shd w:val="clear" w:color="auto" w:fill="FFFFFF" w:themeFill="background1"/>
          </w:tcPr>
          <w:p w14:paraId="6E2CC579" w14:textId="77777777" w:rsidR="006F0BB0" w:rsidRPr="006F0BB0" w:rsidRDefault="006F0BB0" w:rsidP="007D1DBA">
            <w:pPr>
              <w:jc w:val="right"/>
              <w:rPr>
                <w:color w:val="000000"/>
                <w:sz w:val="20"/>
                <w:szCs w:val="20"/>
                <w:lang w:eastAsia="en-CA"/>
              </w:rPr>
            </w:pPr>
          </w:p>
        </w:tc>
      </w:tr>
      <w:tr w:rsidR="006F0BB0" w:rsidRPr="005A43F3" w14:paraId="75E01BDD"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1C9EADE2" w14:textId="6913AE19" w:rsidR="006F0BB0" w:rsidRPr="006F0BB0" w:rsidRDefault="006F0BB0" w:rsidP="007D1DBA">
            <w:pPr>
              <w:jc w:val="left"/>
              <w:rPr>
                <w:color w:val="000000"/>
                <w:sz w:val="20"/>
                <w:szCs w:val="20"/>
                <w:lang w:val="es-ES" w:eastAsia="en-CA"/>
              </w:rPr>
            </w:pPr>
            <w:r w:rsidRPr="006F0BB0">
              <w:rPr>
                <w:color w:val="000000"/>
                <w:sz w:val="20"/>
                <w:szCs w:val="20"/>
                <w:lang w:val="es-ES" w:eastAsia="en-CA"/>
              </w:rPr>
              <w:t>Total de gastos de apoyo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0E81887A"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1A5D6DD7"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0D4B8974"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25E4F165"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5B0D89C1"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316A97B1"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614A2E53" w14:textId="77777777" w:rsidR="006F0BB0" w:rsidRPr="006F0BB0" w:rsidRDefault="006F0BB0" w:rsidP="007D1DBA">
            <w:pPr>
              <w:jc w:val="right"/>
              <w:rPr>
                <w:color w:val="000000"/>
                <w:sz w:val="20"/>
                <w:szCs w:val="20"/>
                <w:lang w:val="es-ES" w:eastAsia="en-CA"/>
              </w:rPr>
            </w:pPr>
          </w:p>
        </w:tc>
      </w:tr>
      <w:tr w:rsidR="006F0BB0" w:rsidRPr="005A43F3" w14:paraId="0B38244A"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3199D4D6" w14:textId="442C1D51" w:rsidR="006F0BB0" w:rsidRPr="006F0BB0" w:rsidRDefault="006F0BB0" w:rsidP="007D1DBA">
            <w:pPr>
              <w:jc w:val="left"/>
              <w:rPr>
                <w:color w:val="000000"/>
                <w:sz w:val="20"/>
                <w:szCs w:val="20"/>
                <w:lang w:val="es-ES" w:eastAsia="en-CA"/>
              </w:rPr>
            </w:pPr>
            <w:r w:rsidRPr="006F0BB0">
              <w:rPr>
                <w:color w:val="000000"/>
                <w:sz w:val="20"/>
                <w:szCs w:val="20"/>
                <w:lang w:val="es-ES" w:eastAsia="en-CA"/>
              </w:rPr>
              <w:t>Total de gastos acordados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7586F0C7"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54CFF6BB"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49394843"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3596147F"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599D2407"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7C7BFCDA"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3BA02F02" w14:textId="77777777" w:rsidR="006F0BB0" w:rsidRPr="006F0BB0" w:rsidRDefault="006F0BB0" w:rsidP="007D1DBA">
            <w:pPr>
              <w:jc w:val="right"/>
              <w:rPr>
                <w:color w:val="000000"/>
                <w:sz w:val="20"/>
                <w:szCs w:val="20"/>
                <w:lang w:val="es-ES" w:eastAsia="en-CA"/>
              </w:rPr>
            </w:pPr>
          </w:p>
        </w:tc>
      </w:tr>
      <w:tr w:rsidR="006F0BB0" w:rsidRPr="006F0BB0" w14:paraId="198B53C7" w14:textId="77777777" w:rsidTr="007D1DBA">
        <w:tc>
          <w:tcPr>
            <w:tcW w:w="5000" w:type="pct"/>
            <w:gridSpan w:val="8"/>
            <w:tcBorders>
              <w:top w:val="single" w:sz="4" w:space="0" w:color="auto"/>
              <w:left w:val="single" w:sz="4" w:space="0" w:color="auto"/>
              <w:bottom w:val="single" w:sz="4" w:space="0" w:color="auto"/>
              <w:right w:val="single" w:sz="4" w:space="0" w:color="auto"/>
            </w:tcBorders>
          </w:tcPr>
          <w:p w14:paraId="03D4E615" w14:textId="77777777" w:rsidR="006F0BB0" w:rsidRPr="006F0BB0" w:rsidRDefault="006F0BB0" w:rsidP="007D1DBA">
            <w:pPr>
              <w:jc w:val="center"/>
              <w:rPr>
                <w:b/>
                <w:color w:val="000000"/>
                <w:sz w:val="20"/>
                <w:szCs w:val="20"/>
                <w:lang w:val="es-ES" w:eastAsia="en-CA"/>
              </w:rPr>
            </w:pPr>
            <w:r w:rsidRPr="006F0BB0">
              <w:rPr>
                <w:b/>
                <w:color w:val="000000"/>
                <w:sz w:val="20"/>
                <w:szCs w:val="20"/>
                <w:lang w:val="es-ES" w:eastAsia="en-CA"/>
              </w:rPr>
              <w:t>Financiación de los HFC</w:t>
            </w:r>
          </w:p>
        </w:tc>
      </w:tr>
      <w:tr w:rsidR="006F0BB0" w:rsidRPr="00482916" w14:paraId="0E5261F3"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9A9DA" w14:textId="61F8C511" w:rsidR="006F0BB0" w:rsidRPr="006F0BB0" w:rsidRDefault="006F0BB0" w:rsidP="007D1DBA">
            <w:pPr>
              <w:keepNext/>
              <w:keepLines/>
              <w:jc w:val="left"/>
              <w:rPr>
                <w:color w:val="000000"/>
                <w:sz w:val="20"/>
                <w:szCs w:val="20"/>
                <w:lang w:val="es-ES" w:eastAsia="en-CA"/>
              </w:rPr>
            </w:pPr>
            <w:r w:rsidRPr="006F0BB0">
              <w:rPr>
                <w:color w:val="000000"/>
                <w:sz w:val="20"/>
                <w:szCs w:val="20"/>
                <w:lang w:val="es-ES" w:eastAsia="en-CA"/>
              </w:rPr>
              <w:t xml:space="preserve">Financiación propuesta para el Organismo Principal </w:t>
            </w:r>
            <w:r w:rsidRPr="006F0BB0">
              <w:rPr>
                <w:color w:val="000000"/>
                <w:sz w:val="20"/>
                <w:szCs w:val="20"/>
                <w:lang w:val="es-ES" w:eastAsia="en-CA"/>
              </w:rPr>
              <w:br/>
              <w:t>(</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2095B849" w14:textId="77777777" w:rsidR="006F0BB0" w:rsidRPr="006F0BB0" w:rsidRDefault="006F0BB0" w:rsidP="007D1DBA">
            <w:pPr>
              <w:keepNext/>
              <w:keepLines/>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2ACB82D1" w14:textId="77777777" w:rsidR="006F0BB0" w:rsidRPr="006F0BB0" w:rsidRDefault="006F0BB0" w:rsidP="007D1DBA">
            <w:pPr>
              <w:keepNext/>
              <w:keepLines/>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5C664B8A" w14:textId="77777777" w:rsidR="006F0BB0" w:rsidRPr="006F0BB0" w:rsidRDefault="006F0BB0" w:rsidP="007D1DBA">
            <w:pPr>
              <w:keepNext/>
              <w:keepLines/>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5B6CCF23" w14:textId="77777777" w:rsidR="006F0BB0" w:rsidRPr="006F0BB0" w:rsidRDefault="006F0BB0" w:rsidP="007D1DBA">
            <w:pPr>
              <w:keepNext/>
              <w:keepLines/>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78536207" w14:textId="77777777" w:rsidR="006F0BB0" w:rsidRPr="006F0BB0" w:rsidRDefault="006F0BB0" w:rsidP="007D1DBA">
            <w:pPr>
              <w:keepNext/>
              <w:keepLines/>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31E4B176" w14:textId="77777777" w:rsidR="006F0BB0" w:rsidRPr="006F0BB0" w:rsidRDefault="006F0BB0" w:rsidP="007D1DBA">
            <w:pPr>
              <w:keepNext/>
              <w:keepLines/>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2D78CCB7" w14:textId="77777777" w:rsidR="006F0BB0" w:rsidRPr="006F0BB0" w:rsidRDefault="006F0BB0" w:rsidP="007D1DBA">
            <w:pPr>
              <w:keepNext/>
              <w:keepLines/>
              <w:jc w:val="right"/>
              <w:rPr>
                <w:color w:val="000000"/>
                <w:sz w:val="20"/>
                <w:szCs w:val="20"/>
                <w:lang w:val="es-ES" w:eastAsia="en-CA"/>
              </w:rPr>
            </w:pPr>
          </w:p>
        </w:tc>
      </w:tr>
      <w:tr w:rsidR="006F0BB0" w:rsidRPr="00482916" w14:paraId="1FC0588B"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4561C" w14:textId="4A959A3A" w:rsidR="006F0BB0" w:rsidRPr="006F0BB0" w:rsidRDefault="006F0BB0" w:rsidP="007D1DBA">
            <w:pPr>
              <w:jc w:val="left"/>
              <w:rPr>
                <w:color w:val="000000"/>
                <w:sz w:val="20"/>
                <w:szCs w:val="20"/>
                <w:lang w:val="es-ES" w:eastAsia="en-CA"/>
              </w:rPr>
            </w:pPr>
            <w:r w:rsidRPr="006F0BB0">
              <w:rPr>
                <w:color w:val="000000"/>
                <w:sz w:val="20"/>
                <w:szCs w:val="20"/>
                <w:lang w:val="es-ES" w:eastAsia="en-CA"/>
              </w:rPr>
              <w:t>Gastos de apoyo al Organismo Principal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34E837CE"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4BB1A630"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79415CCC"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5B91E463"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06F3818F"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46BE0B63"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03C7B6E6" w14:textId="77777777" w:rsidR="006F0BB0" w:rsidRPr="006F0BB0" w:rsidRDefault="006F0BB0" w:rsidP="007D1DBA">
            <w:pPr>
              <w:jc w:val="right"/>
              <w:rPr>
                <w:color w:val="000000"/>
                <w:sz w:val="20"/>
                <w:szCs w:val="20"/>
                <w:lang w:val="es-ES" w:eastAsia="en-CA"/>
              </w:rPr>
            </w:pPr>
          </w:p>
        </w:tc>
      </w:tr>
      <w:tr w:rsidR="006F0BB0" w:rsidRPr="00482916" w14:paraId="0A7113FF"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31118ECF" w14:textId="0D420156" w:rsidR="006F0BB0" w:rsidRPr="006F0BB0" w:rsidRDefault="006F0BB0" w:rsidP="007D1DBA">
            <w:pPr>
              <w:jc w:val="left"/>
              <w:rPr>
                <w:color w:val="000000"/>
                <w:sz w:val="20"/>
                <w:szCs w:val="20"/>
                <w:lang w:val="es-ES" w:eastAsia="en-CA"/>
              </w:rPr>
            </w:pPr>
            <w:r w:rsidRPr="006F0BB0">
              <w:rPr>
                <w:color w:val="000000"/>
                <w:sz w:val="20"/>
                <w:szCs w:val="20"/>
                <w:lang w:val="es-ES" w:eastAsia="en-CA"/>
              </w:rPr>
              <w:t xml:space="preserve">Financiación propuesta para el Organismo Cooperante </w:t>
            </w:r>
            <w:r w:rsidRPr="006F0BB0">
              <w:rPr>
                <w:color w:val="000000"/>
                <w:sz w:val="20"/>
                <w:szCs w:val="20"/>
                <w:lang w:val="es-ES" w:eastAsia="en-CA"/>
              </w:rPr>
              <w:br/>
              <w:t>(</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09A06B87"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6A49C2BA"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2AC04B9D"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2E218B0C"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57E00A00"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48EC7625"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327D429B" w14:textId="77777777" w:rsidR="006F0BB0" w:rsidRPr="006F0BB0" w:rsidRDefault="006F0BB0" w:rsidP="007D1DBA">
            <w:pPr>
              <w:jc w:val="right"/>
              <w:rPr>
                <w:color w:val="000000"/>
                <w:sz w:val="20"/>
                <w:szCs w:val="20"/>
                <w:lang w:val="es-ES" w:eastAsia="en-CA"/>
              </w:rPr>
            </w:pPr>
          </w:p>
        </w:tc>
      </w:tr>
      <w:tr w:rsidR="006F0BB0" w:rsidRPr="00482916" w14:paraId="02D31A51"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2F18CF64" w14:textId="235B9F1A" w:rsidR="006F0BB0" w:rsidRPr="006F0BB0" w:rsidRDefault="006F0BB0" w:rsidP="007D1DBA">
            <w:pPr>
              <w:jc w:val="left"/>
              <w:rPr>
                <w:color w:val="000000"/>
                <w:sz w:val="20"/>
                <w:szCs w:val="20"/>
                <w:lang w:val="es-ES" w:eastAsia="en-CA"/>
              </w:rPr>
            </w:pPr>
            <w:r w:rsidRPr="006F0BB0">
              <w:rPr>
                <w:color w:val="000000"/>
                <w:sz w:val="20"/>
                <w:szCs w:val="20"/>
                <w:lang w:val="es-ES" w:eastAsia="en-CA"/>
              </w:rPr>
              <w:t>Gastos de apoyo al Organismo Cooperante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65D8FA2E"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5002A228"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1013C482"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616658E3"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2E6CD601"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205AC087"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5498BE8D" w14:textId="77777777" w:rsidR="006F0BB0" w:rsidRPr="006F0BB0" w:rsidRDefault="006F0BB0" w:rsidP="007D1DBA">
            <w:pPr>
              <w:jc w:val="right"/>
              <w:rPr>
                <w:color w:val="000000"/>
                <w:sz w:val="20"/>
                <w:szCs w:val="20"/>
                <w:lang w:val="es-ES" w:eastAsia="en-CA"/>
              </w:rPr>
            </w:pPr>
          </w:p>
        </w:tc>
      </w:tr>
      <w:tr w:rsidR="006F0BB0" w:rsidRPr="006F0BB0" w14:paraId="08C6B547"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77A548E6" w14:textId="72FCD1A8" w:rsidR="006F0BB0" w:rsidRPr="006F0BB0" w:rsidRDefault="006F0BB0" w:rsidP="007D1DBA">
            <w:pPr>
              <w:jc w:val="left"/>
              <w:rPr>
                <w:color w:val="000000"/>
                <w:sz w:val="20"/>
                <w:szCs w:val="20"/>
                <w:lang w:eastAsia="en-CA"/>
              </w:rPr>
            </w:pPr>
            <w:proofErr w:type="spellStart"/>
            <w:r w:rsidRPr="006F0BB0">
              <w:rPr>
                <w:color w:val="000000"/>
                <w:sz w:val="20"/>
                <w:szCs w:val="20"/>
                <w:lang w:eastAsia="en-CA"/>
              </w:rPr>
              <w:t>Financiación</w:t>
            </w:r>
            <w:proofErr w:type="spellEnd"/>
            <w:r w:rsidRPr="006F0BB0">
              <w:rPr>
                <w:color w:val="000000"/>
                <w:sz w:val="20"/>
                <w:szCs w:val="20"/>
                <w:lang w:eastAsia="en-CA"/>
              </w:rPr>
              <w:t xml:space="preserve"> total </w:t>
            </w:r>
            <w:proofErr w:type="spellStart"/>
            <w:r w:rsidRPr="006F0BB0">
              <w:rPr>
                <w:color w:val="000000"/>
                <w:sz w:val="20"/>
                <w:szCs w:val="20"/>
                <w:lang w:eastAsia="en-CA"/>
              </w:rPr>
              <w:t>propuesta</w:t>
            </w:r>
            <w:proofErr w:type="spellEnd"/>
            <w:r w:rsidRPr="006F0BB0">
              <w:rPr>
                <w:color w:val="000000"/>
                <w:sz w:val="20"/>
                <w:szCs w:val="20"/>
                <w:lang w:eastAsia="en-CA"/>
              </w:rPr>
              <w:t xml:space="preserve"> (</w:t>
            </w:r>
            <w:r w:rsidR="00333ADB">
              <w:rPr>
                <w:color w:val="000000"/>
                <w:sz w:val="20"/>
                <w:szCs w:val="20"/>
                <w:lang w:eastAsia="en-CA"/>
              </w:rPr>
              <w:t>$EUA</w:t>
            </w:r>
            <w:r w:rsidRPr="006F0BB0">
              <w:rPr>
                <w:color w:val="000000"/>
                <w:sz w:val="20"/>
                <w:szCs w:val="20"/>
                <w:lang w:eastAsia="en-CA"/>
              </w:rPr>
              <w:t>)</w:t>
            </w:r>
          </w:p>
        </w:tc>
        <w:tc>
          <w:tcPr>
            <w:tcW w:w="361" w:type="pct"/>
            <w:tcBorders>
              <w:top w:val="nil"/>
              <w:left w:val="nil"/>
              <w:bottom w:val="single" w:sz="4" w:space="0" w:color="auto"/>
              <w:right w:val="single" w:sz="4" w:space="0" w:color="auto"/>
            </w:tcBorders>
            <w:shd w:val="clear" w:color="auto" w:fill="FFFFFF" w:themeFill="background1"/>
          </w:tcPr>
          <w:p w14:paraId="1AEA9798" w14:textId="77777777" w:rsidR="006F0BB0" w:rsidRPr="006F0BB0" w:rsidRDefault="006F0BB0" w:rsidP="007D1DBA">
            <w:pPr>
              <w:jc w:val="right"/>
              <w:rPr>
                <w:color w:val="000000"/>
                <w:sz w:val="20"/>
                <w:szCs w:val="20"/>
                <w:lang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34C66C53" w14:textId="77777777" w:rsidR="006F0BB0" w:rsidRPr="006F0BB0" w:rsidRDefault="006F0BB0" w:rsidP="007D1DBA">
            <w:pPr>
              <w:jc w:val="right"/>
              <w:rPr>
                <w:color w:val="000000"/>
                <w:sz w:val="20"/>
                <w:szCs w:val="20"/>
                <w:lang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3B367848" w14:textId="77777777" w:rsidR="006F0BB0" w:rsidRPr="006F0BB0" w:rsidRDefault="006F0BB0" w:rsidP="007D1DBA">
            <w:pPr>
              <w:jc w:val="right"/>
              <w:rPr>
                <w:color w:val="000000"/>
                <w:sz w:val="20"/>
                <w:szCs w:val="20"/>
                <w:lang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33B12A9D" w14:textId="77777777" w:rsidR="006F0BB0" w:rsidRPr="006F0BB0" w:rsidRDefault="006F0BB0" w:rsidP="007D1DBA">
            <w:pPr>
              <w:jc w:val="right"/>
              <w:rPr>
                <w:color w:val="000000"/>
                <w:sz w:val="20"/>
                <w:szCs w:val="20"/>
                <w:lang w:eastAsia="en-CA"/>
              </w:rPr>
            </w:pPr>
          </w:p>
        </w:tc>
        <w:tc>
          <w:tcPr>
            <w:tcW w:w="340" w:type="pct"/>
            <w:tcBorders>
              <w:top w:val="nil"/>
              <w:left w:val="nil"/>
              <w:bottom w:val="single" w:sz="4" w:space="0" w:color="auto"/>
              <w:right w:val="single" w:sz="4" w:space="0" w:color="auto"/>
            </w:tcBorders>
            <w:shd w:val="clear" w:color="auto" w:fill="FFFFFF" w:themeFill="background1"/>
          </w:tcPr>
          <w:p w14:paraId="2EBC9550" w14:textId="77777777" w:rsidR="006F0BB0" w:rsidRPr="006F0BB0" w:rsidRDefault="006F0BB0" w:rsidP="007D1DBA">
            <w:pPr>
              <w:jc w:val="right"/>
              <w:rPr>
                <w:color w:val="000000"/>
                <w:sz w:val="20"/>
                <w:szCs w:val="20"/>
                <w:lang w:eastAsia="en-CA"/>
              </w:rPr>
            </w:pPr>
          </w:p>
        </w:tc>
        <w:tc>
          <w:tcPr>
            <w:tcW w:w="340" w:type="pct"/>
            <w:tcBorders>
              <w:top w:val="nil"/>
              <w:left w:val="nil"/>
              <w:bottom w:val="single" w:sz="4" w:space="0" w:color="auto"/>
              <w:right w:val="single" w:sz="4" w:space="0" w:color="auto"/>
            </w:tcBorders>
            <w:shd w:val="clear" w:color="auto" w:fill="FFFFFF" w:themeFill="background1"/>
          </w:tcPr>
          <w:p w14:paraId="13B8F475" w14:textId="77777777" w:rsidR="006F0BB0" w:rsidRPr="006F0BB0" w:rsidRDefault="006F0BB0" w:rsidP="007D1DBA">
            <w:pPr>
              <w:jc w:val="right"/>
              <w:rPr>
                <w:color w:val="000000"/>
                <w:sz w:val="20"/>
                <w:szCs w:val="20"/>
                <w:lang w:eastAsia="en-CA"/>
              </w:rPr>
            </w:pPr>
          </w:p>
        </w:tc>
        <w:tc>
          <w:tcPr>
            <w:tcW w:w="341" w:type="pct"/>
            <w:tcBorders>
              <w:top w:val="nil"/>
              <w:left w:val="nil"/>
              <w:bottom w:val="single" w:sz="4" w:space="0" w:color="auto"/>
              <w:right w:val="single" w:sz="4" w:space="0" w:color="auto"/>
            </w:tcBorders>
            <w:shd w:val="clear" w:color="auto" w:fill="FFFFFF" w:themeFill="background1"/>
          </w:tcPr>
          <w:p w14:paraId="3986F08A" w14:textId="77777777" w:rsidR="006F0BB0" w:rsidRPr="006F0BB0" w:rsidRDefault="006F0BB0" w:rsidP="007D1DBA">
            <w:pPr>
              <w:jc w:val="right"/>
              <w:rPr>
                <w:color w:val="000000"/>
                <w:sz w:val="20"/>
                <w:szCs w:val="20"/>
                <w:lang w:eastAsia="en-CA"/>
              </w:rPr>
            </w:pPr>
          </w:p>
        </w:tc>
      </w:tr>
      <w:tr w:rsidR="006F0BB0" w:rsidRPr="005A43F3" w14:paraId="405EB871"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4A2521C9" w14:textId="7F66CD70" w:rsidR="006F0BB0" w:rsidRPr="006F0BB0" w:rsidRDefault="006F0BB0" w:rsidP="007D1DBA">
            <w:pPr>
              <w:jc w:val="left"/>
              <w:rPr>
                <w:color w:val="000000"/>
                <w:sz w:val="20"/>
                <w:szCs w:val="20"/>
                <w:lang w:val="es-ES" w:eastAsia="en-CA"/>
              </w:rPr>
            </w:pPr>
            <w:r w:rsidRPr="006F0BB0">
              <w:rPr>
                <w:color w:val="000000"/>
                <w:sz w:val="20"/>
                <w:szCs w:val="20"/>
                <w:lang w:val="es-ES" w:eastAsia="en-CA"/>
              </w:rPr>
              <w:t>Total de gastos de apoyo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0D8DF051"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1949142B"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239766B4"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024BB9E5"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2E274A01"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344ECA9A"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4DBF564D" w14:textId="77777777" w:rsidR="006F0BB0" w:rsidRPr="006F0BB0" w:rsidRDefault="006F0BB0" w:rsidP="007D1DBA">
            <w:pPr>
              <w:jc w:val="right"/>
              <w:rPr>
                <w:color w:val="000000"/>
                <w:sz w:val="20"/>
                <w:szCs w:val="20"/>
                <w:lang w:val="es-ES" w:eastAsia="en-CA"/>
              </w:rPr>
            </w:pPr>
          </w:p>
        </w:tc>
      </w:tr>
      <w:tr w:rsidR="006F0BB0" w:rsidRPr="005A43F3" w14:paraId="39A20ED0" w14:textId="77777777" w:rsidTr="007D1DBA">
        <w:tc>
          <w:tcPr>
            <w:tcW w:w="2599" w:type="pct"/>
            <w:tcBorders>
              <w:top w:val="single" w:sz="4" w:space="0" w:color="auto"/>
              <w:left w:val="single" w:sz="4" w:space="0" w:color="auto"/>
              <w:bottom w:val="single" w:sz="4" w:space="0" w:color="auto"/>
              <w:right w:val="single" w:sz="4" w:space="0" w:color="auto"/>
            </w:tcBorders>
            <w:shd w:val="clear" w:color="auto" w:fill="FFFFFF" w:themeFill="background1"/>
          </w:tcPr>
          <w:p w14:paraId="0CD6932E" w14:textId="410E3629" w:rsidR="006F0BB0" w:rsidRPr="006F0BB0" w:rsidRDefault="006F0BB0" w:rsidP="007D1DBA">
            <w:pPr>
              <w:jc w:val="left"/>
              <w:rPr>
                <w:color w:val="000000"/>
                <w:sz w:val="20"/>
                <w:szCs w:val="20"/>
                <w:lang w:val="es-ES" w:eastAsia="en-CA"/>
              </w:rPr>
            </w:pPr>
            <w:r w:rsidRPr="006F0BB0">
              <w:rPr>
                <w:color w:val="000000"/>
                <w:sz w:val="20"/>
                <w:szCs w:val="20"/>
                <w:lang w:val="es-ES" w:eastAsia="en-CA"/>
              </w:rPr>
              <w:t>Total de gastos propuestos (</w:t>
            </w:r>
            <w:r w:rsidR="00333ADB">
              <w:rPr>
                <w:color w:val="000000"/>
                <w:sz w:val="20"/>
                <w:szCs w:val="20"/>
                <w:lang w:val="es-ES" w:eastAsia="en-CA"/>
              </w:rPr>
              <w:t>$EUA</w:t>
            </w:r>
            <w:r w:rsidRPr="006F0BB0">
              <w:rPr>
                <w:color w:val="000000"/>
                <w:sz w:val="20"/>
                <w:szCs w:val="20"/>
                <w:lang w:val="es-ES" w:eastAsia="en-CA"/>
              </w:rPr>
              <w:t>)</w:t>
            </w:r>
          </w:p>
        </w:tc>
        <w:tc>
          <w:tcPr>
            <w:tcW w:w="361" w:type="pct"/>
            <w:tcBorders>
              <w:top w:val="nil"/>
              <w:left w:val="nil"/>
              <w:bottom w:val="single" w:sz="4" w:space="0" w:color="auto"/>
              <w:right w:val="single" w:sz="4" w:space="0" w:color="auto"/>
            </w:tcBorders>
            <w:shd w:val="clear" w:color="auto" w:fill="FFFFFF" w:themeFill="background1"/>
          </w:tcPr>
          <w:p w14:paraId="1ED9142B"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nil"/>
              <w:bottom w:val="single" w:sz="4" w:space="0" w:color="auto"/>
              <w:right w:val="single" w:sz="4" w:space="0" w:color="auto"/>
            </w:tcBorders>
            <w:shd w:val="clear" w:color="auto" w:fill="FFFFFF" w:themeFill="background1"/>
          </w:tcPr>
          <w:p w14:paraId="08E781E7"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346F2AF3" w14:textId="77777777" w:rsidR="006F0BB0" w:rsidRPr="006F0BB0" w:rsidRDefault="006F0BB0" w:rsidP="007D1DBA">
            <w:pPr>
              <w:jc w:val="right"/>
              <w:rPr>
                <w:color w:val="000000"/>
                <w:sz w:val="20"/>
                <w:szCs w:val="20"/>
                <w:lang w:val="es-ES" w:eastAsia="en-CA"/>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tcPr>
          <w:p w14:paraId="27CF7050"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5C148434" w14:textId="77777777" w:rsidR="006F0BB0" w:rsidRPr="006F0BB0" w:rsidRDefault="006F0BB0" w:rsidP="007D1DBA">
            <w:pPr>
              <w:jc w:val="right"/>
              <w:rPr>
                <w:color w:val="000000"/>
                <w:sz w:val="20"/>
                <w:szCs w:val="20"/>
                <w:lang w:val="es-ES" w:eastAsia="en-CA"/>
              </w:rPr>
            </w:pPr>
          </w:p>
        </w:tc>
        <w:tc>
          <w:tcPr>
            <w:tcW w:w="340" w:type="pct"/>
            <w:tcBorders>
              <w:top w:val="nil"/>
              <w:left w:val="nil"/>
              <w:bottom w:val="single" w:sz="4" w:space="0" w:color="auto"/>
              <w:right w:val="single" w:sz="4" w:space="0" w:color="auto"/>
            </w:tcBorders>
            <w:shd w:val="clear" w:color="auto" w:fill="FFFFFF" w:themeFill="background1"/>
          </w:tcPr>
          <w:p w14:paraId="1A20A240" w14:textId="77777777" w:rsidR="006F0BB0" w:rsidRPr="006F0BB0" w:rsidRDefault="006F0BB0" w:rsidP="007D1DBA">
            <w:pPr>
              <w:jc w:val="right"/>
              <w:rPr>
                <w:color w:val="000000"/>
                <w:sz w:val="20"/>
                <w:szCs w:val="20"/>
                <w:lang w:val="es-ES" w:eastAsia="en-CA"/>
              </w:rPr>
            </w:pPr>
          </w:p>
        </w:tc>
        <w:tc>
          <w:tcPr>
            <w:tcW w:w="341" w:type="pct"/>
            <w:tcBorders>
              <w:top w:val="nil"/>
              <w:left w:val="nil"/>
              <w:bottom w:val="single" w:sz="4" w:space="0" w:color="auto"/>
              <w:right w:val="single" w:sz="4" w:space="0" w:color="auto"/>
            </w:tcBorders>
            <w:shd w:val="clear" w:color="auto" w:fill="FFFFFF" w:themeFill="background1"/>
          </w:tcPr>
          <w:p w14:paraId="70FD1F2E" w14:textId="77777777" w:rsidR="006F0BB0" w:rsidRPr="006F0BB0" w:rsidRDefault="006F0BB0" w:rsidP="007D1DBA">
            <w:pPr>
              <w:jc w:val="right"/>
              <w:rPr>
                <w:color w:val="000000"/>
                <w:sz w:val="20"/>
                <w:szCs w:val="20"/>
                <w:lang w:val="es-ES" w:eastAsia="en-CA"/>
              </w:rPr>
            </w:pPr>
          </w:p>
        </w:tc>
      </w:tr>
    </w:tbl>
    <w:p w14:paraId="191F1902" w14:textId="77777777" w:rsidR="006F0BB0" w:rsidRPr="006F0BB0" w:rsidRDefault="006F0BB0" w:rsidP="006F0BB0">
      <w:pPr>
        <w:pStyle w:val="StyleHeader4Para4Left0Firstline0"/>
        <w:numPr>
          <w:ilvl w:val="0"/>
          <w:numId w:val="0"/>
        </w:numPr>
        <w:spacing w:after="0"/>
        <w:jc w:val="left"/>
        <w:rPr>
          <w:sz w:val="22"/>
          <w:lang w:val="es-ES"/>
        </w:rPr>
      </w:pPr>
    </w:p>
    <w:p w14:paraId="31819A5B" w14:textId="77777777" w:rsidR="006F0BB0" w:rsidRPr="001C5BE6" w:rsidRDefault="006F0BB0" w:rsidP="006F0BB0">
      <w:pPr>
        <w:pStyle w:val="StyleHeader4Para4Left0Firstline0"/>
        <w:numPr>
          <w:ilvl w:val="0"/>
          <w:numId w:val="0"/>
        </w:numPr>
        <w:spacing w:after="0"/>
        <w:jc w:val="left"/>
        <w:rPr>
          <w:sz w:val="2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0BB0" w:rsidRPr="005A43F3" w14:paraId="7A3D93D3" w14:textId="77777777" w:rsidTr="007D1DBA">
        <w:tc>
          <w:tcPr>
            <w:tcW w:w="1870" w:type="dxa"/>
          </w:tcPr>
          <w:p w14:paraId="540B605C" w14:textId="77777777" w:rsidR="006F0BB0" w:rsidRPr="001C5BE6" w:rsidRDefault="006F0BB0" w:rsidP="007D1DBA">
            <w:pPr>
              <w:pStyle w:val="StyleHeader4Para4Left0Firstline0"/>
              <w:numPr>
                <w:ilvl w:val="0"/>
                <w:numId w:val="0"/>
              </w:numPr>
              <w:spacing w:after="0"/>
              <w:jc w:val="left"/>
              <w:rPr>
                <w:sz w:val="22"/>
                <w:lang w:val="es-ES"/>
              </w:rPr>
            </w:pPr>
          </w:p>
        </w:tc>
        <w:tc>
          <w:tcPr>
            <w:tcW w:w="1870" w:type="dxa"/>
          </w:tcPr>
          <w:p w14:paraId="537C9851" w14:textId="77777777" w:rsidR="006F0BB0" w:rsidRPr="001C5BE6" w:rsidRDefault="006F0BB0" w:rsidP="007D1DBA">
            <w:pPr>
              <w:pStyle w:val="StyleHeader4Para4Left0Firstline0"/>
              <w:numPr>
                <w:ilvl w:val="0"/>
                <w:numId w:val="0"/>
              </w:numPr>
              <w:spacing w:after="0"/>
              <w:jc w:val="left"/>
              <w:rPr>
                <w:sz w:val="22"/>
                <w:lang w:val="es-ES"/>
              </w:rPr>
            </w:pPr>
          </w:p>
        </w:tc>
        <w:tc>
          <w:tcPr>
            <w:tcW w:w="1870" w:type="dxa"/>
            <w:tcBorders>
              <w:bottom w:val="single" w:sz="2" w:space="0" w:color="auto"/>
            </w:tcBorders>
          </w:tcPr>
          <w:p w14:paraId="6DEC2EAB" w14:textId="77777777" w:rsidR="006F0BB0" w:rsidRPr="001C5BE6" w:rsidRDefault="006F0BB0" w:rsidP="007D1DBA">
            <w:pPr>
              <w:pStyle w:val="StyleHeader4Para4Left0Firstline0"/>
              <w:numPr>
                <w:ilvl w:val="0"/>
                <w:numId w:val="0"/>
              </w:numPr>
              <w:spacing w:after="0"/>
              <w:jc w:val="left"/>
              <w:rPr>
                <w:sz w:val="22"/>
                <w:lang w:val="es-ES"/>
              </w:rPr>
            </w:pPr>
          </w:p>
        </w:tc>
        <w:tc>
          <w:tcPr>
            <w:tcW w:w="1870" w:type="dxa"/>
          </w:tcPr>
          <w:p w14:paraId="18C74EC2" w14:textId="77777777" w:rsidR="006F0BB0" w:rsidRPr="001C5BE6" w:rsidRDefault="006F0BB0" w:rsidP="007D1DBA">
            <w:pPr>
              <w:pStyle w:val="StyleHeader4Para4Left0Firstline0"/>
              <w:numPr>
                <w:ilvl w:val="0"/>
                <w:numId w:val="0"/>
              </w:numPr>
              <w:spacing w:after="0"/>
              <w:jc w:val="left"/>
              <w:rPr>
                <w:sz w:val="22"/>
                <w:lang w:val="es-ES"/>
              </w:rPr>
            </w:pPr>
          </w:p>
        </w:tc>
        <w:tc>
          <w:tcPr>
            <w:tcW w:w="1870" w:type="dxa"/>
          </w:tcPr>
          <w:p w14:paraId="31252D0A" w14:textId="77777777" w:rsidR="006F0BB0" w:rsidRPr="001C5BE6" w:rsidRDefault="006F0BB0" w:rsidP="007D1DBA">
            <w:pPr>
              <w:pStyle w:val="StyleHeader4Para4Left0Firstline0"/>
              <w:numPr>
                <w:ilvl w:val="0"/>
                <w:numId w:val="0"/>
              </w:numPr>
              <w:spacing w:after="0"/>
              <w:jc w:val="left"/>
              <w:rPr>
                <w:sz w:val="22"/>
                <w:lang w:val="es-ES"/>
              </w:rPr>
            </w:pPr>
          </w:p>
        </w:tc>
      </w:tr>
    </w:tbl>
    <w:p w14:paraId="08AF5E89" w14:textId="77777777" w:rsidR="00DB1F86" w:rsidRPr="006F0BB0" w:rsidRDefault="00DB1F86" w:rsidP="006F0BB0">
      <w:pPr>
        <w:rPr>
          <w:lang w:val="es-419"/>
        </w:rPr>
      </w:pPr>
    </w:p>
    <w:sectPr w:rsidR="00DB1F86" w:rsidRPr="006F0BB0" w:rsidSect="004E4C43">
      <w:headerReference w:type="even" r:id="rId26"/>
      <w:headerReference w:type="default" r:id="rId27"/>
      <w:footerReference w:type="even" r:id="rId28"/>
      <w:footerReference w:type="default" r:id="rId29"/>
      <w:headerReference w:type="first" r:id="rId30"/>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4F88" w14:textId="77777777" w:rsidR="003D3030" w:rsidRDefault="003D3030">
      <w:r>
        <w:separator/>
      </w:r>
    </w:p>
  </w:endnote>
  <w:endnote w:type="continuationSeparator" w:id="0">
    <w:p w14:paraId="5AE53C1F" w14:textId="77777777" w:rsidR="003D3030" w:rsidRDefault="003D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53516"/>
      <w:docPartObj>
        <w:docPartGallery w:val="Page Numbers (Bottom of Page)"/>
        <w:docPartUnique/>
      </w:docPartObj>
    </w:sdtPr>
    <w:sdtEndPr>
      <w:rPr>
        <w:noProof/>
      </w:rPr>
    </w:sdtEndPr>
    <w:sdtContent>
      <w:p w14:paraId="5C713482" w14:textId="14B25350" w:rsidR="00532926" w:rsidRPr="00DB1F86" w:rsidRDefault="004E4C43" w:rsidP="004E4C43">
        <w:pPr>
          <w:pStyle w:val="Footer"/>
          <w:jc w:val="center"/>
        </w:pPr>
        <w:r>
          <w:fldChar w:fldCharType="begin"/>
        </w:r>
        <w:r>
          <w:instrText xml:space="preserve"> PAGE   \* MERGEFORMAT </w:instrText>
        </w:r>
        <w:r>
          <w:fldChar w:fldCharType="separate"/>
        </w:r>
        <w:r w:rsidR="00EB2CA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36256"/>
      <w:docPartObj>
        <w:docPartGallery w:val="Page Numbers (Bottom of Page)"/>
        <w:docPartUnique/>
      </w:docPartObj>
    </w:sdtPr>
    <w:sdtEndPr>
      <w:rPr>
        <w:noProof/>
      </w:rPr>
    </w:sdtEndPr>
    <w:sdtContent>
      <w:p w14:paraId="3930EF31" w14:textId="405BC420" w:rsidR="00532926" w:rsidRPr="00DB1F86" w:rsidRDefault="004E4C43" w:rsidP="004E4C43">
        <w:pPr>
          <w:pStyle w:val="Footer"/>
          <w:jc w:val="center"/>
        </w:pPr>
        <w:r>
          <w:fldChar w:fldCharType="begin"/>
        </w:r>
        <w:r>
          <w:instrText xml:space="preserve"> PAGE   \* MERGEFORMAT </w:instrText>
        </w:r>
        <w:r>
          <w:fldChar w:fldCharType="separate"/>
        </w:r>
        <w:r w:rsidR="00EB2CAE">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84BF" w14:textId="77777777" w:rsidR="00532926" w:rsidRPr="00A2155A" w:rsidRDefault="00532926" w:rsidP="00DB1F86">
    <w:pPr>
      <w:pBdr>
        <w:top w:val="single" w:sz="4" w:space="1" w:color="auto"/>
        <w:left w:val="single" w:sz="4" w:space="4" w:color="auto"/>
        <w:bottom w:val="single" w:sz="4" w:space="1" w:color="auto"/>
        <w:right w:val="single" w:sz="4" w:space="4" w:color="auto"/>
      </w:pBdr>
      <w:jc w:val="center"/>
      <w:rPr>
        <w:sz w:val="16"/>
        <w:szCs w:val="16"/>
        <w:lang w:val="es-ES"/>
      </w:rPr>
    </w:pPr>
    <w:r w:rsidRPr="00A2155A">
      <w:rPr>
        <w:sz w:val="16"/>
        <w:szCs w:val="16"/>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92815"/>
      <w:docPartObj>
        <w:docPartGallery w:val="Page Numbers (Bottom of Page)"/>
        <w:docPartUnique/>
      </w:docPartObj>
    </w:sdtPr>
    <w:sdtEndPr>
      <w:rPr>
        <w:noProof/>
      </w:rPr>
    </w:sdtEndPr>
    <w:sdtContent>
      <w:p w14:paraId="3959476A" w14:textId="03D1455A" w:rsidR="006F0BB0" w:rsidRPr="008A6DB6" w:rsidRDefault="006F0BB0" w:rsidP="006F0BB0">
        <w:pPr>
          <w:pStyle w:val="Footer"/>
          <w:jc w:val="center"/>
        </w:pPr>
        <w:r>
          <w:fldChar w:fldCharType="begin"/>
        </w:r>
        <w:r>
          <w:instrText xml:space="preserve"> PAGE   \* MERGEFORMAT </w:instrText>
        </w:r>
        <w:r>
          <w:fldChar w:fldCharType="separate"/>
        </w:r>
        <w:r w:rsidR="00EB2CAE">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52165"/>
      <w:docPartObj>
        <w:docPartGallery w:val="Page Numbers (Bottom of Page)"/>
        <w:docPartUnique/>
      </w:docPartObj>
    </w:sdtPr>
    <w:sdtEndPr>
      <w:rPr>
        <w:noProof/>
      </w:rPr>
    </w:sdtEndPr>
    <w:sdtContent>
      <w:p w14:paraId="418C75FD" w14:textId="0F86A7B7" w:rsidR="00A2155A" w:rsidRPr="00DB1F86" w:rsidRDefault="00A2155A" w:rsidP="004E4C43">
        <w:pPr>
          <w:pStyle w:val="Footer"/>
          <w:jc w:val="center"/>
        </w:pPr>
        <w:r>
          <w:fldChar w:fldCharType="begin"/>
        </w:r>
        <w:r>
          <w:instrText xml:space="preserve"> PAGE   \* MERGEFORMAT </w:instrText>
        </w:r>
        <w:r>
          <w:fldChar w:fldCharType="separate"/>
        </w:r>
        <w:r w:rsidR="00EB2CAE">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95597"/>
      <w:docPartObj>
        <w:docPartGallery w:val="Page Numbers (Bottom of Page)"/>
        <w:docPartUnique/>
      </w:docPartObj>
    </w:sdtPr>
    <w:sdtEndPr>
      <w:rPr>
        <w:noProof/>
      </w:rPr>
    </w:sdtEndPr>
    <w:sdtContent>
      <w:p w14:paraId="3E705EF7" w14:textId="544DF2BC" w:rsidR="00A2155A" w:rsidRPr="00DB1F86" w:rsidRDefault="00A2155A" w:rsidP="004E4C43">
        <w:pPr>
          <w:pStyle w:val="Footer"/>
          <w:jc w:val="center"/>
        </w:pPr>
        <w:r>
          <w:fldChar w:fldCharType="begin"/>
        </w:r>
        <w:r>
          <w:instrText xml:space="preserve"> PAGE   \* MERGEFORMAT </w:instrText>
        </w:r>
        <w:r>
          <w:fldChar w:fldCharType="separate"/>
        </w:r>
        <w:r w:rsidR="00EB2CAE">
          <w:rPr>
            <w:noProof/>
          </w:rPr>
          <w:t>3</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23021"/>
      <w:docPartObj>
        <w:docPartGallery w:val="Page Numbers (Bottom of Page)"/>
        <w:docPartUnique/>
      </w:docPartObj>
    </w:sdtPr>
    <w:sdtEndPr>
      <w:rPr>
        <w:noProof/>
      </w:rPr>
    </w:sdtEndPr>
    <w:sdtContent>
      <w:p w14:paraId="1A3C5734" w14:textId="10A31A84" w:rsidR="006F0BB0" w:rsidRPr="008A6DB6" w:rsidRDefault="006F0BB0" w:rsidP="006F0BB0">
        <w:pPr>
          <w:pStyle w:val="Footer"/>
          <w:jc w:val="center"/>
        </w:pPr>
        <w:r>
          <w:fldChar w:fldCharType="begin"/>
        </w:r>
        <w:r>
          <w:instrText xml:space="preserve"> PAGE   \* MERGEFORMAT </w:instrText>
        </w:r>
        <w:r>
          <w:fldChar w:fldCharType="separate"/>
        </w:r>
        <w:r w:rsidR="00EB2CAE">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68879"/>
      <w:docPartObj>
        <w:docPartGallery w:val="Page Numbers (Bottom of Page)"/>
        <w:docPartUnique/>
      </w:docPartObj>
    </w:sdtPr>
    <w:sdtEndPr>
      <w:rPr>
        <w:noProof/>
      </w:rPr>
    </w:sdtEndPr>
    <w:sdtContent>
      <w:p w14:paraId="68C9A4B6" w14:textId="175F9833" w:rsidR="00A2155A" w:rsidRPr="00DB1F86" w:rsidRDefault="00A2155A" w:rsidP="004E4C43">
        <w:pPr>
          <w:pStyle w:val="Footer"/>
          <w:jc w:val="center"/>
        </w:pPr>
        <w:r>
          <w:fldChar w:fldCharType="begin"/>
        </w:r>
        <w:r>
          <w:instrText xml:space="preserve"> PAGE   \* MERGEFORMAT </w:instrText>
        </w:r>
        <w:r>
          <w:fldChar w:fldCharType="separate"/>
        </w:r>
        <w:r w:rsidR="00EB2CAE">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6651"/>
      <w:docPartObj>
        <w:docPartGallery w:val="Page Numbers (Bottom of Page)"/>
        <w:docPartUnique/>
      </w:docPartObj>
    </w:sdtPr>
    <w:sdtEndPr>
      <w:rPr>
        <w:noProof/>
      </w:rPr>
    </w:sdtEndPr>
    <w:sdtContent>
      <w:p w14:paraId="70E54D74" w14:textId="05E7D1AF" w:rsidR="004E4C43" w:rsidRPr="00DB1F86" w:rsidRDefault="004E4C43" w:rsidP="004E4C43">
        <w:pPr>
          <w:pStyle w:val="Footer"/>
          <w:jc w:val="center"/>
        </w:pPr>
        <w:r>
          <w:fldChar w:fldCharType="begin"/>
        </w:r>
        <w:r>
          <w:instrText xml:space="preserve"> PAGE   \* MERGEFORMAT </w:instrText>
        </w:r>
        <w:r>
          <w:fldChar w:fldCharType="separate"/>
        </w:r>
        <w:r w:rsidR="00EB2C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0F87F" w14:textId="77777777" w:rsidR="003D3030" w:rsidRDefault="003D3030">
      <w:r>
        <w:separator/>
      </w:r>
    </w:p>
  </w:footnote>
  <w:footnote w:type="continuationSeparator" w:id="0">
    <w:p w14:paraId="0A0791FC" w14:textId="77777777" w:rsidR="003D3030" w:rsidRDefault="003D3030">
      <w:r>
        <w:continuationSeparator/>
      </w:r>
    </w:p>
  </w:footnote>
  <w:footnote w:id="1">
    <w:p w14:paraId="4D075E1B" w14:textId="6F05F67A" w:rsidR="00F55F80" w:rsidRPr="005A43F3" w:rsidRDefault="00F55F80" w:rsidP="00F55F80">
      <w:pPr>
        <w:pStyle w:val="FootnoteText"/>
        <w:rPr>
          <w:lang w:val="es-MX"/>
        </w:rPr>
      </w:pPr>
      <w:r>
        <w:rPr>
          <w:rStyle w:val="FootnoteReference"/>
        </w:rPr>
        <w:footnoteRef/>
      </w:r>
      <w:r w:rsidRPr="00064429">
        <w:rPr>
          <w:lang w:val="es-AR"/>
        </w:rPr>
        <w:t xml:space="preserve"> </w:t>
      </w:r>
      <w:r w:rsidRPr="008D6A1A">
        <w:rPr>
          <w:lang w:val="es-MX"/>
        </w:rPr>
        <w:t>En junio y julio de 2021 se celebrarán reunion</w:t>
      </w:r>
      <w:r>
        <w:rPr>
          <w:lang w:val="es-MX"/>
        </w:rPr>
        <w:t>e</w:t>
      </w:r>
      <w:r w:rsidRPr="008D6A1A">
        <w:rPr>
          <w:lang w:val="es-MX"/>
        </w:rPr>
        <w:t xml:space="preserve">s en </w:t>
      </w:r>
      <w:r>
        <w:rPr>
          <w:lang w:val="es-MX"/>
        </w:rPr>
        <w:t>línea y se llevará a cabo el proceso de aprobación entre períodos de sesiones, debido al coronavirus (COVID-19).</w:t>
      </w:r>
    </w:p>
  </w:footnote>
  <w:footnote w:id="2">
    <w:p w14:paraId="16619220" w14:textId="77777777" w:rsidR="00D420E0" w:rsidRPr="00D420E0" w:rsidRDefault="00D420E0" w:rsidP="00D420E0">
      <w:pPr>
        <w:pStyle w:val="FootnoteText"/>
        <w:rPr>
          <w:lang w:val="es-419"/>
        </w:rPr>
      </w:pPr>
      <w:r>
        <w:rPr>
          <w:rStyle w:val="FootnoteReference"/>
        </w:rPr>
        <w:footnoteRef/>
      </w:r>
      <w:r w:rsidRPr="00D420E0">
        <w:rPr>
          <w:lang w:val="es-419"/>
        </w:rPr>
        <w:t xml:space="preserve"> La cuestión figura en los apartados 16 a 20 del documento UNEP/OzL.Pro/ExCom/84/32, "Reseña de las cuestiones identificadas durante el examen de proyectos".</w:t>
      </w:r>
    </w:p>
  </w:footnote>
  <w:footnote w:id="3">
    <w:p w14:paraId="3AC72864" w14:textId="069EF1D4" w:rsidR="00A2155A" w:rsidRPr="00D420E0" w:rsidRDefault="00D420E0" w:rsidP="00D420E0">
      <w:pPr>
        <w:pStyle w:val="FootnoteText"/>
        <w:rPr>
          <w:lang w:val="es-419"/>
        </w:rPr>
      </w:pPr>
      <w:r>
        <w:rPr>
          <w:rStyle w:val="FootnoteReference"/>
        </w:rPr>
        <w:footnoteRef/>
      </w:r>
      <w:r w:rsidRPr="00D420E0">
        <w:rPr>
          <w:lang w:val="es-419"/>
        </w:rPr>
        <w:t xml:space="preserve"> UNEP/OzL.Pro/ExCom/84/65</w:t>
      </w:r>
    </w:p>
  </w:footnote>
  <w:footnote w:id="4">
    <w:p w14:paraId="158B5B03" w14:textId="6E0ADD05" w:rsidR="00D420E0" w:rsidRPr="00D420E0" w:rsidRDefault="00D420E0" w:rsidP="00D420E0">
      <w:pPr>
        <w:pStyle w:val="FootnoteText"/>
        <w:rPr>
          <w:lang w:val="es-419"/>
        </w:rPr>
      </w:pPr>
      <w:r>
        <w:rPr>
          <w:rStyle w:val="FootnoteReference"/>
        </w:rPr>
        <w:footnoteRef/>
      </w:r>
      <w:r w:rsidRPr="00D420E0">
        <w:rPr>
          <w:lang w:val="es-419"/>
        </w:rPr>
        <w:t xml:space="preserve"> El presente documento debería haberse presentado a la 85ª reunión</w:t>
      </w:r>
      <w:r w:rsidR="00F55F80">
        <w:rPr>
          <w:lang w:val="es-419"/>
        </w:rPr>
        <w:t xml:space="preserve">; el examen del documento se difirió a la 87ª reunión, de conformidad con los procedimientos acordados de celebrar las reuniones </w:t>
      </w:r>
      <w:r w:rsidRPr="00D420E0">
        <w:rPr>
          <w:lang w:val="es-419"/>
        </w:rPr>
        <w:t>85ª </w:t>
      </w:r>
      <w:r w:rsidR="00F55F80">
        <w:rPr>
          <w:lang w:val="es-419"/>
        </w:rPr>
        <w:t>y</w:t>
      </w:r>
      <w:r w:rsidRPr="00D420E0">
        <w:rPr>
          <w:lang w:val="es-419"/>
        </w:rPr>
        <w:t xml:space="preserve"> 86ª </w:t>
      </w:r>
      <w:r w:rsidR="00F55F80">
        <w:rPr>
          <w:lang w:val="es-419"/>
        </w:rPr>
        <w:t>en vista de la pandemia del COVID-19</w:t>
      </w:r>
      <w:r w:rsidRPr="00D420E0">
        <w:rPr>
          <w:lang w:val="es-419"/>
        </w:rPr>
        <w:t>.</w:t>
      </w:r>
    </w:p>
  </w:footnote>
  <w:footnote w:id="5">
    <w:p w14:paraId="1E2F484D"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UNEP/OzL.Pro/ExCom/84/65</w:t>
      </w:r>
    </w:p>
  </w:footnote>
  <w:footnote w:id="6">
    <w:p w14:paraId="16F56D05" w14:textId="77777777" w:rsidR="00D420E0" w:rsidRPr="00D420E0" w:rsidRDefault="00D420E0" w:rsidP="00D420E0">
      <w:pPr>
        <w:pStyle w:val="FootnoteText"/>
        <w:rPr>
          <w:lang w:val="es-419"/>
        </w:rPr>
      </w:pPr>
      <w:r>
        <w:rPr>
          <w:rStyle w:val="FootnoteReference"/>
        </w:rPr>
        <w:footnoteRef/>
      </w:r>
      <w:r w:rsidRPr="00D420E0">
        <w:rPr>
          <w:lang w:val="es-419"/>
        </w:rPr>
        <w:t xml:space="preserve"> Durante las discusiones sobre el documento UNEP/OzL.Pro/ExCom/84/65, los miembros del Comité destacaron las posibles sinergias en la eliminación de los HCFC y la reducción de los HFC en el sector de servicio de equipos de refrigeración, al tiempo que señalaron oportunidades en los sectores de fabricación de espumas, equipos de aire acondicionado para habitación, refrigeración comercial y enfriadores; y también expresaron su interés en seguir deliberando sobre formas de apoyar un enfoque de costo a eficacia para las actividades de eliminación de los HCFC y de reducción de los HFC.</w:t>
      </w:r>
    </w:p>
  </w:footnote>
  <w:footnote w:id="7">
    <w:p w14:paraId="60641163"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UNEP/OzL.Pro/ExCom/86/88</w:t>
      </w:r>
    </w:p>
  </w:footnote>
  <w:footnote w:id="8">
    <w:p w14:paraId="5958A3B8" w14:textId="7F735419" w:rsidR="00F06FCD" w:rsidRPr="00F06FCD" w:rsidRDefault="00F06FCD" w:rsidP="00F06FCD">
      <w:pPr>
        <w:pStyle w:val="FootnoteText"/>
        <w:rPr>
          <w:lang w:val="es-419"/>
        </w:rPr>
      </w:pPr>
      <w:r w:rsidRPr="00C30398">
        <w:rPr>
          <w:rStyle w:val="FootnoteReference"/>
        </w:rPr>
        <w:footnoteRef/>
      </w:r>
      <w:r w:rsidRPr="00F06FCD">
        <w:rPr>
          <w:lang w:val="es-419"/>
        </w:rPr>
        <w:t xml:space="preserve"> En su 86</w:t>
      </w:r>
      <w:r w:rsidRPr="00F06FCD">
        <w:rPr>
          <w:vertAlign w:val="superscript"/>
          <w:lang w:val="es-419"/>
        </w:rPr>
        <w:t>a</w:t>
      </w:r>
      <w:r w:rsidRPr="00F06FCD">
        <w:rPr>
          <w:lang w:val="es-419"/>
        </w:rPr>
        <w:t xml:space="preserve"> reu</w:t>
      </w:r>
      <w:r>
        <w:rPr>
          <w:lang w:val="es-419"/>
        </w:rPr>
        <w:t>n</w:t>
      </w:r>
      <w:r w:rsidRPr="00F06FCD">
        <w:rPr>
          <w:lang w:val="es-419"/>
        </w:rPr>
        <w:t xml:space="preserve">ión, el Comité Ejecutivo trató el </w:t>
      </w:r>
      <w:r w:rsidR="00D36C8A">
        <w:rPr>
          <w:lang w:val="es-419"/>
        </w:rPr>
        <w:t>p</w:t>
      </w:r>
      <w:r w:rsidRPr="00F06FCD">
        <w:rPr>
          <w:lang w:val="es-419"/>
        </w:rPr>
        <w:t xml:space="preserve">royecto de directrices primero en </w:t>
      </w:r>
      <w:r>
        <w:rPr>
          <w:lang w:val="es-419"/>
        </w:rPr>
        <w:t>la sesión plenaria y luego en las reuniones del grupo de contacto</w:t>
      </w:r>
      <w:r w:rsidRPr="00F06FCD">
        <w:rPr>
          <w:lang w:val="es-419"/>
        </w:rPr>
        <w:t>. Dado que dicho grupo no pudo concluir sus deliberaciones, el Comité Ejecutivo decidió continuar examinando en su 86</w:t>
      </w:r>
      <w:r w:rsidRPr="00F06FCD">
        <w:rPr>
          <w:vertAlign w:val="superscript"/>
          <w:lang w:val="es-419"/>
        </w:rPr>
        <w:t>a</w:t>
      </w:r>
      <w:r w:rsidRPr="00F06FCD">
        <w:rPr>
          <w:lang w:val="es-419"/>
        </w:rPr>
        <w:t xml:space="preserve"> reun</w:t>
      </w:r>
      <w:r>
        <w:rPr>
          <w:lang w:val="es-419"/>
        </w:rPr>
        <w:t>ión</w:t>
      </w:r>
      <w:r w:rsidRPr="00F06FCD">
        <w:rPr>
          <w:lang w:val="es-419"/>
        </w:rPr>
        <w:t xml:space="preserve"> el proyecto de directrices para la preparación de los planes de reducción de los HFC </w:t>
      </w:r>
      <w:r>
        <w:rPr>
          <w:lang w:val="es-419"/>
        </w:rPr>
        <w:t xml:space="preserve">para los países que están al amparo del Artículo </w:t>
      </w:r>
      <w:r w:rsidRPr="00F06FCD">
        <w:rPr>
          <w:lang w:val="es-419"/>
        </w:rPr>
        <w:t xml:space="preserve">5, </w:t>
      </w:r>
      <w:r>
        <w:rPr>
          <w:lang w:val="es-419"/>
        </w:rPr>
        <w:t xml:space="preserve">basándose en el documento preparado por el grupo de contacto que se formó en la </w:t>
      </w:r>
      <w:r w:rsidRPr="00F06FCD">
        <w:rPr>
          <w:lang w:val="es-419"/>
        </w:rPr>
        <w:t>86</w:t>
      </w:r>
      <w:r w:rsidRPr="00F06FCD">
        <w:rPr>
          <w:vertAlign w:val="superscript"/>
          <w:lang w:val="es-419"/>
        </w:rPr>
        <w:t>a</w:t>
      </w:r>
      <w:r w:rsidRPr="00F06FCD">
        <w:rPr>
          <w:lang w:val="es-419"/>
        </w:rPr>
        <w:t xml:space="preserve"> </w:t>
      </w:r>
      <w:r>
        <w:rPr>
          <w:lang w:val="es-419"/>
        </w:rPr>
        <w:t>reunión</w:t>
      </w:r>
      <w:r w:rsidRPr="00F06FCD">
        <w:rPr>
          <w:lang w:val="es-419"/>
        </w:rPr>
        <w:t xml:space="preserve">, </w:t>
      </w:r>
      <w:r>
        <w:rPr>
          <w:lang w:val="es-419"/>
        </w:rPr>
        <w:t xml:space="preserve">tal como figura en el </w:t>
      </w:r>
      <w:r w:rsidRPr="00F06FCD">
        <w:rPr>
          <w:lang w:val="es-419"/>
        </w:rPr>
        <w:t>Anex</w:t>
      </w:r>
      <w:r>
        <w:rPr>
          <w:lang w:val="es-419"/>
        </w:rPr>
        <w:t>o</w:t>
      </w:r>
      <w:r w:rsidRPr="00F06FCD">
        <w:rPr>
          <w:lang w:val="es-419"/>
        </w:rPr>
        <w:t xml:space="preserve"> XLVII </w:t>
      </w:r>
      <w:r>
        <w:rPr>
          <w:lang w:val="es-419"/>
        </w:rPr>
        <w:t xml:space="preserve">del informe de la </w:t>
      </w:r>
      <w:r w:rsidRPr="00F06FCD">
        <w:rPr>
          <w:lang w:val="es-419"/>
        </w:rPr>
        <w:t>86</w:t>
      </w:r>
      <w:r w:rsidRPr="00F06FCD">
        <w:rPr>
          <w:vertAlign w:val="superscript"/>
          <w:lang w:val="es-419"/>
        </w:rPr>
        <w:t>a</w:t>
      </w:r>
      <w:r w:rsidRPr="00F06FCD">
        <w:rPr>
          <w:lang w:val="es-419"/>
        </w:rPr>
        <w:t xml:space="preserve"> </w:t>
      </w:r>
      <w:r>
        <w:rPr>
          <w:lang w:val="es-419"/>
        </w:rPr>
        <w:t>reunión</w:t>
      </w:r>
      <w:r w:rsidRPr="00F06FCD">
        <w:rPr>
          <w:lang w:val="es-419"/>
        </w:rPr>
        <w:t xml:space="preserve"> (decisi</w:t>
      </w:r>
      <w:r w:rsidR="004079DE">
        <w:rPr>
          <w:lang w:val="es-419"/>
        </w:rPr>
        <w:t>ó</w:t>
      </w:r>
      <w:r w:rsidRPr="00F06FCD">
        <w:rPr>
          <w:lang w:val="es-419"/>
        </w:rPr>
        <w:t>n 86/93). El document</w:t>
      </w:r>
      <w:r w:rsidR="004079DE">
        <w:rPr>
          <w:lang w:val="es-419"/>
        </w:rPr>
        <w:t>o</w:t>
      </w:r>
      <w:r w:rsidRPr="00F06FCD">
        <w:rPr>
          <w:lang w:val="es-419"/>
        </w:rPr>
        <w:t xml:space="preserve"> con el proyecto de directrices se presenta a la 87</w:t>
      </w:r>
      <w:r w:rsidRPr="00F06FCD">
        <w:rPr>
          <w:vertAlign w:val="superscript"/>
          <w:lang w:val="es-419"/>
        </w:rPr>
        <w:t>a</w:t>
      </w:r>
      <w:r w:rsidRPr="00F06FCD">
        <w:rPr>
          <w:lang w:val="es-419"/>
        </w:rPr>
        <w:t xml:space="preserve"> reunión (UNEP/OzL.Pro/ExCom/87/46) e inclu</w:t>
      </w:r>
      <w:r w:rsidR="004079DE">
        <w:rPr>
          <w:lang w:val="es-419"/>
        </w:rPr>
        <w:t>ye</w:t>
      </w:r>
      <w:r w:rsidRPr="00F06FCD">
        <w:rPr>
          <w:lang w:val="es-419"/>
        </w:rPr>
        <w:t xml:space="preserve">, entre otras cosas, </w:t>
      </w:r>
      <w:r>
        <w:rPr>
          <w:lang w:val="es-419"/>
        </w:rPr>
        <w:t xml:space="preserve">las deliberaciones del Comité Ejecutivo </w:t>
      </w:r>
      <w:r w:rsidR="004079DE">
        <w:rPr>
          <w:lang w:val="es-419"/>
        </w:rPr>
        <w:t xml:space="preserve">en su </w:t>
      </w:r>
      <w:r w:rsidR="004079DE" w:rsidRPr="00F06FCD">
        <w:rPr>
          <w:lang w:val="es-419"/>
        </w:rPr>
        <w:t>86</w:t>
      </w:r>
      <w:r w:rsidR="004079DE" w:rsidRPr="00F06FCD">
        <w:rPr>
          <w:vertAlign w:val="superscript"/>
          <w:lang w:val="es-419"/>
        </w:rPr>
        <w:t>a</w:t>
      </w:r>
      <w:r w:rsidR="004079DE" w:rsidRPr="00F06FCD">
        <w:rPr>
          <w:lang w:val="es-419"/>
        </w:rPr>
        <w:t xml:space="preserve"> </w:t>
      </w:r>
      <w:r w:rsidR="004079DE">
        <w:rPr>
          <w:lang w:val="es-419"/>
        </w:rPr>
        <w:t xml:space="preserve">reunión </w:t>
      </w:r>
      <w:r>
        <w:rPr>
          <w:lang w:val="es-419"/>
        </w:rPr>
        <w:t xml:space="preserve">sobre la </w:t>
      </w:r>
      <w:r w:rsidR="004079DE">
        <w:rPr>
          <w:lang w:val="es-419"/>
        </w:rPr>
        <w:t>cuestión</w:t>
      </w:r>
      <w:r w:rsidRPr="00F06FCD">
        <w:rPr>
          <w:lang w:val="es-419"/>
        </w:rPr>
        <w:t>.</w:t>
      </w:r>
    </w:p>
  </w:footnote>
  <w:footnote w:id="9">
    <w:p w14:paraId="79FBE21F"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UNEP/OzL.Pro/ExCom/78/6</w:t>
      </w:r>
    </w:p>
  </w:footnote>
  <w:footnote w:id="10">
    <w:p w14:paraId="4F1EB353"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UNEP/OzL.Pro/ExCom/82/64</w:t>
      </w:r>
    </w:p>
  </w:footnote>
  <w:footnote w:id="11">
    <w:p w14:paraId="67D25EED" w14:textId="357D2DE2" w:rsidR="00D420E0" w:rsidRPr="00D420E0" w:rsidRDefault="00D420E0" w:rsidP="00D420E0">
      <w:pPr>
        <w:pStyle w:val="FootnoteText"/>
        <w:rPr>
          <w:lang w:val="es-419"/>
        </w:rPr>
      </w:pPr>
      <w:r>
        <w:rPr>
          <w:rStyle w:val="FootnoteReference"/>
        </w:rPr>
        <w:footnoteRef/>
      </w:r>
      <w:r w:rsidRPr="00D420E0">
        <w:rPr>
          <w:lang w:val="es-419"/>
        </w:rPr>
        <w:t xml:space="preserve"> UNEP/OzL.Pro/ExCom/86/89</w:t>
      </w:r>
      <w:r w:rsidR="005B3D94">
        <w:rPr>
          <w:lang w:val="es-419"/>
        </w:rPr>
        <w:t xml:space="preserve">, vuelto a presentar en la </w:t>
      </w:r>
      <w:r w:rsidR="005B3D94" w:rsidRPr="00F06FCD">
        <w:rPr>
          <w:lang w:val="es-419"/>
        </w:rPr>
        <w:t>8</w:t>
      </w:r>
      <w:r w:rsidR="005B3D94">
        <w:rPr>
          <w:lang w:val="es-419"/>
        </w:rPr>
        <w:t>7</w:t>
      </w:r>
      <w:r w:rsidR="005B3D94" w:rsidRPr="00F06FCD">
        <w:rPr>
          <w:vertAlign w:val="superscript"/>
          <w:lang w:val="es-419"/>
        </w:rPr>
        <w:t>a</w:t>
      </w:r>
      <w:r w:rsidR="005B3D94" w:rsidRPr="00F06FCD">
        <w:rPr>
          <w:lang w:val="es-419"/>
        </w:rPr>
        <w:t xml:space="preserve"> </w:t>
      </w:r>
      <w:r w:rsidR="005B3D94">
        <w:rPr>
          <w:lang w:val="es-419"/>
        </w:rPr>
        <w:t xml:space="preserve">reunión como documento </w:t>
      </w:r>
      <w:r w:rsidR="005B3D94" w:rsidRPr="00D420E0">
        <w:rPr>
          <w:lang w:val="es-419"/>
        </w:rPr>
        <w:t>UNEP/OzL.Pro/ExCom/8</w:t>
      </w:r>
      <w:r w:rsidR="005B3D94">
        <w:rPr>
          <w:lang w:val="es-419"/>
        </w:rPr>
        <w:t>7</w:t>
      </w:r>
      <w:r w:rsidR="005B3D94" w:rsidRPr="00D420E0">
        <w:rPr>
          <w:lang w:val="es-419"/>
        </w:rPr>
        <w:t>/</w:t>
      </w:r>
      <w:r w:rsidR="005B3D94">
        <w:rPr>
          <w:lang w:val="es-419"/>
        </w:rPr>
        <w:t>47</w:t>
      </w:r>
    </w:p>
  </w:footnote>
  <w:footnote w:id="12">
    <w:p w14:paraId="0C9099E5"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UNEP/OzL.Pro/ExCom/82/66</w:t>
      </w:r>
    </w:p>
  </w:footnote>
  <w:footnote w:id="13">
    <w:p w14:paraId="226C99F8"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UNEP/OzL.Pro/ExCom/86/8</w:t>
      </w:r>
    </w:p>
  </w:footnote>
  <w:footnote w:id="14">
    <w:p w14:paraId="3B5B8647" w14:textId="77777777" w:rsidR="00D420E0" w:rsidRPr="00D420E0" w:rsidRDefault="00D420E0" w:rsidP="00D420E0">
      <w:pPr>
        <w:pStyle w:val="FootnoteText"/>
        <w:rPr>
          <w:lang w:val="es-419"/>
        </w:rPr>
      </w:pPr>
      <w:r>
        <w:rPr>
          <w:rStyle w:val="FootnoteReference"/>
        </w:rPr>
        <w:footnoteRef/>
      </w:r>
      <w:r w:rsidRPr="00D420E0">
        <w:rPr>
          <w:lang w:val="es-419"/>
        </w:rPr>
        <w:t xml:space="preserve"> En su 74ª reunión, el Comité Ejecutivo acordó las modalidades de financiación para realizar encuestas nacionales sobre alternativas a las SAO, aprobó las solicitudes de financiación de encuestas de alternativas a las SAO presentadas a dicha reunión por los países que operan al amparo del Artículo 5, y permitió la presentación de solicitudes de financiación para encuestas de países que no habían presentado una solicitud a la 74ª reunión (decisión 74/53).</w:t>
      </w:r>
    </w:p>
  </w:footnote>
  <w:footnote w:id="15">
    <w:p w14:paraId="413B1AB3"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UNEP/OzL.Pro/ExCom/80/54</w:t>
      </w:r>
    </w:p>
  </w:footnote>
  <w:footnote w:id="16">
    <w:p w14:paraId="137C14C1" w14:textId="77777777" w:rsidR="00D420E0" w:rsidRPr="00D420E0" w:rsidRDefault="00D420E0" w:rsidP="00D420E0">
      <w:pPr>
        <w:pStyle w:val="FootnoteText"/>
        <w:rPr>
          <w:lang w:val="es-419"/>
        </w:rPr>
      </w:pPr>
      <w:r>
        <w:rPr>
          <w:rStyle w:val="FootnoteReference"/>
        </w:rPr>
        <w:footnoteRef/>
      </w:r>
      <w:r w:rsidRPr="00D420E0">
        <w:rPr>
          <w:lang w:val="es-419"/>
        </w:rPr>
        <w:t xml:space="preserve"> UNEP/OzL.Pro/ExCom/79/47</w:t>
      </w:r>
    </w:p>
  </w:footnote>
  <w:footnote w:id="17">
    <w:p w14:paraId="1A34EDC8" w14:textId="77777777" w:rsidR="00D420E0" w:rsidRPr="00D420E0" w:rsidRDefault="00D420E0" w:rsidP="00D420E0">
      <w:pPr>
        <w:pStyle w:val="FootnoteText"/>
        <w:rPr>
          <w:lang w:val="es-419"/>
        </w:rPr>
      </w:pPr>
      <w:r>
        <w:rPr>
          <w:rStyle w:val="FootnoteReference"/>
        </w:rPr>
        <w:footnoteRef/>
      </w:r>
      <w:r w:rsidRPr="00D420E0">
        <w:rPr>
          <w:lang w:val="es-419"/>
        </w:rPr>
        <w:t xml:space="preserve"> Estas actividades incluyen, entre otras cosas, actividades específicas del país destinadas a facilitar los acuerdos institucionales, la revisión de los sistemas de otorgamiento de licencias, la presentación de datos sobre el consumo y la producción de HFC, y la demostración de actividades sin inversión; el desarrollo y la aplicación de políticas y reglamentaciones para evitar la penetración en el mercado de equipos de refrigeración, aire acondicionado y bombas de calor con baja eficiencia energética; la promoción del acceso a tecnologías con alta eficiencia energética en dichos sectores; y la capacitación específica sobre certificación, seguridad y normas, la sensibilización y la creación de capacidad destinadas a mantener y mejorar la eficiencia energética.</w:t>
      </w:r>
    </w:p>
  </w:footnote>
  <w:footnote w:id="18">
    <w:p w14:paraId="7B92D7F0" w14:textId="77777777" w:rsidR="00D420E0" w:rsidRPr="00D420E0" w:rsidRDefault="00D420E0" w:rsidP="00D420E0">
      <w:pPr>
        <w:pStyle w:val="FootnoteText"/>
        <w:rPr>
          <w:lang w:val="es-419"/>
        </w:rPr>
      </w:pPr>
      <w:r>
        <w:rPr>
          <w:rStyle w:val="FootnoteReference"/>
        </w:rPr>
        <w:footnoteRef/>
      </w:r>
      <w:r w:rsidRPr="00D420E0">
        <w:rPr>
          <w:lang w:val="es-419"/>
        </w:rPr>
        <w:t xml:space="preserve"> Las encuestas sobre alternativas a las SAO elaboradas en 119 países que operan al amparo del Artículo 5 ofrecen información preliminar sobre sus niveles de consumo de HFC para los años 2012-2015.</w:t>
      </w:r>
    </w:p>
  </w:footnote>
  <w:footnote w:id="19">
    <w:p w14:paraId="06829AD8" w14:textId="1D5EFA88" w:rsidR="00532926" w:rsidRPr="002300DB" w:rsidRDefault="00532926" w:rsidP="00DB1F86">
      <w:pPr>
        <w:pStyle w:val="FootnoteText"/>
        <w:rPr>
          <w:lang w:val="es-MX"/>
        </w:rPr>
      </w:pPr>
      <w:r w:rsidRPr="001160D6">
        <w:rPr>
          <w:rStyle w:val="FootnoteReference"/>
        </w:rPr>
        <w:footnoteRef/>
      </w:r>
      <w:r w:rsidRPr="001160D6">
        <w:rPr>
          <w:lang w:val="es-MX"/>
        </w:rPr>
        <w:t xml:space="preserve"> Como se explica en el documento UNEP/OzL.Pro/ExCom/84/65, conforme a las modalidades de ejecución del Fondo Multilateral, a efectos del presente documento, ejecución "paralela" se refiere a las actividades de reducción de HFC que deberán ejecutarse simultáneamente con las actividades de eliminación de los HCFC en curso</w:t>
      </w:r>
      <w:r w:rsidR="00C41F17" w:rsidRPr="001160D6">
        <w:rPr>
          <w:lang w:val="es-MX"/>
        </w:rPr>
        <w:t>,</w:t>
      </w:r>
      <w:r w:rsidRPr="001160D6">
        <w:rPr>
          <w:lang w:val="es-MX"/>
        </w:rPr>
        <w:t xml:space="preserve"> con acciones separadas y a veces con partes interesadas diversas. Por otra parte, ejecución "integrada" se refiere a las actividades de reducción de HFC que se pueden incorporar en las actividades de eliminación de los HCFC en curso o planeadas, compartiendo acciones específicas y con partes interesadas comunes.</w:t>
      </w:r>
    </w:p>
  </w:footnote>
  <w:footnote w:id="20">
    <w:p w14:paraId="5B7B0CEF" w14:textId="5A7A0398" w:rsidR="00532926" w:rsidRPr="001160D6" w:rsidRDefault="00532926" w:rsidP="00DB1F86">
      <w:pPr>
        <w:pStyle w:val="FootnoteText"/>
        <w:rPr>
          <w:lang w:val="es-MX"/>
        </w:rPr>
      </w:pPr>
      <w:r w:rsidRPr="001160D6">
        <w:rPr>
          <w:rStyle w:val="FootnoteReference"/>
        </w:rPr>
        <w:footnoteRef/>
      </w:r>
      <w:r w:rsidRPr="001160D6">
        <w:rPr>
          <w:lang w:val="es-MX"/>
        </w:rPr>
        <w:t xml:space="preserve"> Excepto Croacia, que, en 2014, se convirtió en un país que no está al amparo del Artículo 5.</w:t>
      </w:r>
    </w:p>
  </w:footnote>
  <w:footnote w:id="21">
    <w:p w14:paraId="1AAC1D12" w14:textId="574D4A50" w:rsidR="00532926" w:rsidRPr="002300DB" w:rsidRDefault="00532926" w:rsidP="00DB1F86">
      <w:pPr>
        <w:pStyle w:val="FootnoteText"/>
        <w:rPr>
          <w:lang w:val="es-MX"/>
        </w:rPr>
      </w:pPr>
      <w:r w:rsidRPr="001160D6">
        <w:rPr>
          <w:rStyle w:val="FootnoteReference"/>
        </w:rPr>
        <w:footnoteRef/>
      </w:r>
      <w:r w:rsidRPr="001160D6">
        <w:rPr>
          <w:lang w:val="es-MX"/>
        </w:rPr>
        <w:t xml:space="preserve"> Cuadro 2 del documento UNEP/OzL.Pro/ExCom/82/66</w:t>
      </w:r>
    </w:p>
  </w:footnote>
  <w:footnote w:id="22">
    <w:p w14:paraId="57E3F2C3" w14:textId="5AC339CB" w:rsidR="00532926" w:rsidRPr="002300DB" w:rsidRDefault="00532926" w:rsidP="00DB1F86">
      <w:pPr>
        <w:pStyle w:val="FootnoteText"/>
        <w:rPr>
          <w:lang w:val="es-MX"/>
        </w:rPr>
      </w:pPr>
      <w:r w:rsidRPr="001160D6">
        <w:rPr>
          <w:rStyle w:val="FootnoteReference"/>
        </w:rPr>
        <w:footnoteRef/>
      </w:r>
      <w:r w:rsidRPr="001160D6">
        <w:rPr>
          <w:lang w:val="es-MX"/>
        </w:rPr>
        <w:t xml:space="preserve"> El apartado 4 de la decisión XXVI/9 pidió al Comité Ejecutivo que considerase brindar financiación adicional para llevar a cabo inventarios o encuestas sobre alternativas de las SAO en las Partes del Artículo 5 que estuviesen interesadas y lo solicitasen. Sobre esta base, se aprobó el financiamiento para 127 encuestas. En la 80ª reunión, el documento UNEP/OzL.Pro/ExCom/80/54 presentó los resultados de</w:t>
      </w:r>
      <w:r w:rsidR="00014677" w:rsidRPr="001160D6">
        <w:rPr>
          <w:lang w:val="es-MX"/>
        </w:rPr>
        <w:t xml:space="preserve"> las</w:t>
      </w:r>
      <w:r w:rsidRPr="001160D6">
        <w:rPr>
          <w:lang w:val="es-MX"/>
        </w:rPr>
        <w:t xml:space="preserve"> encuestas de 119 países (42 sin bajo consumo y 77 países con bajo consumo).</w:t>
      </w:r>
      <w:r w:rsidRPr="002300DB">
        <w:rPr>
          <w:lang w:val="es-MX"/>
        </w:rPr>
        <w:t xml:space="preserve"> </w:t>
      </w:r>
    </w:p>
  </w:footnote>
  <w:footnote w:id="23">
    <w:p w14:paraId="5EE4F7A8" w14:textId="398388AF" w:rsidR="00532926" w:rsidRPr="001160D6" w:rsidRDefault="00532926" w:rsidP="00DB1F86">
      <w:pPr>
        <w:pStyle w:val="FootnoteText"/>
        <w:rPr>
          <w:lang w:val="es-MX"/>
        </w:rPr>
      </w:pPr>
      <w:r w:rsidRPr="001160D6">
        <w:rPr>
          <w:rStyle w:val="FootnoteReference"/>
        </w:rPr>
        <w:footnoteRef/>
      </w:r>
      <w:r w:rsidRPr="001160D6">
        <w:rPr>
          <w:lang w:val="es-MX"/>
        </w:rPr>
        <w:t xml:space="preserve"> La base agregada de HCFC de los 42 países sin bajo consumo representa el 24 por ciento de la base agregada de todos los países sin bajo consumo, mientras que la base agregada de HCFC de los 77 países con bajo consumo representa el 91 por ciento de la base agregada de todos los países con bajo consumo. Los países consumidores más grandes, incluyendo Brasil, China e India, no presentaron encuestas.</w:t>
      </w:r>
    </w:p>
  </w:footnote>
  <w:footnote w:id="24">
    <w:p w14:paraId="10FDD98D" w14:textId="03BCEB4E" w:rsidR="00532926" w:rsidRPr="001160D6" w:rsidRDefault="00532926" w:rsidP="00DB1F86">
      <w:pPr>
        <w:pStyle w:val="FootnoteText"/>
        <w:rPr>
          <w:lang w:val="es-MX"/>
        </w:rPr>
      </w:pPr>
      <w:r w:rsidRPr="001160D6">
        <w:rPr>
          <w:rStyle w:val="FootnoteReference"/>
        </w:rPr>
        <w:footnoteRef/>
      </w:r>
      <w:r w:rsidRPr="001160D6">
        <w:rPr>
          <w:lang w:val="es-MX"/>
        </w:rPr>
        <w:t xml:space="preserve"> </w:t>
      </w:r>
      <w:r w:rsidR="00F64346" w:rsidRPr="001160D6">
        <w:rPr>
          <w:lang w:val="es-MX"/>
        </w:rPr>
        <w:t>Para e</w:t>
      </w:r>
      <w:r w:rsidRPr="001160D6">
        <w:rPr>
          <w:lang w:val="es-MX"/>
        </w:rPr>
        <w:t xml:space="preserve">l 1 de enero de 2019 o en el plazo de tres meses a partir de la fecha de la entrada en vigor de este apartado, cualquiera sea la fecha posterior, cada una de las Partes establecerá y aplicará </w:t>
      </w:r>
      <w:r w:rsidR="00F64346" w:rsidRPr="001160D6">
        <w:rPr>
          <w:lang w:val="es-MX"/>
        </w:rPr>
        <w:t>un</w:t>
      </w:r>
      <w:r w:rsidRPr="001160D6">
        <w:rPr>
          <w:lang w:val="es-MX"/>
        </w:rPr>
        <w:t xml:space="preserve"> sistema de licencias de importación y exportación de sustancias controladas del anexo F que fuesen nuevas, usadas, recicladas y regeneradas. </w:t>
      </w:r>
      <w:r w:rsidR="00F64346" w:rsidRPr="001160D6">
        <w:rPr>
          <w:lang w:val="es-MX"/>
        </w:rPr>
        <w:t xml:space="preserve">Toda </w:t>
      </w:r>
      <w:r w:rsidRPr="001160D6">
        <w:rPr>
          <w:lang w:val="es-MX"/>
        </w:rPr>
        <w:t xml:space="preserve">Parte que actúe bajo el apartado 1 del Artículo 5 que decida que no está posición de establecer y aplicar tal sistema puede aplazar el 1 de enero de 2019 hasta el 1 de enero de 2021 </w:t>
      </w:r>
      <w:r w:rsidR="00F64346" w:rsidRPr="001160D6">
        <w:rPr>
          <w:lang w:val="es-MX"/>
        </w:rPr>
        <w:t xml:space="preserve">para tomar </w:t>
      </w:r>
      <w:r w:rsidRPr="001160D6">
        <w:rPr>
          <w:lang w:val="es-MX"/>
        </w:rPr>
        <w:t>esas medidas. Además, los países del Artículo 5 que producen HCFC-22 tendrán</w:t>
      </w:r>
      <w:r w:rsidR="00F64346" w:rsidRPr="001160D6">
        <w:rPr>
          <w:lang w:val="es-MX"/>
        </w:rPr>
        <w:t xml:space="preserve"> la</w:t>
      </w:r>
      <w:r w:rsidRPr="001160D6">
        <w:rPr>
          <w:lang w:val="es-MX"/>
        </w:rPr>
        <w:t xml:space="preserve"> obligaci</w:t>
      </w:r>
      <w:r w:rsidR="00F64346" w:rsidRPr="001160D6">
        <w:rPr>
          <w:lang w:val="es-MX"/>
        </w:rPr>
        <w:t xml:space="preserve">ón </w:t>
      </w:r>
      <w:r w:rsidRPr="001160D6">
        <w:rPr>
          <w:lang w:val="es-MX"/>
        </w:rPr>
        <w:t>de informar sobre la generación, el control y las emisiones del subproducto HFC-23, así como obligaciones relacionadas con el control de emisiones del subproducto HFC-23.</w:t>
      </w:r>
    </w:p>
  </w:footnote>
  <w:footnote w:id="25">
    <w:p w14:paraId="758FB0D0" w14:textId="2768F4BB" w:rsidR="00532926" w:rsidRPr="002300DB" w:rsidRDefault="00532926" w:rsidP="00DB1F86">
      <w:pPr>
        <w:pStyle w:val="FootnoteText"/>
        <w:rPr>
          <w:lang w:val="es-MX"/>
        </w:rPr>
      </w:pPr>
      <w:r w:rsidRPr="001160D6">
        <w:rPr>
          <w:rStyle w:val="FootnoteReference"/>
        </w:rPr>
        <w:footnoteRef/>
      </w:r>
      <w:r w:rsidRPr="001160D6">
        <w:rPr>
          <w:lang w:val="es-MX"/>
        </w:rPr>
        <w:t xml:space="preserve"> En el pasado, el establecimiento sistemas de otorgamiento de licencias de HCFC después de los años de la base</w:t>
      </w:r>
      <w:r w:rsidR="00F64346" w:rsidRPr="001160D6">
        <w:rPr>
          <w:lang w:val="es-MX"/>
        </w:rPr>
        <w:t xml:space="preserve"> de referencia</w:t>
      </w:r>
      <w:r w:rsidRPr="001160D6">
        <w:rPr>
          <w:lang w:val="es-MX"/>
        </w:rPr>
        <w:t xml:space="preserve"> en varios países di</w:t>
      </w:r>
      <w:r w:rsidR="00F64346" w:rsidRPr="001160D6">
        <w:rPr>
          <w:lang w:val="es-MX"/>
        </w:rPr>
        <w:t xml:space="preserve">o </w:t>
      </w:r>
      <w:r w:rsidRPr="001160D6">
        <w:rPr>
          <w:lang w:val="es-MX"/>
        </w:rPr>
        <w:t xml:space="preserve">lugar a inexactitudes en la valoración de </w:t>
      </w:r>
      <w:r w:rsidR="00F64346" w:rsidRPr="001160D6">
        <w:rPr>
          <w:lang w:val="es-MX"/>
        </w:rPr>
        <w:t xml:space="preserve">bases de referencia </w:t>
      </w:r>
      <w:r w:rsidRPr="001160D6">
        <w:rPr>
          <w:lang w:val="es-MX"/>
        </w:rPr>
        <w:t>y de puntos de partida para las reducciones sostenidas del consumo de HCFC que se revisaron posteriormente.</w:t>
      </w:r>
    </w:p>
  </w:footnote>
  <w:footnote w:id="26">
    <w:p w14:paraId="247F1D6A" w14:textId="29214A99" w:rsidR="00532926" w:rsidRPr="002300DB" w:rsidRDefault="00532926" w:rsidP="00DB1F86">
      <w:pPr>
        <w:pStyle w:val="FootnoteText"/>
        <w:rPr>
          <w:lang w:val="es-MX"/>
        </w:rPr>
      </w:pPr>
      <w:r w:rsidRPr="001160D6">
        <w:rPr>
          <w:rStyle w:val="FootnoteReference"/>
        </w:rPr>
        <w:footnoteRef/>
      </w:r>
      <w:r w:rsidRPr="001160D6">
        <w:rPr>
          <w:lang w:val="es-MX"/>
        </w:rPr>
        <w:t xml:space="preserve"> A efectos de este análisis, se asumió que la primera medida de control para todos los países del modelo es 2024, aunque hay pocos países del </w:t>
      </w:r>
      <w:r w:rsidR="00E1169D" w:rsidRPr="001160D6">
        <w:rPr>
          <w:lang w:val="es-MX"/>
        </w:rPr>
        <w:t>g</w:t>
      </w:r>
      <w:r w:rsidRPr="001160D6">
        <w:rPr>
          <w:lang w:val="es-MX"/>
        </w:rPr>
        <w:t>rupo 2. Al desarrollar el modelo, la Secretaría también observó que el consumo de HFC informado por varios países, especialmente países con bajo consumo, era proporcionalmente más alto que su consumo de HCFC.</w:t>
      </w:r>
    </w:p>
  </w:footnote>
  <w:footnote w:id="27">
    <w:p w14:paraId="3B983D1B" w14:textId="2B623D2F" w:rsidR="00532926" w:rsidRPr="002300DB" w:rsidRDefault="00532926" w:rsidP="00DB1F86">
      <w:pPr>
        <w:pStyle w:val="FootnoteText"/>
        <w:rPr>
          <w:lang w:val="es-MX"/>
        </w:rPr>
      </w:pPr>
      <w:r w:rsidRPr="001160D6">
        <w:rPr>
          <w:rStyle w:val="FootnoteReference"/>
        </w:rPr>
        <w:footnoteRef/>
      </w:r>
      <w:r w:rsidRPr="001160D6">
        <w:rPr>
          <w:lang w:val="es-MX"/>
        </w:rPr>
        <w:t xml:space="preserve"> La mayoría de los proyectos de inversión independientes, aprobados conforme a la decisión 78/3 g), ha implicado equipos autónomos de refrigeración para uso doméstico y comercial.</w:t>
      </w:r>
    </w:p>
  </w:footnote>
  <w:footnote w:id="28">
    <w:p w14:paraId="5A6D073A" w14:textId="49F48752" w:rsidR="00532926" w:rsidRPr="001160D6" w:rsidRDefault="00532926" w:rsidP="00DB1F86">
      <w:pPr>
        <w:pStyle w:val="FootnoteText"/>
        <w:rPr>
          <w:lang w:val="es-MX"/>
        </w:rPr>
      </w:pPr>
      <w:r w:rsidRPr="001160D6">
        <w:rPr>
          <w:rStyle w:val="FootnoteReference"/>
        </w:rPr>
        <w:footnoteRef/>
      </w:r>
      <w:r w:rsidRPr="001160D6">
        <w:rPr>
          <w:lang w:val="es-MX"/>
        </w:rPr>
        <w:t xml:space="preserve"> Es decir, la capacidad instalada después de la fecha límite o del nuevo consumo de HFC por las empresas asistidas para sustituir</w:t>
      </w:r>
      <w:r w:rsidR="00CB2802" w:rsidRPr="001160D6">
        <w:rPr>
          <w:lang w:val="es-MX"/>
        </w:rPr>
        <w:t xml:space="preserve"> el</w:t>
      </w:r>
      <w:r w:rsidRPr="001160D6">
        <w:rPr>
          <w:lang w:val="es-MX"/>
        </w:rPr>
        <w:t xml:space="preserve"> HCFC-141b por alternativas con bajo potencial de calentamiento atmosférico.</w:t>
      </w:r>
    </w:p>
  </w:footnote>
  <w:footnote w:id="29">
    <w:p w14:paraId="23BB34C8" w14:textId="38D5EB51" w:rsidR="00532926" w:rsidRPr="00961D4F" w:rsidRDefault="00532926" w:rsidP="00DB1F86">
      <w:pPr>
        <w:pStyle w:val="FootnoteText"/>
        <w:rPr>
          <w:lang w:val="es-MX"/>
        </w:rPr>
      </w:pPr>
      <w:r w:rsidRPr="001160D6">
        <w:rPr>
          <w:rStyle w:val="FootnoteReference"/>
        </w:rPr>
        <w:footnoteRef/>
      </w:r>
      <w:r w:rsidRPr="001160D6">
        <w:rPr>
          <w:lang w:val="es-MX"/>
        </w:rPr>
        <w:t xml:space="preserve"> Decisiones 61/47 y 63/15.</w:t>
      </w:r>
    </w:p>
  </w:footnote>
  <w:footnote w:id="30">
    <w:p w14:paraId="5FE4A808" w14:textId="604E76A1" w:rsidR="00532926" w:rsidRPr="00961D4F" w:rsidRDefault="00532926" w:rsidP="00DB1F86">
      <w:pPr>
        <w:pStyle w:val="FootnoteText"/>
        <w:rPr>
          <w:lang w:val="es-MX"/>
        </w:rPr>
      </w:pPr>
      <w:r w:rsidRPr="001160D6">
        <w:rPr>
          <w:rStyle w:val="FootnoteReference"/>
        </w:rPr>
        <w:footnoteRef/>
      </w:r>
      <w:r w:rsidRPr="001160D6">
        <w:rPr>
          <w:lang w:val="es-MX"/>
        </w:rPr>
        <w:t xml:space="preserve"> Este uso, también designado como aparato de acondicionamiento de aire de habitación, comprende la fabricación de la mayoría de los aparatos de condensador separado con una capacidad de hasta tres toneladas de refrigeración.</w:t>
      </w:r>
    </w:p>
  </w:footnote>
  <w:footnote w:id="31">
    <w:p w14:paraId="620F30C4" w14:textId="55F41F12" w:rsidR="00532926" w:rsidRPr="001160D6" w:rsidRDefault="00532926" w:rsidP="00DB1F86">
      <w:pPr>
        <w:pStyle w:val="FootnoteText"/>
        <w:rPr>
          <w:lang w:val="es-MX"/>
        </w:rPr>
      </w:pPr>
      <w:r w:rsidRPr="001160D6">
        <w:rPr>
          <w:rStyle w:val="FootnoteReference"/>
        </w:rPr>
        <w:footnoteRef/>
      </w:r>
      <w:r w:rsidRPr="001160D6">
        <w:rPr>
          <w:lang w:val="es-MX"/>
        </w:rPr>
        <w:t xml:space="preserve"> El informe del programa de país de 2019 para China indica el uso de 1 656 </w:t>
      </w:r>
      <w:proofErr w:type="spellStart"/>
      <w:r w:rsidRPr="001160D6">
        <w:rPr>
          <w:lang w:val="es-MX"/>
        </w:rPr>
        <w:t>tm</w:t>
      </w:r>
      <w:proofErr w:type="spellEnd"/>
      <w:r w:rsidRPr="001160D6">
        <w:rPr>
          <w:lang w:val="es-MX"/>
        </w:rPr>
        <w:t xml:space="preserve"> de HCFC-22 y 580 </w:t>
      </w:r>
      <w:proofErr w:type="spellStart"/>
      <w:r w:rsidRPr="001160D6">
        <w:rPr>
          <w:lang w:val="es-MX"/>
        </w:rPr>
        <w:t>tm</w:t>
      </w:r>
      <w:proofErr w:type="spellEnd"/>
      <w:r w:rsidRPr="001160D6">
        <w:rPr>
          <w:lang w:val="es-MX"/>
        </w:rPr>
        <w:t xml:space="preserve"> de </w:t>
      </w:r>
      <w:r w:rsidR="00A85CB2">
        <w:rPr>
          <w:lang w:val="es-MX"/>
        </w:rPr>
        <w:br/>
      </w:r>
      <w:r w:rsidRPr="001160D6">
        <w:rPr>
          <w:lang w:val="es-MX"/>
        </w:rPr>
        <w:t xml:space="preserve">HCFC-141b en el sector de aerosoles. Este sector no se ha </w:t>
      </w:r>
      <w:r w:rsidR="001769C5" w:rsidRPr="001160D6">
        <w:rPr>
          <w:lang w:val="es-MX"/>
        </w:rPr>
        <w:t xml:space="preserve">encarado </w:t>
      </w:r>
      <w:r w:rsidRPr="001160D6">
        <w:rPr>
          <w:lang w:val="es-MX"/>
        </w:rPr>
        <w:t>en la etapa I o II del plan de gestión de eliminación de HCFC.</w:t>
      </w:r>
    </w:p>
  </w:footnote>
  <w:footnote w:id="32">
    <w:p w14:paraId="7BCEC4B0" w14:textId="33F22EE9" w:rsidR="00532926" w:rsidRPr="008631D0" w:rsidRDefault="00532926" w:rsidP="00DB1F86">
      <w:pPr>
        <w:pStyle w:val="FootnoteText"/>
        <w:rPr>
          <w:lang w:val="es-MX"/>
        </w:rPr>
      </w:pPr>
      <w:r w:rsidRPr="001160D6">
        <w:rPr>
          <w:rStyle w:val="FootnoteReference"/>
        </w:rPr>
        <w:footnoteRef/>
      </w:r>
      <w:r w:rsidRPr="001160D6">
        <w:rPr>
          <w:lang w:val="es-MX"/>
        </w:rPr>
        <w:t xml:space="preserve"> Estas actividades incluyen la capacitación y acreditación de técnicos, el fortalecimiento de escuelas técnicas/de formación profesional y de asociaciones de refrigeración, estrategias de confinamiento de refrigerantes, distribución de equipos básicos y herramientas de servicio y mantenimiento incluyendo aparatos de recuperación/reciclaje, y la adopción de estándares y códigos de prácticas idóneas para facilitar la adopción, en condiciones de seguridad, de los refrigerantes inflamables y/o tóxicos con bajo potencial de calentamiento atmosférico.</w:t>
      </w:r>
    </w:p>
  </w:footnote>
  <w:footnote w:id="33">
    <w:p w14:paraId="465C8CF2" w14:textId="5658B7ED" w:rsidR="00532926" w:rsidRPr="008631D0" w:rsidRDefault="00532926" w:rsidP="00DB1F86">
      <w:pPr>
        <w:pStyle w:val="FootnoteText"/>
        <w:rPr>
          <w:lang w:val="es-MX"/>
        </w:rPr>
      </w:pPr>
      <w:r w:rsidRPr="001160D6">
        <w:rPr>
          <w:rStyle w:val="FootnoteReference"/>
        </w:rPr>
        <w:footnoteRef/>
      </w:r>
      <w:r w:rsidRPr="001160D6">
        <w:rPr>
          <w:lang w:val="es-MX"/>
        </w:rPr>
        <w:t xml:space="preserve"> Apartado 92 del documento UNEP/OzL.Pro/ExCom/82/64.</w:t>
      </w:r>
    </w:p>
  </w:footnote>
  <w:footnote w:id="34">
    <w:p w14:paraId="5A1351BD" w14:textId="77777777" w:rsidR="002F286D" w:rsidRPr="00B47B6A" w:rsidRDefault="002F286D" w:rsidP="002F286D">
      <w:pPr>
        <w:pStyle w:val="FootnoteText"/>
        <w:rPr>
          <w:lang w:val="es-ES_tradnl"/>
        </w:rPr>
      </w:pPr>
      <w:r>
        <w:rPr>
          <w:rStyle w:val="FootnoteReference"/>
        </w:rPr>
        <w:footnoteRef/>
      </w:r>
      <w:r w:rsidRPr="00B47B6A">
        <w:rPr>
          <w:lang w:val="es-ES_tradnl"/>
        </w:rPr>
        <w:t xml:space="preserve"> </w:t>
      </w:r>
      <w:r>
        <w:rPr>
          <w:lang w:val="es-ES_tradnl"/>
        </w:rPr>
        <w:t>L</w:t>
      </w:r>
      <w:r w:rsidRPr="00B47B6A">
        <w:rPr>
          <w:lang w:val="es-ES_tradnl"/>
        </w:rPr>
        <w:t xml:space="preserve">a </w:t>
      </w:r>
      <w:r w:rsidRPr="00A0084C">
        <w:rPr>
          <w:lang w:val="es-ES_tradnl"/>
        </w:rPr>
        <w:t>ejecución</w:t>
      </w:r>
      <w:r w:rsidRPr="00B47B6A">
        <w:rPr>
          <w:lang w:val="es-ES_tradnl"/>
        </w:rPr>
        <w:t xml:space="preserve"> y supervisión de </w:t>
      </w:r>
      <w:r>
        <w:rPr>
          <w:lang w:val="es-ES_tradnl"/>
        </w:rPr>
        <w:t xml:space="preserve">las </w:t>
      </w:r>
      <w:r w:rsidRPr="00B47B6A">
        <w:rPr>
          <w:lang w:val="es-ES_tradnl"/>
        </w:rPr>
        <w:t xml:space="preserve">etapas I y II de los PGEH </w:t>
      </w:r>
      <w:r>
        <w:rPr>
          <w:lang w:val="es-ES_tradnl"/>
        </w:rPr>
        <w:t xml:space="preserve">que ocurren de manera </w:t>
      </w:r>
      <w:r w:rsidRPr="0053485B">
        <w:rPr>
          <w:lang w:val="es-ES_tradnl"/>
        </w:rPr>
        <w:t xml:space="preserve">simultánea </w:t>
      </w:r>
      <w:r w:rsidRPr="00B47B6A">
        <w:rPr>
          <w:lang w:val="es-ES_tradnl"/>
        </w:rPr>
        <w:t xml:space="preserve">ha </w:t>
      </w:r>
      <w:r>
        <w:rPr>
          <w:lang w:val="es-ES_tradnl"/>
        </w:rPr>
        <w:t>mostrado tener ciertas complejidades. Agregar</w:t>
      </w:r>
      <w:r w:rsidRPr="00B47B6A">
        <w:rPr>
          <w:lang w:val="es-ES_tradnl"/>
        </w:rPr>
        <w:t xml:space="preserve"> </w:t>
      </w:r>
      <w:r>
        <w:rPr>
          <w:lang w:val="es-ES_tradnl"/>
        </w:rPr>
        <w:t>los planes de reducción de HFC</w:t>
      </w:r>
      <w:r w:rsidRPr="00B47B6A">
        <w:rPr>
          <w:lang w:val="es-ES_tradnl"/>
        </w:rPr>
        <w:t xml:space="preserve"> </w:t>
      </w:r>
      <w:r>
        <w:rPr>
          <w:lang w:val="es-ES_tradnl"/>
        </w:rPr>
        <w:t>incrementará la carga</w:t>
      </w:r>
      <w:r w:rsidRPr="00B47B6A">
        <w:rPr>
          <w:lang w:val="es-ES_tradnl"/>
        </w:rPr>
        <w:t xml:space="preserve"> </w:t>
      </w:r>
      <w:r>
        <w:rPr>
          <w:lang w:val="es-ES_tradnl"/>
        </w:rPr>
        <w:t>administrativa, incluso pese a que en muchos</w:t>
      </w:r>
      <w:r w:rsidRPr="00B47B6A">
        <w:rPr>
          <w:lang w:val="es-ES_tradnl"/>
        </w:rPr>
        <w:t xml:space="preserve"> países </w:t>
      </w:r>
      <w:r w:rsidRPr="00810CDD">
        <w:rPr>
          <w:lang w:val="es-ES_tradnl"/>
        </w:rPr>
        <w:t xml:space="preserve">de bajo consumo </w:t>
      </w:r>
      <w:r>
        <w:rPr>
          <w:lang w:val="es-ES_tradnl"/>
        </w:rPr>
        <w:t>la mayoría de</w:t>
      </w:r>
      <w:r w:rsidRPr="00B47B6A">
        <w:rPr>
          <w:lang w:val="es-ES_tradnl"/>
        </w:rPr>
        <w:t xml:space="preserve"> las actividades </w:t>
      </w:r>
      <w:r>
        <w:rPr>
          <w:lang w:val="es-ES_tradnl"/>
        </w:rPr>
        <w:t xml:space="preserve">se ubican en un mismo </w:t>
      </w:r>
      <w:r w:rsidRPr="00B47B6A">
        <w:rPr>
          <w:lang w:val="es-ES_tradnl"/>
        </w:rPr>
        <w:t>sector (</w:t>
      </w:r>
      <w:r>
        <w:rPr>
          <w:lang w:val="es-ES_tradnl"/>
        </w:rPr>
        <w:t xml:space="preserve">p. ej., </w:t>
      </w:r>
      <w:r w:rsidRPr="00B47B6A">
        <w:rPr>
          <w:lang w:val="es-ES_tradnl"/>
        </w:rPr>
        <w:t>servicio técnico de equipos de refrigeración</w:t>
      </w:r>
      <w:r>
        <w:rPr>
          <w:lang w:val="es-ES_tradnl"/>
        </w:rPr>
        <w:t>)</w:t>
      </w:r>
      <w:r w:rsidRPr="00B47B6A">
        <w:rPr>
          <w:lang w:val="es-ES_tradnl"/>
        </w:rPr>
        <w:t>.</w:t>
      </w:r>
    </w:p>
  </w:footnote>
  <w:footnote w:id="35">
    <w:p w14:paraId="3233B6DF" w14:textId="77777777" w:rsidR="002F286D" w:rsidRPr="00B47B6A" w:rsidRDefault="002F286D" w:rsidP="002F286D">
      <w:pPr>
        <w:pStyle w:val="FootnoteText"/>
        <w:rPr>
          <w:lang w:val="es-ES_tradnl"/>
        </w:rPr>
      </w:pPr>
      <w:r w:rsidRPr="00B47B6A">
        <w:rPr>
          <w:rStyle w:val="FootnoteReference"/>
          <w:lang w:val="es-ES_tradnl"/>
        </w:rPr>
        <w:footnoteRef/>
      </w:r>
      <w:r w:rsidRPr="00B47B6A">
        <w:rPr>
          <w:lang w:val="es-ES_tradnl"/>
        </w:rPr>
        <w:t xml:space="preserve"> </w:t>
      </w:r>
      <w:r>
        <w:rPr>
          <w:lang w:val="es-ES_tradnl"/>
        </w:rPr>
        <w:t xml:space="preserve">La mayor parte de los </w:t>
      </w:r>
      <w:r w:rsidRPr="00B47B6A">
        <w:rPr>
          <w:lang w:val="es-ES_tradnl"/>
        </w:rPr>
        <w:t xml:space="preserve">países de bajo consumo </w:t>
      </w:r>
      <w:r>
        <w:rPr>
          <w:lang w:val="es-ES_tradnl"/>
        </w:rPr>
        <w:t xml:space="preserve">han </w:t>
      </w:r>
      <w:r w:rsidRPr="00B47B6A">
        <w:rPr>
          <w:lang w:val="es-ES_tradnl"/>
        </w:rPr>
        <w:t xml:space="preserve">implementado la etapa I de </w:t>
      </w:r>
      <w:r>
        <w:rPr>
          <w:lang w:val="es-ES_tradnl"/>
        </w:rPr>
        <w:t>sus</w:t>
      </w:r>
      <w:r w:rsidRPr="00B47B6A">
        <w:rPr>
          <w:lang w:val="es-ES_tradnl"/>
        </w:rPr>
        <w:t xml:space="preserve"> PGEH hasta </w:t>
      </w:r>
      <w:r>
        <w:rPr>
          <w:lang w:val="es-ES_tradnl"/>
        </w:rPr>
        <w:t xml:space="preserve">el año </w:t>
      </w:r>
      <w:r w:rsidRPr="00B47B6A">
        <w:rPr>
          <w:lang w:val="es-ES_tradnl"/>
        </w:rPr>
        <w:t xml:space="preserve">2020 y </w:t>
      </w:r>
      <w:r>
        <w:rPr>
          <w:lang w:val="es-ES_tradnl"/>
        </w:rPr>
        <w:t xml:space="preserve">están presentando </w:t>
      </w:r>
      <w:r w:rsidRPr="00594A09">
        <w:rPr>
          <w:lang w:val="es-ES_tradnl"/>
        </w:rPr>
        <w:t xml:space="preserve">propuestas </w:t>
      </w:r>
      <w:r>
        <w:rPr>
          <w:lang w:val="es-ES_tradnl"/>
        </w:rPr>
        <w:t xml:space="preserve">para </w:t>
      </w:r>
      <w:r w:rsidRPr="00B47B6A">
        <w:rPr>
          <w:lang w:val="es-ES_tradnl"/>
        </w:rPr>
        <w:t>la etapa II</w:t>
      </w:r>
      <w:r>
        <w:rPr>
          <w:lang w:val="es-ES_tradnl"/>
        </w:rPr>
        <w:t>, en muchos</w:t>
      </w:r>
      <w:r w:rsidRPr="00B47B6A">
        <w:rPr>
          <w:lang w:val="es-ES_tradnl"/>
        </w:rPr>
        <w:t xml:space="preserve"> </w:t>
      </w:r>
      <w:r>
        <w:rPr>
          <w:lang w:val="es-ES_tradnl"/>
        </w:rPr>
        <w:t xml:space="preserve">casos para </w:t>
      </w:r>
      <w:r w:rsidRPr="00B47B6A">
        <w:rPr>
          <w:lang w:val="es-ES_tradnl"/>
        </w:rPr>
        <w:t xml:space="preserve">la eliminación </w:t>
      </w:r>
      <w:r w:rsidRPr="00AC04E3">
        <w:rPr>
          <w:lang w:val="es-ES_tradnl"/>
        </w:rPr>
        <w:t xml:space="preserve">total </w:t>
      </w:r>
      <w:r w:rsidRPr="00B47B6A">
        <w:rPr>
          <w:lang w:val="es-ES_tradnl"/>
        </w:rPr>
        <w:t xml:space="preserve">de HCFC </w:t>
      </w:r>
      <w:r>
        <w:rPr>
          <w:lang w:val="es-ES_tradnl"/>
        </w:rPr>
        <w:t xml:space="preserve">al año </w:t>
      </w:r>
      <w:r w:rsidRPr="00B47B6A">
        <w:rPr>
          <w:lang w:val="es-ES_tradnl"/>
        </w:rPr>
        <w:t>2030</w:t>
      </w:r>
      <w:r>
        <w:rPr>
          <w:lang w:val="es-ES_tradnl"/>
        </w:rPr>
        <w:t>.</w:t>
      </w:r>
      <w:r w:rsidRPr="00B47B6A">
        <w:rPr>
          <w:lang w:val="es-ES_tradnl"/>
        </w:rPr>
        <w:t xml:space="preserve"> </w:t>
      </w:r>
      <w:r>
        <w:rPr>
          <w:lang w:val="es-ES_tradnl"/>
        </w:rPr>
        <w:t xml:space="preserve">Muchos </w:t>
      </w:r>
      <w:r w:rsidRPr="00B47B6A">
        <w:rPr>
          <w:lang w:val="es-ES_tradnl"/>
        </w:rPr>
        <w:t xml:space="preserve">países de alto consumo </w:t>
      </w:r>
      <w:r>
        <w:rPr>
          <w:lang w:val="es-ES_tradnl"/>
        </w:rPr>
        <w:t xml:space="preserve">han </w:t>
      </w:r>
      <w:r w:rsidRPr="00B47B6A">
        <w:rPr>
          <w:lang w:val="es-ES_tradnl"/>
        </w:rPr>
        <w:t xml:space="preserve">implementado la etapa II de </w:t>
      </w:r>
      <w:r>
        <w:rPr>
          <w:lang w:val="es-ES_tradnl"/>
        </w:rPr>
        <w:t>sus</w:t>
      </w:r>
      <w:r w:rsidRPr="00B47B6A">
        <w:rPr>
          <w:lang w:val="es-ES_tradnl"/>
        </w:rPr>
        <w:t xml:space="preserve"> PGEH hasta </w:t>
      </w:r>
      <w:r>
        <w:rPr>
          <w:lang w:val="es-ES_tradnl"/>
        </w:rPr>
        <w:t xml:space="preserve">el </w:t>
      </w:r>
      <w:r w:rsidRPr="00F07D61">
        <w:rPr>
          <w:lang w:val="es-ES_tradnl"/>
        </w:rPr>
        <w:t>período</w:t>
      </w:r>
      <w:r w:rsidRPr="00B47B6A">
        <w:rPr>
          <w:lang w:val="es-ES_tradnl"/>
        </w:rPr>
        <w:t xml:space="preserve"> 2020-2023 y </w:t>
      </w:r>
      <w:r>
        <w:rPr>
          <w:lang w:val="es-ES_tradnl"/>
        </w:rPr>
        <w:t xml:space="preserve">han comenzado a presentar </w:t>
      </w:r>
      <w:r w:rsidRPr="00B47B6A">
        <w:rPr>
          <w:lang w:val="es-ES_tradnl"/>
        </w:rPr>
        <w:t>propuestas</w:t>
      </w:r>
      <w:r>
        <w:rPr>
          <w:lang w:val="es-ES_tradnl"/>
        </w:rPr>
        <w:t xml:space="preserve"> para </w:t>
      </w:r>
      <w:r w:rsidRPr="00702E5A">
        <w:rPr>
          <w:lang w:val="es-ES_tradnl"/>
        </w:rPr>
        <w:t>la etapa III</w:t>
      </w:r>
      <w:r w:rsidRPr="00B47B6A">
        <w:rPr>
          <w:lang w:val="es-ES_tradnl"/>
        </w:rPr>
        <w:t xml:space="preserve">, algunas de </w:t>
      </w:r>
      <w:r>
        <w:rPr>
          <w:lang w:val="es-ES_tradnl"/>
        </w:rPr>
        <w:t xml:space="preserve">ellas para la </w:t>
      </w:r>
      <w:r w:rsidRPr="00B47B6A">
        <w:rPr>
          <w:lang w:val="es-ES_tradnl"/>
        </w:rPr>
        <w:t xml:space="preserve">eliminación </w:t>
      </w:r>
      <w:r w:rsidRPr="00CE3452">
        <w:rPr>
          <w:lang w:val="es-ES_tradnl"/>
        </w:rPr>
        <w:t xml:space="preserve">total </w:t>
      </w:r>
      <w:r w:rsidRPr="00B47B6A">
        <w:rPr>
          <w:lang w:val="es-ES_tradnl"/>
        </w:rPr>
        <w:t xml:space="preserve">de HCFC </w:t>
      </w:r>
      <w:r>
        <w:rPr>
          <w:lang w:val="es-ES_tradnl"/>
        </w:rPr>
        <w:t xml:space="preserve">al año </w:t>
      </w:r>
      <w:r w:rsidRPr="00B47B6A">
        <w:rPr>
          <w:lang w:val="es-ES_tradnl"/>
        </w:rPr>
        <w:t>2030.</w:t>
      </w:r>
    </w:p>
  </w:footnote>
  <w:footnote w:id="36">
    <w:p w14:paraId="04FB627B" w14:textId="77777777" w:rsidR="002F286D" w:rsidRPr="00B47B6A" w:rsidRDefault="002F286D" w:rsidP="002F286D">
      <w:pPr>
        <w:pStyle w:val="FootnoteText"/>
        <w:rPr>
          <w:lang w:val="es-ES_tradnl"/>
        </w:rPr>
      </w:pPr>
      <w:r w:rsidRPr="00B47B6A">
        <w:rPr>
          <w:rStyle w:val="FootnoteReference"/>
          <w:lang w:val="es-ES_tradnl"/>
        </w:rPr>
        <w:footnoteRef/>
      </w:r>
      <w:r w:rsidRPr="00B47B6A">
        <w:rPr>
          <w:lang w:val="es-ES_tradnl"/>
        </w:rPr>
        <w:t xml:space="preserve"> </w:t>
      </w:r>
      <w:r>
        <w:rPr>
          <w:lang w:val="es-ES_tradnl"/>
        </w:rPr>
        <w:t xml:space="preserve">De </w:t>
      </w:r>
      <w:r w:rsidRPr="007E4C47">
        <w:rPr>
          <w:lang w:val="es-ES_tradnl"/>
        </w:rPr>
        <w:t xml:space="preserve">conformidad con </w:t>
      </w:r>
      <w:r>
        <w:rPr>
          <w:lang w:val="es-ES_tradnl"/>
        </w:rPr>
        <w:t xml:space="preserve">el </w:t>
      </w:r>
      <w:r w:rsidRPr="007E4C47">
        <w:rPr>
          <w:lang w:val="es-ES_tradnl"/>
        </w:rPr>
        <w:t xml:space="preserve">párrafo 8 ter e) i) del Protocolo de Montreal, el consumo de HCFC </w:t>
      </w:r>
      <w:r>
        <w:rPr>
          <w:lang w:val="es-ES_tradnl"/>
        </w:rPr>
        <w:t xml:space="preserve">en </w:t>
      </w:r>
      <w:r w:rsidRPr="005C1D50">
        <w:rPr>
          <w:lang w:val="es-ES_tradnl"/>
        </w:rPr>
        <w:t xml:space="preserve">países del artículo 5 </w:t>
      </w:r>
      <w:r w:rsidRPr="007E4C47">
        <w:rPr>
          <w:lang w:val="es-ES_tradnl"/>
        </w:rPr>
        <w:t>podrá ser superior a cero en cualquier año</w:t>
      </w:r>
      <w:r>
        <w:rPr>
          <w:lang w:val="es-ES_tradnl"/>
        </w:rPr>
        <w:t xml:space="preserve"> entre </w:t>
      </w:r>
      <w:r w:rsidRPr="006F35EF">
        <w:rPr>
          <w:lang w:val="es-ES_tradnl"/>
        </w:rPr>
        <w:t>el 1º de enero de 2030 y el 1º de enero de 2040</w:t>
      </w:r>
      <w:r w:rsidRPr="007E4C47">
        <w:rPr>
          <w:lang w:val="es-ES_tradnl"/>
        </w:rPr>
        <w:t xml:space="preserve">, siempre que la suma del consumo calculado para </w:t>
      </w:r>
      <w:r>
        <w:rPr>
          <w:lang w:val="es-ES_tradnl"/>
        </w:rPr>
        <w:t xml:space="preserve">este período, </w:t>
      </w:r>
      <w:r w:rsidRPr="007E4C47">
        <w:rPr>
          <w:lang w:val="es-ES_tradnl"/>
        </w:rPr>
        <w:t>dividido</w:t>
      </w:r>
      <w:r>
        <w:rPr>
          <w:lang w:val="es-ES_tradnl"/>
        </w:rPr>
        <w:t xml:space="preserve"> por 10,</w:t>
      </w:r>
      <w:r w:rsidRPr="007E4C47">
        <w:rPr>
          <w:lang w:val="es-ES_tradnl"/>
        </w:rPr>
        <w:t xml:space="preserve"> no exceda el 2,5% </w:t>
      </w:r>
      <w:r w:rsidRPr="00D15C76">
        <w:rPr>
          <w:lang w:val="es-ES_tradnl"/>
        </w:rPr>
        <w:t xml:space="preserve">del </w:t>
      </w:r>
      <w:r w:rsidRPr="00B11965">
        <w:rPr>
          <w:lang w:val="es-ES_tradnl"/>
        </w:rPr>
        <w:t xml:space="preserve">promedio </w:t>
      </w:r>
      <w:r>
        <w:rPr>
          <w:lang w:val="es-ES_tradnl"/>
        </w:rPr>
        <w:t>calculado</w:t>
      </w:r>
      <w:r w:rsidRPr="00E75CC5">
        <w:rPr>
          <w:lang w:val="es-ES_tradnl"/>
        </w:rPr>
        <w:t xml:space="preserve"> </w:t>
      </w:r>
      <w:r>
        <w:rPr>
          <w:lang w:val="es-ES_tradnl"/>
        </w:rPr>
        <w:t xml:space="preserve">para </w:t>
      </w:r>
      <w:r w:rsidRPr="00D15C76">
        <w:rPr>
          <w:lang w:val="es-ES_tradnl"/>
        </w:rPr>
        <w:t>2009 y 2010</w:t>
      </w:r>
      <w:r>
        <w:rPr>
          <w:lang w:val="es-ES_tradnl"/>
        </w:rPr>
        <w:t>, y sujeto</w:t>
      </w:r>
      <w:r w:rsidRPr="007E4C47">
        <w:rPr>
          <w:lang w:val="es-ES_tradnl"/>
        </w:rPr>
        <w:t xml:space="preserve"> a que </w:t>
      </w:r>
      <w:r>
        <w:rPr>
          <w:lang w:val="es-ES_tradnl"/>
        </w:rPr>
        <w:t xml:space="preserve">su uso </w:t>
      </w:r>
      <w:r w:rsidRPr="007E4C47">
        <w:rPr>
          <w:lang w:val="es-ES_tradnl"/>
        </w:rPr>
        <w:t xml:space="preserve">se limite al </w:t>
      </w:r>
      <w:r w:rsidRPr="005D0FBA">
        <w:rPr>
          <w:lang w:val="es-ES_tradnl"/>
        </w:rPr>
        <w:t>mantenimiento de equipos de extinción y protecci</w:t>
      </w:r>
      <w:r>
        <w:rPr>
          <w:lang w:val="es-ES_tradnl"/>
        </w:rPr>
        <w:t>ón contra incendios existentes a</w:t>
      </w:r>
      <w:r w:rsidRPr="005D0FBA">
        <w:rPr>
          <w:lang w:val="es-ES_tradnl"/>
        </w:rPr>
        <w:t>l 1º de enero de 2030; como solventes en la fabricación de motores de cohetes, y en aerosoles médicos de uso tópico para el tratamiento especializado de quemaduras</w:t>
      </w:r>
      <w:r w:rsidRPr="00B47B6A">
        <w:rPr>
          <w:lang w:val="es-ES_tradnl"/>
        </w:rPr>
        <w:t>.</w:t>
      </w:r>
    </w:p>
  </w:footnote>
  <w:footnote w:id="37">
    <w:p w14:paraId="3AFDB784" w14:textId="77777777" w:rsidR="002F286D" w:rsidRPr="00B47B6A" w:rsidRDefault="002F286D" w:rsidP="002F286D">
      <w:pPr>
        <w:pStyle w:val="FootnoteText"/>
        <w:rPr>
          <w:lang w:val="es-ES_tradnl"/>
        </w:rPr>
      </w:pPr>
      <w:r w:rsidRPr="00B47B6A">
        <w:rPr>
          <w:rStyle w:val="FootnoteReference"/>
          <w:lang w:val="es-ES_tradnl"/>
        </w:rPr>
        <w:footnoteRef/>
      </w:r>
      <w:r w:rsidRPr="00382A52">
        <w:rPr>
          <w:lang w:val="en-US"/>
        </w:rPr>
        <w:t xml:space="preserve"> UNEP/OzL.Pro/ExCom/3/18/Rev.1. </w:t>
      </w:r>
      <w:r w:rsidRPr="00B47B6A">
        <w:rPr>
          <w:lang w:val="es-ES_tradnl"/>
        </w:rPr>
        <w:t>Anexo III, Sección II.1.1</w:t>
      </w:r>
      <w:r>
        <w:rPr>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4881" w14:textId="68B9285D" w:rsidR="004E4C43" w:rsidRPr="007120E8" w:rsidRDefault="004E4C43" w:rsidP="004E4C43">
    <w:pPr>
      <w:rPr>
        <w:lang w:val="es-AR"/>
      </w:rPr>
    </w:pPr>
    <w:r w:rsidRPr="007120E8">
      <w:rPr>
        <w:lang w:val="es-AR"/>
      </w:rPr>
      <w:fldChar w:fldCharType="begin"/>
    </w:r>
    <w:r w:rsidRPr="007120E8">
      <w:rPr>
        <w:lang w:val="es-AR"/>
      </w:rPr>
      <w:instrText xml:space="preserve"> DOCPROPERTY "Document number"  \* MERGEFORMAT </w:instrText>
    </w:r>
    <w:r w:rsidRPr="007120E8">
      <w:rPr>
        <w:lang w:val="es-AR"/>
      </w:rPr>
      <w:fldChar w:fldCharType="separate"/>
    </w:r>
    <w:r w:rsidR="005A43F3">
      <w:rPr>
        <w:lang w:val="es-AR"/>
      </w:rPr>
      <w:t>UNEP/</w:t>
    </w:r>
    <w:proofErr w:type="spellStart"/>
    <w:r w:rsidR="005A43F3">
      <w:rPr>
        <w:lang w:val="es-AR"/>
      </w:rPr>
      <w:t>OzL.Pro</w:t>
    </w:r>
    <w:proofErr w:type="spellEnd"/>
    <w:r w:rsidR="005A43F3">
      <w:rPr>
        <w:lang w:val="es-AR"/>
      </w:rPr>
      <w:t>/</w:t>
    </w:r>
    <w:proofErr w:type="spellStart"/>
    <w:r w:rsidR="005A43F3">
      <w:rPr>
        <w:lang w:val="es-AR"/>
      </w:rPr>
      <w:t>ExCom</w:t>
    </w:r>
    <w:proofErr w:type="spellEnd"/>
    <w:r w:rsidR="005A43F3">
      <w:rPr>
        <w:lang w:val="es-AR"/>
      </w:rPr>
      <w:t>/87/45</w:t>
    </w:r>
    <w:r w:rsidRPr="007120E8">
      <w:rPr>
        <w:lang w:val="es-AR"/>
      </w:rPr>
      <w:fldChar w:fldCharType="end"/>
    </w:r>
  </w:p>
  <w:p w14:paraId="6660EA93" w14:textId="7FE80AE7" w:rsidR="001160D6" w:rsidRDefault="001160D6" w:rsidP="00362D69">
    <w:pPr>
      <w:pStyle w:val="Header"/>
      <w:jc w:val="right"/>
      <w:rPr>
        <w:lang w:val="es-AR"/>
      </w:rPr>
    </w:pPr>
  </w:p>
  <w:p w14:paraId="03F7491E" w14:textId="77777777" w:rsidR="001160D6" w:rsidRDefault="001160D6" w:rsidP="00362D69">
    <w:pPr>
      <w:pStyle w:val="Heade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D063" w14:textId="2AF37019" w:rsidR="006F0BB0" w:rsidRPr="0033525D" w:rsidRDefault="00EB2CAE">
    <w:r>
      <w:fldChar w:fldCharType="begin"/>
    </w:r>
    <w:r>
      <w:instrText xml:space="preserve"> DOCPROPERTY "Document number"  \* MERGEFORMAT </w:instrText>
    </w:r>
    <w:r>
      <w:fldChar w:fldCharType="separate"/>
    </w:r>
    <w:r w:rsidR="00482916">
      <w:t>UNEP/OzL.Pro/ExCom/87/45</w:t>
    </w:r>
    <w:r>
      <w:fldChar w:fldCharType="end"/>
    </w:r>
  </w:p>
  <w:p w14:paraId="65A60D3A" w14:textId="42C46747" w:rsidR="006F0BB0" w:rsidRPr="0033525D" w:rsidRDefault="006F0BB0">
    <w:r>
      <w:t>Anexo III</w:t>
    </w:r>
  </w:p>
  <w:p w14:paraId="2E564ACE" w14:textId="77777777" w:rsidR="006F0BB0" w:rsidRPr="0033525D" w:rsidRDefault="006F0BB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0540" w14:textId="5316C007" w:rsidR="004E4C43" w:rsidRPr="004E4C43" w:rsidRDefault="004E4C43" w:rsidP="004E4C43">
    <w:pPr>
      <w:jc w:val="right"/>
      <w:rPr>
        <w:lang w:val="en-US"/>
      </w:rPr>
    </w:pPr>
    <w:r w:rsidRPr="007120E8">
      <w:rPr>
        <w:lang w:val="es-AR"/>
      </w:rPr>
      <w:fldChar w:fldCharType="begin"/>
    </w:r>
    <w:r w:rsidRPr="004E4C43">
      <w:rPr>
        <w:lang w:val="en-US"/>
      </w:rPr>
      <w:instrText xml:space="preserve"> DOCPROPERTY "Document number"  \* MERGEFORMAT </w:instrText>
    </w:r>
    <w:r w:rsidRPr="007120E8">
      <w:rPr>
        <w:lang w:val="es-AR"/>
      </w:rPr>
      <w:fldChar w:fldCharType="separate"/>
    </w:r>
    <w:r w:rsidR="00482916">
      <w:rPr>
        <w:lang w:val="en-US"/>
      </w:rPr>
      <w:t>UNEP/</w:t>
    </w:r>
    <w:proofErr w:type="spellStart"/>
    <w:r w:rsidR="00482916">
      <w:rPr>
        <w:lang w:val="en-US"/>
      </w:rPr>
      <w:t>OzL.Pro</w:t>
    </w:r>
    <w:proofErr w:type="spellEnd"/>
    <w:r w:rsidR="00482916">
      <w:rPr>
        <w:lang w:val="en-US"/>
      </w:rPr>
      <w:t>/</w:t>
    </w:r>
    <w:proofErr w:type="spellStart"/>
    <w:r w:rsidR="00482916">
      <w:rPr>
        <w:lang w:val="en-US"/>
      </w:rPr>
      <w:t>ExCom</w:t>
    </w:r>
    <w:proofErr w:type="spellEnd"/>
    <w:r w:rsidR="00482916">
      <w:rPr>
        <w:lang w:val="en-US"/>
      </w:rPr>
      <w:t>/87/45</w:t>
    </w:r>
    <w:r w:rsidRPr="007120E8">
      <w:rPr>
        <w:lang w:val="es-AR"/>
      </w:rPr>
      <w:fldChar w:fldCharType="end"/>
    </w:r>
  </w:p>
  <w:p w14:paraId="2AD732CE" w14:textId="054FC362" w:rsidR="004E4C43" w:rsidRDefault="004E4C43" w:rsidP="004E4C43">
    <w:pPr>
      <w:pStyle w:val="Header"/>
      <w:jc w:val="right"/>
    </w:pPr>
    <w:r>
      <w:t>Anexo I</w:t>
    </w:r>
    <w:r w:rsidR="006F0BB0">
      <w:t>II</w:t>
    </w:r>
  </w:p>
  <w:p w14:paraId="1CC4D86A" w14:textId="77777777" w:rsidR="004E4C43" w:rsidRDefault="004E4C43">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2000" w14:textId="77777777" w:rsidR="004E4C43" w:rsidRPr="004E4C43" w:rsidRDefault="004E4C43" w:rsidP="004E4C43">
    <w:pPr>
      <w:jc w:val="right"/>
      <w:rPr>
        <w:lang w:val="en-US"/>
      </w:rPr>
    </w:pPr>
    <w:r w:rsidRPr="007120E8">
      <w:rPr>
        <w:lang w:val="es-AR"/>
      </w:rPr>
      <w:fldChar w:fldCharType="begin"/>
    </w:r>
    <w:r w:rsidRPr="004E4C43">
      <w:rPr>
        <w:lang w:val="en-US"/>
      </w:rPr>
      <w:instrText xml:space="preserve"> DOCPROPERTY "Document number"  \* MERGEFORMAT </w:instrText>
    </w:r>
    <w:r w:rsidRPr="007120E8">
      <w:rPr>
        <w:lang w:val="es-AR"/>
      </w:rPr>
      <w:fldChar w:fldCharType="separate"/>
    </w:r>
    <w:r w:rsidRPr="004E4C43">
      <w:rPr>
        <w:lang w:val="en-US"/>
      </w:rPr>
      <w:t>UNEP/</w:t>
    </w:r>
    <w:proofErr w:type="spellStart"/>
    <w:r w:rsidRPr="004E4C43">
      <w:rPr>
        <w:lang w:val="en-US"/>
      </w:rPr>
      <w:t>OzL.Pro</w:t>
    </w:r>
    <w:proofErr w:type="spellEnd"/>
    <w:r w:rsidRPr="004E4C43">
      <w:rPr>
        <w:lang w:val="en-US"/>
      </w:rPr>
      <w:t>/</w:t>
    </w:r>
    <w:proofErr w:type="spellStart"/>
    <w:r w:rsidRPr="004E4C43">
      <w:rPr>
        <w:lang w:val="en-US"/>
      </w:rPr>
      <w:t>ExCom</w:t>
    </w:r>
    <w:proofErr w:type="spellEnd"/>
    <w:r w:rsidRPr="004E4C43">
      <w:rPr>
        <w:lang w:val="en-US"/>
      </w:rPr>
      <w:t>/86/87</w:t>
    </w:r>
    <w:r w:rsidRPr="007120E8">
      <w:rPr>
        <w:lang w:val="es-AR"/>
      </w:rPr>
      <w:fldChar w:fldCharType="end"/>
    </w:r>
  </w:p>
  <w:p w14:paraId="46F2FF0D" w14:textId="562C7675" w:rsidR="004E4C43" w:rsidRDefault="004E4C43" w:rsidP="004E4C43">
    <w:pPr>
      <w:pStyle w:val="Header"/>
      <w:jc w:val="right"/>
    </w:pPr>
    <w:proofErr w:type="spellStart"/>
    <w:r>
      <w:t>Annexo</w:t>
    </w:r>
    <w:proofErr w:type="spellEnd"/>
    <w:r>
      <w:t xml:space="preserve"> I</w:t>
    </w:r>
  </w:p>
  <w:p w14:paraId="0556226E" w14:textId="77777777" w:rsidR="004E4C43" w:rsidRDefault="004E4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3809" w14:textId="4B58E994" w:rsidR="004E4C43" w:rsidRPr="007120E8" w:rsidRDefault="004E4C43" w:rsidP="004E4C43">
    <w:pPr>
      <w:jc w:val="right"/>
      <w:rPr>
        <w:lang w:val="es-AR"/>
      </w:rPr>
    </w:pPr>
    <w:r w:rsidRPr="007120E8">
      <w:rPr>
        <w:lang w:val="es-AR"/>
      </w:rPr>
      <w:fldChar w:fldCharType="begin"/>
    </w:r>
    <w:r w:rsidRPr="007120E8">
      <w:rPr>
        <w:lang w:val="es-AR"/>
      </w:rPr>
      <w:instrText xml:space="preserve"> DOCPROPERTY "Document number"  \* MERGEFORMAT </w:instrText>
    </w:r>
    <w:r w:rsidRPr="007120E8">
      <w:rPr>
        <w:lang w:val="es-AR"/>
      </w:rPr>
      <w:fldChar w:fldCharType="separate"/>
    </w:r>
    <w:r w:rsidR="005A43F3">
      <w:rPr>
        <w:lang w:val="es-AR"/>
      </w:rPr>
      <w:t>UNEP/</w:t>
    </w:r>
    <w:proofErr w:type="spellStart"/>
    <w:r w:rsidR="005A43F3">
      <w:rPr>
        <w:lang w:val="es-AR"/>
      </w:rPr>
      <w:t>OzL.Pro</w:t>
    </w:r>
    <w:proofErr w:type="spellEnd"/>
    <w:r w:rsidR="005A43F3">
      <w:rPr>
        <w:lang w:val="es-AR"/>
      </w:rPr>
      <w:t>/</w:t>
    </w:r>
    <w:proofErr w:type="spellStart"/>
    <w:r w:rsidR="005A43F3">
      <w:rPr>
        <w:lang w:val="es-AR"/>
      </w:rPr>
      <w:t>ExCom</w:t>
    </w:r>
    <w:proofErr w:type="spellEnd"/>
    <w:r w:rsidR="005A43F3">
      <w:rPr>
        <w:lang w:val="es-AR"/>
      </w:rPr>
      <w:t>/87/45</w:t>
    </w:r>
    <w:r w:rsidRPr="007120E8">
      <w:rPr>
        <w:lang w:val="es-AR"/>
      </w:rPr>
      <w:fldChar w:fldCharType="end"/>
    </w:r>
  </w:p>
  <w:p w14:paraId="10F65FCD" w14:textId="77777777" w:rsidR="001160D6" w:rsidRDefault="001160D6" w:rsidP="00362D69">
    <w:pPr>
      <w:pStyle w:val="Header"/>
      <w:jc w:val="left"/>
    </w:pPr>
  </w:p>
  <w:p w14:paraId="773E1EDB" w14:textId="77777777" w:rsidR="00532926" w:rsidRDefault="005329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5497" w14:textId="77777777" w:rsidR="00482916" w:rsidRDefault="0048291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F286" w14:textId="4FC38167" w:rsidR="006F0BB0" w:rsidRPr="0033525D" w:rsidRDefault="00EB2CAE">
    <w:r>
      <w:fldChar w:fldCharType="begin"/>
    </w:r>
    <w:r>
      <w:instrText xml:space="preserve"> DOCPROPERTY "Document number"  \* MERGEFORMAT </w:instrText>
    </w:r>
    <w:r>
      <w:fldChar w:fldCharType="separate"/>
    </w:r>
    <w:r w:rsidR="00482916">
      <w:t>UNEP/OzL.Pro/ExCom/87/45</w:t>
    </w:r>
    <w:r>
      <w:fldChar w:fldCharType="end"/>
    </w:r>
  </w:p>
  <w:p w14:paraId="33D0D5AC" w14:textId="77777777" w:rsidR="006F0BB0" w:rsidRPr="0033525D" w:rsidRDefault="006F0BB0">
    <w:r>
      <w:t>Anexo I</w:t>
    </w:r>
  </w:p>
  <w:p w14:paraId="6DA1FCE6" w14:textId="77777777" w:rsidR="006F0BB0" w:rsidRPr="0033525D" w:rsidRDefault="006F0BB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7692" w14:textId="4F7787A4" w:rsidR="006F0BB0" w:rsidRDefault="00EB2CAE">
    <w:pPr>
      <w:jc w:val="right"/>
    </w:pPr>
    <w:r>
      <w:fldChar w:fldCharType="begin"/>
    </w:r>
    <w:r>
      <w:instrText xml:space="preserve"> DOCPROPERTY "Document number"  \* MERGEFORMAT </w:instrText>
    </w:r>
    <w:r>
      <w:fldChar w:fldCharType="separate"/>
    </w:r>
    <w:r w:rsidR="00482916">
      <w:t>UNEP/OzL.Pro/ExCom/87/45</w:t>
    </w:r>
    <w:r>
      <w:fldChar w:fldCharType="end"/>
    </w:r>
  </w:p>
  <w:p w14:paraId="44357E34" w14:textId="77777777" w:rsidR="006F0BB0" w:rsidRPr="0033525D" w:rsidRDefault="006F0BB0">
    <w:pPr>
      <w:jc w:val="right"/>
    </w:pPr>
    <w:r>
      <w:t>Anexo I</w:t>
    </w:r>
  </w:p>
  <w:p w14:paraId="53376F73" w14:textId="77777777" w:rsidR="006F0BB0" w:rsidRPr="0033525D" w:rsidRDefault="006F0BB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796B" w14:textId="61B77904" w:rsidR="006F0BB0" w:rsidRPr="006F0BB0" w:rsidRDefault="006F0BB0" w:rsidP="006F0BB0">
    <w:pPr>
      <w:jc w:val="right"/>
      <w:rPr>
        <w:lang w:val="en-US"/>
      </w:rPr>
    </w:pPr>
    <w:r w:rsidRPr="007120E8">
      <w:rPr>
        <w:lang w:val="es-AR"/>
      </w:rPr>
      <w:fldChar w:fldCharType="begin"/>
    </w:r>
    <w:r w:rsidRPr="006F0BB0">
      <w:rPr>
        <w:lang w:val="en-US"/>
      </w:rPr>
      <w:instrText xml:space="preserve"> DOCPROPERTY "Document number"  \* MERGEFORMAT </w:instrText>
    </w:r>
    <w:r w:rsidRPr="007120E8">
      <w:rPr>
        <w:lang w:val="es-AR"/>
      </w:rPr>
      <w:fldChar w:fldCharType="separate"/>
    </w:r>
    <w:r w:rsidR="00482916">
      <w:rPr>
        <w:lang w:val="en-US"/>
      </w:rPr>
      <w:t>UNEP/</w:t>
    </w:r>
    <w:proofErr w:type="spellStart"/>
    <w:r w:rsidR="00482916">
      <w:rPr>
        <w:lang w:val="en-US"/>
      </w:rPr>
      <w:t>OzL.Pro</w:t>
    </w:r>
    <w:proofErr w:type="spellEnd"/>
    <w:r w:rsidR="00482916">
      <w:rPr>
        <w:lang w:val="en-US"/>
      </w:rPr>
      <w:t>/</w:t>
    </w:r>
    <w:proofErr w:type="spellStart"/>
    <w:r w:rsidR="00482916">
      <w:rPr>
        <w:lang w:val="en-US"/>
      </w:rPr>
      <w:t>ExCom</w:t>
    </w:r>
    <w:proofErr w:type="spellEnd"/>
    <w:r w:rsidR="00482916">
      <w:rPr>
        <w:lang w:val="en-US"/>
      </w:rPr>
      <w:t>/87/45</w:t>
    </w:r>
    <w:r w:rsidRPr="007120E8">
      <w:rPr>
        <w:lang w:val="es-AR"/>
      </w:rPr>
      <w:fldChar w:fldCharType="end"/>
    </w:r>
  </w:p>
  <w:p w14:paraId="4D8D2607" w14:textId="77777777" w:rsidR="006F0BB0" w:rsidRDefault="006F0BB0" w:rsidP="006F0BB0">
    <w:pPr>
      <w:pStyle w:val="Header"/>
      <w:jc w:val="right"/>
    </w:pPr>
    <w:r>
      <w:t>Anexo I</w:t>
    </w:r>
  </w:p>
  <w:p w14:paraId="3AF8AE9E" w14:textId="77777777" w:rsidR="006F0BB0" w:rsidRDefault="006F0BB0" w:rsidP="008A6DB6">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0668" w14:textId="0CE984DE" w:rsidR="006F0BB0" w:rsidRPr="0033525D" w:rsidRDefault="00EB2CAE">
    <w:r>
      <w:fldChar w:fldCharType="begin"/>
    </w:r>
    <w:r>
      <w:instrText xml:space="preserve"> DOCPROPERTY "Document number"  \* MERGEFORMAT </w:instrText>
    </w:r>
    <w:r>
      <w:fldChar w:fldCharType="separate"/>
    </w:r>
    <w:r w:rsidR="00482916">
      <w:t>UNEP/OzL.Pro/ExCom/87/45</w:t>
    </w:r>
    <w:r>
      <w:fldChar w:fldCharType="end"/>
    </w:r>
  </w:p>
  <w:p w14:paraId="5FCD7B27" w14:textId="77777777" w:rsidR="006F0BB0" w:rsidRPr="0033525D" w:rsidRDefault="006F0BB0">
    <w:r>
      <w:t>Anexo II</w:t>
    </w:r>
  </w:p>
  <w:p w14:paraId="68FA69EC" w14:textId="77777777" w:rsidR="006F0BB0" w:rsidRPr="0033525D" w:rsidRDefault="006F0BB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6A6F" w14:textId="5437EFD7" w:rsidR="006F0BB0" w:rsidRDefault="00EB2CAE">
    <w:pPr>
      <w:jc w:val="right"/>
    </w:pPr>
    <w:r>
      <w:fldChar w:fldCharType="begin"/>
    </w:r>
    <w:r>
      <w:instrText xml:space="preserve"> DOCPROPERTY "Document number"  \* MERGEFORMAT </w:instrText>
    </w:r>
    <w:r>
      <w:fldChar w:fldCharType="separate"/>
    </w:r>
    <w:r w:rsidR="00482916">
      <w:t>UNEP/OzL.Pro/ExCom/87/45</w:t>
    </w:r>
    <w:r>
      <w:fldChar w:fldCharType="end"/>
    </w:r>
  </w:p>
  <w:p w14:paraId="13F9F8C5" w14:textId="4A464848" w:rsidR="006F0BB0" w:rsidRPr="0033525D" w:rsidRDefault="006F0BB0">
    <w:pPr>
      <w:jc w:val="right"/>
    </w:pPr>
    <w:r>
      <w:t>Anex</w:t>
    </w:r>
    <w:r w:rsidR="0046187E">
      <w:t>o</w:t>
    </w:r>
    <w:r>
      <w:t xml:space="preserve"> </w:t>
    </w:r>
    <w:r w:rsidR="00A2155A">
      <w:t>I</w:t>
    </w:r>
    <w:r>
      <w:t>I</w:t>
    </w:r>
  </w:p>
  <w:p w14:paraId="77C96C3D" w14:textId="77777777" w:rsidR="006F0BB0" w:rsidRPr="0033525D" w:rsidRDefault="006F0BB0">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C2DA" w14:textId="77777777" w:rsidR="00482916" w:rsidRDefault="00482916" w:rsidP="00482916">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/87/45</w:t>
    </w:r>
    <w:r>
      <w:fldChar w:fldCharType="end"/>
    </w:r>
  </w:p>
  <w:p w14:paraId="71B6024A" w14:textId="77777777" w:rsidR="006F0BB0" w:rsidRDefault="006F0BB0" w:rsidP="008A6DB6">
    <w:pPr>
      <w:pStyle w:val="Header"/>
      <w:jc w:val="right"/>
    </w:pPr>
    <w:proofErr w:type="spellStart"/>
    <w:r>
      <w:t>Anexo</w:t>
    </w:r>
    <w:proofErr w:type="spellEnd"/>
    <w:r>
      <w:t xml:space="preserve"> II</w:t>
    </w:r>
  </w:p>
  <w:p w14:paraId="6E82B283" w14:textId="77777777" w:rsidR="006F0BB0" w:rsidRDefault="006F0BB0" w:rsidP="008A6DB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C07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A20D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E40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9413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3231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9676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E9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E02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4EB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D0E75E8"/>
    <w:multiLevelType w:val="hybridMultilevel"/>
    <w:tmpl w:val="315E5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422693"/>
    <w:multiLevelType w:val="hybridMultilevel"/>
    <w:tmpl w:val="1BB40F0E"/>
    <w:lvl w:ilvl="0" w:tplc="E13ECB7E">
      <w:start w:val="20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5F7000"/>
    <w:multiLevelType w:val="hybridMultilevel"/>
    <w:tmpl w:val="C2A6E9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C30956"/>
    <w:multiLevelType w:val="multilevel"/>
    <w:tmpl w:val="66C2B162"/>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F91B0D"/>
    <w:multiLevelType w:val="hybridMultilevel"/>
    <w:tmpl w:val="2618D7B0"/>
    <w:lvl w:ilvl="0" w:tplc="5336BCE4">
      <w:start w:val="20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5DE3BFB"/>
    <w:multiLevelType w:val="multilevel"/>
    <w:tmpl w:val="66C2B162"/>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3A760553"/>
    <w:multiLevelType w:val="hybridMultilevel"/>
    <w:tmpl w:val="D0DE63C8"/>
    <w:lvl w:ilvl="0" w:tplc="852EDF44">
      <w:start w:val="18"/>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A40375"/>
    <w:multiLevelType w:val="hybridMultilevel"/>
    <w:tmpl w:val="A1E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469F8"/>
    <w:multiLevelType w:val="hybridMultilevel"/>
    <w:tmpl w:val="48CE7EF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1D93B8E"/>
    <w:multiLevelType w:val="hybridMultilevel"/>
    <w:tmpl w:val="0E10C748"/>
    <w:lvl w:ilvl="0" w:tplc="6B04D2E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80C05CF"/>
    <w:multiLevelType w:val="hybridMultilevel"/>
    <w:tmpl w:val="08120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9068EB"/>
    <w:multiLevelType w:val="hybridMultilevel"/>
    <w:tmpl w:val="74EACF1A"/>
    <w:lvl w:ilvl="0" w:tplc="04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720784B"/>
    <w:multiLevelType w:val="hybridMultilevel"/>
    <w:tmpl w:val="26862A8E"/>
    <w:lvl w:ilvl="0" w:tplc="F6388EB6">
      <w:start w:val="72"/>
      <w:numFmt w:val="decimal"/>
      <w:lvlText w:val="%1."/>
      <w:lvlJc w:val="left"/>
      <w:pPr>
        <w:ind w:left="360" w:hanging="360"/>
      </w:pPr>
      <w:rPr>
        <w:rFonts w:hint="default"/>
      </w:rPr>
    </w:lvl>
    <w:lvl w:ilvl="1" w:tplc="99B8D5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350ED5"/>
    <w:multiLevelType w:val="multilevel"/>
    <w:tmpl w:val="66C2B162"/>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15:restartNumberingAfterBreak="0">
    <w:nsid w:val="76AB5FBF"/>
    <w:multiLevelType w:val="hybridMultilevel"/>
    <w:tmpl w:val="C3C4C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0B7447"/>
    <w:multiLevelType w:val="hybridMultilevel"/>
    <w:tmpl w:val="ACC6AEBA"/>
    <w:lvl w:ilvl="0" w:tplc="C0146AC6">
      <w:start w:val="1"/>
      <w:numFmt w:val="decimal"/>
      <w:lvlText w:val="%1."/>
      <w:lvlJc w:val="left"/>
      <w:pPr>
        <w:ind w:left="4045" w:hanging="360"/>
      </w:pPr>
      <w:rPr>
        <w:b w:val="0"/>
        <w:sz w:val="22"/>
      </w:rPr>
    </w:lvl>
    <w:lvl w:ilvl="1" w:tplc="86B43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2"/>
  </w:num>
  <w:num w:numId="18">
    <w:abstractNumId w:val="23"/>
  </w:num>
  <w:num w:numId="19">
    <w:abstractNumId w:val="32"/>
  </w:num>
  <w:num w:numId="20">
    <w:abstractNumId w:val="17"/>
  </w:num>
  <w:num w:numId="21">
    <w:abstractNumId w:val="27"/>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8"/>
  </w:num>
  <w:num w:numId="26">
    <w:abstractNumId w:val="11"/>
  </w:num>
  <w:num w:numId="27">
    <w:abstractNumId w:val="21"/>
  </w:num>
  <w:num w:numId="28">
    <w:abstractNumId w:val="26"/>
  </w:num>
  <w:num w:numId="29">
    <w:abstractNumId w:val="20"/>
  </w:num>
  <w:num w:numId="30">
    <w:abstractNumId w:val="16"/>
  </w:num>
  <w:num w:numId="31">
    <w:abstractNumId w:val="12"/>
  </w:num>
  <w:num w:numId="32">
    <w:abstractNumId w:val="25"/>
  </w:num>
  <w:num w:numId="33">
    <w:abstractNumId w:val="30"/>
  </w:num>
  <w:num w:numId="34">
    <w:abstractNumId w:val="19"/>
  </w:num>
  <w:num w:numId="35">
    <w:abstractNumId w:val="24"/>
  </w:num>
  <w:num w:numId="36">
    <w:abstractNumId w:val="10"/>
    <w:lvlOverride w:ilvl="0">
      <w:startOverride w:val="23"/>
    </w:lvlOverride>
  </w:num>
  <w:num w:numId="37">
    <w:abstractNumId w:val="18"/>
  </w:num>
  <w:num w:numId="38">
    <w:abstractNumId w:val="29"/>
  </w:num>
  <w:num w:numId="3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5"/>
    <w:rsid w:val="00001B41"/>
    <w:rsid w:val="00002F7A"/>
    <w:rsid w:val="00005AC9"/>
    <w:rsid w:val="000078FD"/>
    <w:rsid w:val="000111F6"/>
    <w:rsid w:val="00014677"/>
    <w:rsid w:val="00015F75"/>
    <w:rsid w:val="00024680"/>
    <w:rsid w:val="0003348C"/>
    <w:rsid w:val="00047556"/>
    <w:rsid w:val="00057FF5"/>
    <w:rsid w:val="00062E0D"/>
    <w:rsid w:val="000754B0"/>
    <w:rsid w:val="0008343C"/>
    <w:rsid w:val="00086F71"/>
    <w:rsid w:val="000903E8"/>
    <w:rsid w:val="00092A32"/>
    <w:rsid w:val="00095B59"/>
    <w:rsid w:val="00095BFD"/>
    <w:rsid w:val="000A7BF6"/>
    <w:rsid w:val="000B2582"/>
    <w:rsid w:val="000B7215"/>
    <w:rsid w:val="000C74EB"/>
    <w:rsid w:val="000D081C"/>
    <w:rsid w:val="000D3F6D"/>
    <w:rsid w:val="000D476D"/>
    <w:rsid w:val="000D7070"/>
    <w:rsid w:val="000D79F9"/>
    <w:rsid w:val="000E4252"/>
    <w:rsid w:val="000E52D7"/>
    <w:rsid w:val="000E57F5"/>
    <w:rsid w:val="000F2145"/>
    <w:rsid w:val="000F6D5F"/>
    <w:rsid w:val="00105AB6"/>
    <w:rsid w:val="00106F6E"/>
    <w:rsid w:val="00114CAA"/>
    <w:rsid w:val="001160D6"/>
    <w:rsid w:val="00116761"/>
    <w:rsid w:val="001201BF"/>
    <w:rsid w:val="001311B2"/>
    <w:rsid w:val="00136014"/>
    <w:rsid w:val="00137206"/>
    <w:rsid w:val="00140A75"/>
    <w:rsid w:val="00144A46"/>
    <w:rsid w:val="00146D09"/>
    <w:rsid w:val="0014709C"/>
    <w:rsid w:val="0016366B"/>
    <w:rsid w:val="001640C2"/>
    <w:rsid w:val="001677F2"/>
    <w:rsid w:val="00171208"/>
    <w:rsid w:val="001731D8"/>
    <w:rsid w:val="00174028"/>
    <w:rsid w:val="00174D41"/>
    <w:rsid w:val="001768E8"/>
    <w:rsid w:val="001769C5"/>
    <w:rsid w:val="00177837"/>
    <w:rsid w:val="001832E0"/>
    <w:rsid w:val="0019043F"/>
    <w:rsid w:val="00190842"/>
    <w:rsid w:val="00193AA4"/>
    <w:rsid w:val="0019527E"/>
    <w:rsid w:val="001A50D6"/>
    <w:rsid w:val="001A75AA"/>
    <w:rsid w:val="001C0BE7"/>
    <w:rsid w:val="001C2D22"/>
    <w:rsid w:val="001C552F"/>
    <w:rsid w:val="001D29D0"/>
    <w:rsid w:val="001D463A"/>
    <w:rsid w:val="001F4047"/>
    <w:rsid w:val="001F4625"/>
    <w:rsid w:val="002043D9"/>
    <w:rsid w:val="00204A38"/>
    <w:rsid w:val="00205B2C"/>
    <w:rsid w:val="00206558"/>
    <w:rsid w:val="00206C77"/>
    <w:rsid w:val="0021191E"/>
    <w:rsid w:val="002129A5"/>
    <w:rsid w:val="002139BA"/>
    <w:rsid w:val="00217CCE"/>
    <w:rsid w:val="00221F16"/>
    <w:rsid w:val="00225A4A"/>
    <w:rsid w:val="00225BE0"/>
    <w:rsid w:val="002300DB"/>
    <w:rsid w:val="002340F2"/>
    <w:rsid w:val="00235D4C"/>
    <w:rsid w:val="002366AC"/>
    <w:rsid w:val="00240A87"/>
    <w:rsid w:val="0024162E"/>
    <w:rsid w:val="002437AD"/>
    <w:rsid w:val="00244E5F"/>
    <w:rsid w:val="002467F6"/>
    <w:rsid w:val="00254FBC"/>
    <w:rsid w:val="00261A5F"/>
    <w:rsid w:val="0027283C"/>
    <w:rsid w:val="00274FC2"/>
    <w:rsid w:val="00277091"/>
    <w:rsid w:val="002773B0"/>
    <w:rsid w:val="00287298"/>
    <w:rsid w:val="002875E0"/>
    <w:rsid w:val="002927D4"/>
    <w:rsid w:val="00295514"/>
    <w:rsid w:val="002979BE"/>
    <w:rsid w:val="002A00D9"/>
    <w:rsid w:val="002A23E2"/>
    <w:rsid w:val="002A2E21"/>
    <w:rsid w:val="002A30E0"/>
    <w:rsid w:val="002A4A46"/>
    <w:rsid w:val="002A5352"/>
    <w:rsid w:val="002A745C"/>
    <w:rsid w:val="002B31E7"/>
    <w:rsid w:val="002B42CC"/>
    <w:rsid w:val="002C078E"/>
    <w:rsid w:val="002C4BC4"/>
    <w:rsid w:val="002D058B"/>
    <w:rsid w:val="002D1042"/>
    <w:rsid w:val="002D4029"/>
    <w:rsid w:val="002E0F2D"/>
    <w:rsid w:val="002F1329"/>
    <w:rsid w:val="002F286D"/>
    <w:rsid w:val="002F4C83"/>
    <w:rsid w:val="002F7DF6"/>
    <w:rsid w:val="0030021B"/>
    <w:rsid w:val="003032B7"/>
    <w:rsid w:val="00306314"/>
    <w:rsid w:val="003132C8"/>
    <w:rsid w:val="003158A9"/>
    <w:rsid w:val="003275DE"/>
    <w:rsid w:val="00333ADB"/>
    <w:rsid w:val="00346B2A"/>
    <w:rsid w:val="003514DC"/>
    <w:rsid w:val="0035363C"/>
    <w:rsid w:val="00353C83"/>
    <w:rsid w:val="0035716D"/>
    <w:rsid w:val="00360AAC"/>
    <w:rsid w:val="00360FFA"/>
    <w:rsid w:val="00362D69"/>
    <w:rsid w:val="00364659"/>
    <w:rsid w:val="00371229"/>
    <w:rsid w:val="003748C7"/>
    <w:rsid w:val="00375170"/>
    <w:rsid w:val="00375642"/>
    <w:rsid w:val="00375668"/>
    <w:rsid w:val="00377C8B"/>
    <w:rsid w:val="003818D8"/>
    <w:rsid w:val="00382E18"/>
    <w:rsid w:val="00383B29"/>
    <w:rsid w:val="003863A4"/>
    <w:rsid w:val="00390A5F"/>
    <w:rsid w:val="003914BD"/>
    <w:rsid w:val="00393B3C"/>
    <w:rsid w:val="003963F6"/>
    <w:rsid w:val="003A051B"/>
    <w:rsid w:val="003A6CC5"/>
    <w:rsid w:val="003A6DDF"/>
    <w:rsid w:val="003B1B3F"/>
    <w:rsid w:val="003B2737"/>
    <w:rsid w:val="003B2C1F"/>
    <w:rsid w:val="003B4F2D"/>
    <w:rsid w:val="003B7115"/>
    <w:rsid w:val="003B7B7F"/>
    <w:rsid w:val="003C265A"/>
    <w:rsid w:val="003C5096"/>
    <w:rsid w:val="003D3030"/>
    <w:rsid w:val="003E16B5"/>
    <w:rsid w:val="003E32E0"/>
    <w:rsid w:val="003F4CFF"/>
    <w:rsid w:val="003F574E"/>
    <w:rsid w:val="00404197"/>
    <w:rsid w:val="0040627F"/>
    <w:rsid w:val="004072C1"/>
    <w:rsid w:val="004079DE"/>
    <w:rsid w:val="0041078D"/>
    <w:rsid w:val="004145CA"/>
    <w:rsid w:val="00414CB7"/>
    <w:rsid w:val="004169F7"/>
    <w:rsid w:val="0042134A"/>
    <w:rsid w:val="00423F2F"/>
    <w:rsid w:val="00423FB7"/>
    <w:rsid w:val="00425E63"/>
    <w:rsid w:val="00436431"/>
    <w:rsid w:val="00446359"/>
    <w:rsid w:val="004469A6"/>
    <w:rsid w:val="00447826"/>
    <w:rsid w:val="00453642"/>
    <w:rsid w:val="0045436C"/>
    <w:rsid w:val="00455352"/>
    <w:rsid w:val="0045597F"/>
    <w:rsid w:val="0046187E"/>
    <w:rsid w:val="004639F1"/>
    <w:rsid w:val="00464A71"/>
    <w:rsid w:val="0046763A"/>
    <w:rsid w:val="004705B3"/>
    <w:rsid w:val="00473B76"/>
    <w:rsid w:val="0047422C"/>
    <w:rsid w:val="00476E28"/>
    <w:rsid w:val="00482099"/>
    <w:rsid w:val="00482916"/>
    <w:rsid w:val="00482D5C"/>
    <w:rsid w:val="00484D01"/>
    <w:rsid w:val="004855CF"/>
    <w:rsid w:val="004A1609"/>
    <w:rsid w:val="004A3566"/>
    <w:rsid w:val="004A3A5A"/>
    <w:rsid w:val="004A527E"/>
    <w:rsid w:val="004A53DD"/>
    <w:rsid w:val="004A68B8"/>
    <w:rsid w:val="004B2B59"/>
    <w:rsid w:val="004B3724"/>
    <w:rsid w:val="004C09CB"/>
    <w:rsid w:val="004C29E7"/>
    <w:rsid w:val="004C7516"/>
    <w:rsid w:val="004C7619"/>
    <w:rsid w:val="004D42DC"/>
    <w:rsid w:val="004D7546"/>
    <w:rsid w:val="004E34D1"/>
    <w:rsid w:val="004E3EA3"/>
    <w:rsid w:val="004E4C43"/>
    <w:rsid w:val="00506ADF"/>
    <w:rsid w:val="00507691"/>
    <w:rsid w:val="005167BF"/>
    <w:rsid w:val="00520F3C"/>
    <w:rsid w:val="00527BBF"/>
    <w:rsid w:val="005316D5"/>
    <w:rsid w:val="00532926"/>
    <w:rsid w:val="00536113"/>
    <w:rsid w:val="00537C55"/>
    <w:rsid w:val="00542CDF"/>
    <w:rsid w:val="0054606A"/>
    <w:rsid w:val="00553216"/>
    <w:rsid w:val="00557CB5"/>
    <w:rsid w:val="0056197B"/>
    <w:rsid w:val="00564284"/>
    <w:rsid w:val="00571F9E"/>
    <w:rsid w:val="005826BD"/>
    <w:rsid w:val="00584247"/>
    <w:rsid w:val="00585CC8"/>
    <w:rsid w:val="00586ABF"/>
    <w:rsid w:val="00587471"/>
    <w:rsid w:val="00591FCB"/>
    <w:rsid w:val="00594B49"/>
    <w:rsid w:val="005A1401"/>
    <w:rsid w:val="005A4254"/>
    <w:rsid w:val="005A43F3"/>
    <w:rsid w:val="005A6CB8"/>
    <w:rsid w:val="005B36E7"/>
    <w:rsid w:val="005B3D94"/>
    <w:rsid w:val="005B5379"/>
    <w:rsid w:val="005B62D0"/>
    <w:rsid w:val="005B6C18"/>
    <w:rsid w:val="005C258F"/>
    <w:rsid w:val="005C33E9"/>
    <w:rsid w:val="005D240D"/>
    <w:rsid w:val="005D7147"/>
    <w:rsid w:val="005E0115"/>
    <w:rsid w:val="005E3F24"/>
    <w:rsid w:val="005E41B6"/>
    <w:rsid w:val="005E5CE6"/>
    <w:rsid w:val="005E7A88"/>
    <w:rsid w:val="005F10B1"/>
    <w:rsid w:val="005F1C3D"/>
    <w:rsid w:val="006075D4"/>
    <w:rsid w:val="00611DCC"/>
    <w:rsid w:val="00614879"/>
    <w:rsid w:val="00615509"/>
    <w:rsid w:val="00616C1B"/>
    <w:rsid w:val="00626625"/>
    <w:rsid w:val="006514FC"/>
    <w:rsid w:val="00674039"/>
    <w:rsid w:val="006753DD"/>
    <w:rsid w:val="0067553F"/>
    <w:rsid w:val="00681E6A"/>
    <w:rsid w:val="00684461"/>
    <w:rsid w:val="006877DC"/>
    <w:rsid w:val="006915A5"/>
    <w:rsid w:val="00691DD3"/>
    <w:rsid w:val="00695604"/>
    <w:rsid w:val="006A29C6"/>
    <w:rsid w:val="006A6FDB"/>
    <w:rsid w:val="006B6FE4"/>
    <w:rsid w:val="006B7B22"/>
    <w:rsid w:val="006C3A9C"/>
    <w:rsid w:val="006C7817"/>
    <w:rsid w:val="006C7F8B"/>
    <w:rsid w:val="006D1754"/>
    <w:rsid w:val="006D1E48"/>
    <w:rsid w:val="006D60B9"/>
    <w:rsid w:val="006E1E63"/>
    <w:rsid w:val="006E2A69"/>
    <w:rsid w:val="006E3386"/>
    <w:rsid w:val="006E4A41"/>
    <w:rsid w:val="006E5C3D"/>
    <w:rsid w:val="006E6EFD"/>
    <w:rsid w:val="006F0BB0"/>
    <w:rsid w:val="006F1B78"/>
    <w:rsid w:val="006F398A"/>
    <w:rsid w:val="006F4A62"/>
    <w:rsid w:val="006F584B"/>
    <w:rsid w:val="006F7AAF"/>
    <w:rsid w:val="007014EE"/>
    <w:rsid w:val="00710CAF"/>
    <w:rsid w:val="007120E8"/>
    <w:rsid w:val="00724159"/>
    <w:rsid w:val="00724650"/>
    <w:rsid w:val="0072784E"/>
    <w:rsid w:val="00727DCA"/>
    <w:rsid w:val="00727F9A"/>
    <w:rsid w:val="00735376"/>
    <w:rsid w:val="00753CD2"/>
    <w:rsid w:val="007555F9"/>
    <w:rsid w:val="00761E65"/>
    <w:rsid w:val="0076410C"/>
    <w:rsid w:val="0076507D"/>
    <w:rsid w:val="0077043C"/>
    <w:rsid w:val="00771999"/>
    <w:rsid w:val="00773014"/>
    <w:rsid w:val="007733B2"/>
    <w:rsid w:val="00781354"/>
    <w:rsid w:val="007816D3"/>
    <w:rsid w:val="0078200C"/>
    <w:rsid w:val="007829FB"/>
    <w:rsid w:val="0078674D"/>
    <w:rsid w:val="00793BC2"/>
    <w:rsid w:val="007964C8"/>
    <w:rsid w:val="007A5793"/>
    <w:rsid w:val="007B344A"/>
    <w:rsid w:val="007B7C3B"/>
    <w:rsid w:val="007C092C"/>
    <w:rsid w:val="007C5E79"/>
    <w:rsid w:val="007D009C"/>
    <w:rsid w:val="007D02E9"/>
    <w:rsid w:val="007D1C39"/>
    <w:rsid w:val="007E2A6D"/>
    <w:rsid w:val="007E4C2F"/>
    <w:rsid w:val="007E4DF3"/>
    <w:rsid w:val="007E5925"/>
    <w:rsid w:val="007E6949"/>
    <w:rsid w:val="007F0870"/>
    <w:rsid w:val="00810B6A"/>
    <w:rsid w:val="00810E68"/>
    <w:rsid w:val="00813B4A"/>
    <w:rsid w:val="008158E5"/>
    <w:rsid w:val="00825FAD"/>
    <w:rsid w:val="0082673C"/>
    <w:rsid w:val="00831BC5"/>
    <w:rsid w:val="00832BBD"/>
    <w:rsid w:val="008335F5"/>
    <w:rsid w:val="00835867"/>
    <w:rsid w:val="0083784A"/>
    <w:rsid w:val="00842129"/>
    <w:rsid w:val="008427A6"/>
    <w:rsid w:val="00842F26"/>
    <w:rsid w:val="008431BD"/>
    <w:rsid w:val="0086036F"/>
    <w:rsid w:val="008631D0"/>
    <w:rsid w:val="0086353C"/>
    <w:rsid w:val="0086379D"/>
    <w:rsid w:val="008654AB"/>
    <w:rsid w:val="00870579"/>
    <w:rsid w:val="00870A55"/>
    <w:rsid w:val="008724EF"/>
    <w:rsid w:val="0087455A"/>
    <w:rsid w:val="00875414"/>
    <w:rsid w:val="008820C8"/>
    <w:rsid w:val="00886051"/>
    <w:rsid w:val="008948D6"/>
    <w:rsid w:val="008A2B91"/>
    <w:rsid w:val="008A3166"/>
    <w:rsid w:val="008A6061"/>
    <w:rsid w:val="008B192B"/>
    <w:rsid w:val="008B5984"/>
    <w:rsid w:val="008C01B6"/>
    <w:rsid w:val="008C3558"/>
    <w:rsid w:val="008C4C84"/>
    <w:rsid w:val="008C6767"/>
    <w:rsid w:val="008D04FD"/>
    <w:rsid w:val="008D3147"/>
    <w:rsid w:val="008D3656"/>
    <w:rsid w:val="008D5FC1"/>
    <w:rsid w:val="008D6C42"/>
    <w:rsid w:val="008D74B0"/>
    <w:rsid w:val="008E75EE"/>
    <w:rsid w:val="008E7FD2"/>
    <w:rsid w:val="008F0615"/>
    <w:rsid w:val="008F2FBE"/>
    <w:rsid w:val="008F35E9"/>
    <w:rsid w:val="008F3A6A"/>
    <w:rsid w:val="0090266B"/>
    <w:rsid w:val="0090793E"/>
    <w:rsid w:val="00915483"/>
    <w:rsid w:val="00921BAF"/>
    <w:rsid w:val="0092685B"/>
    <w:rsid w:val="0093656E"/>
    <w:rsid w:val="00944DE1"/>
    <w:rsid w:val="00945381"/>
    <w:rsid w:val="0094753C"/>
    <w:rsid w:val="00951B79"/>
    <w:rsid w:val="00953ADA"/>
    <w:rsid w:val="00961D4F"/>
    <w:rsid w:val="00964D6A"/>
    <w:rsid w:val="00972C26"/>
    <w:rsid w:val="00973FBA"/>
    <w:rsid w:val="00983C1C"/>
    <w:rsid w:val="00984E30"/>
    <w:rsid w:val="00985AC8"/>
    <w:rsid w:val="00985D62"/>
    <w:rsid w:val="00990BB8"/>
    <w:rsid w:val="00994841"/>
    <w:rsid w:val="009A0596"/>
    <w:rsid w:val="009A1186"/>
    <w:rsid w:val="009A618F"/>
    <w:rsid w:val="009A6731"/>
    <w:rsid w:val="009B1556"/>
    <w:rsid w:val="009B6CC5"/>
    <w:rsid w:val="009C3216"/>
    <w:rsid w:val="009C795F"/>
    <w:rsid w:val="009D2761"/>
    <w:rsid w:val="009D7D9B"/>
    <w:rsid w:val="009E0229"/>
    <w:rsid w:val="009E0F9F"/>
    <w:rsid w:val="009E1200"/>
    <w:rsid w:val="009E3180"/>
    <w:rsid w:val="009E3957"/>
    <w:rsid w:val="009E4CD6"/>
    <w:rsid w:val="009E64B3"/>
    <w:rsid w:val="009E6D28"/>
    <w:rsid w:val="009F1174"/>
    <w:rsid w:val="009F4D4E"/>
    <w:rsid w:val="009F7EDD"/>
    <w:rsid w:val="00A01847"/>
    <w:rsid w:val="00A04E18"/>
    <w:rsid w:val="00A127FA"/>
    <w:rsid w:val="00A1309B"/>
    <w:rsid w:val="00A13B99"/>
    <w:rsid w:val="00A16E42"/>
    <w:rsid w:val="00A16F79"/>
    <w:rsid w:val="00A2155A"/>
    <w:rsid w:val="00A24E38"/>
    <w:rsid w:val="00A31785"/>
    <w:rsid w:val="00A35F51"/>
    <w:rsid w:val="00A36EF1"/>
    <w:rsid w:val="00A37C92"/>
    <w:rsid w:val="00A4671A"/>
    <w:rsid w:val="00A51292"/>
    <w:rsid w:val="00A54008"/>
    <w:rsid w:val="00A54C28"/>
    <w:rsid w:val="00A602DC"/>
    <w:rsid w:val="00A62F11"/>
    <w:rsid w:val="00A632D0"/>
    <w:rsid w:val="00A706ED"/>
    <w:rsid w:val="00A70C96"/>
    <w:rsid w:val="00A73F68"/>
    <w:rsid w:val="00A778B7"/>
    <w:rsid w:val="00A82F9B"/>
    <w:rsid w:val="00A85CB2"/>
    <w:rsid w:val="00A86E6C"/>
    <w:rsid w:val="00A90CAE"/>
    <w:rsid w:val="00A9168A"/>
    <w:rsid w:val="00A92BBD"/>
    <w:rsid w:val="00A949E2"/>
    <w:rsid w:val="00A964A3"/>
    <w:rsid w:val="00AA1ED5"/>
    <w:rsid w:val="00AA4124"/>
    <w:rsid w:val="00AA4E3E"/>
    <w:rsid w:val="00AB40E7"/>
    <w:rsid w:val="00AB56E5"/>
    <w:rsid w:val="00AC4195"/>
    <w:rsid w:val="00AD330B"/>
    <w:rsid w:val="00AD3645"/>
    <w:rsid w:val="00AD4635"/>
    <w:rsid w:val="00AE449C"/>
    <w:rsid w:val="00AE4795"/>
    <w:rsid w:val="00AE714B"/>
    <w:rsid w:val="00AE7691"/>
    <w:rsid w:val="00AF0A8B"/>
    <w:rsid w:val="00AF4321"/>
    <w:rsid w:val="00B010FC"/>
    <w:rsid w:val="00B03E72"/>
    <w:rsid w:val="00B04D28"/>
    <w:rsid w:val="00B063C5"/>
    <w:rsid w:val="00B0649D"/>
    <w:rsid w:val="00B07C9E"/>
    <w:rsid w:val="00B172F4"/>
    <w:rsid w:val="00B17B4B"/>
    <w:rsid w:val="00B321BA"/>
    <w:rsid w:val="00B41EBD"/>
    <w:rsid w:val="00B47437"/>
    <w:rsid w:val="00B57AD4"/>
    <w:rsid w:val="00B62C00"/>
    <w:rsid w:val="00B63124"/>
    <w:rsid w:val="00B63879"/>
    <w:rsid w:val="00B63EAD"/>
    <w:rsid w:val="00B65D43"/>
    <w:rsid w:val="00B66E76"/>
    <w:rsid w:val="00B71A7D"/>
    <w:rsid w:val="00B73D4A"/>
    <w:rsid w:val="00B766F2"/>
    <w:rsid w:val="00B77872"/>
    <w:rsid w:val="00B8113D"/>
    <w:rsid w:val="00B81A01"/>
    <w:rsid w:val="00B83FFA"/>
    <w:rsid w:val="00B860D0"/>
    <w:rsid w:val="00BA5D1E"/>
    <w:rsid w:val="00BB2867"/>
    <w:rsid w:val="00BB4006"/>
    <w:rsid w:val="00BC29F6"/>
    <w:rsid w:val="00BD5934"/>
    <w:rsid w:val="00BE0746"/>
    <w:rsid w:val="00BE1C1A"/>
    <w:rsid w:val="00BF1C5A"/>
    <w:rsid w:val="00BF2AD3"/>
    <w:rsid w:val="00BF40DD"/>
    <w:rsid w:val="00BF6A9A"/>
    <w:rsid w:val="00BF7971"/>
    <w:rsid w:val="00C009C8"/>
    <w:rsid w:val="00C066E8"/>
    <w:rsid w:val="00C11098"/>
    <w:rsid w:val="00C1487B"/>
    <w:rsid w:val="00C14E67"/>
    <w:rsid w:val="00C1702C"/>
    <w:rsid w:val="00C20BB4"/>
    <w:rsid w:val="00C2421B"/>
    <w:rsid w:val="00C27396"/>
    <w:rsid w:val="00C27FC5"/>
    <w:rsid w:val="00C34F00"/>
    <w:rsid w:val="00C40E04"/>
    <w:rsid w:val="00C41839"/>
    <w:rsid w:val="00C41F17"/>
    <w:rsid w:val="00C42222"/>
    <w:rsid w:val="00C53403"/>
    <w:rsid w:val="00C54A0E"/>
    <w:rsid w:val="00C57192"/>
    <w:rsid w:val="00C644E5"/>
    <w:rsid w:val="00C66541"/>
    <w:rsid w:val="00C66C4F"/>
    <w:rsid w:val="00C74B03"/>
    <w:rsid w:val="00C751A6"/>
    <w:rsid w:val="00C8096F"/>
    <w:rsid w:val="00C817F9"/>
    <w:rsid w:val="00C878E0"/>
    <w:rsid w:val="00C908D4"/>
    <w:rsid w:val="00C909C8"/>
    <w:rsid w:val="00C9399C"/>
    <w:rsid w:val="00C953D6"/>
    <w:rsid w:val="00CA08C6"/>
    <w:rsid w:val="00CA1BD6"/>
    <w:rsid w:val="00CA2748"/>
    <w:rsid w:val="00CA59BE"/>
    <w:rsid w:val="00CB2802"/>
    <w:rsid w:val="00CB68B5"/>
    <w:rsid w:val="00CC1E86"/>
    <w:rsid w:val="00CC3952"/>
    <w:rsid w:val="00CC476D"/>
    <w:rsid w:val="00CC4A23"/>
    <w:rsid w:val="00CE031A"/>
    <w:rsid w:val="00CE77DF"/>
    <w:rsid w:val="00CF7EDE"/>
    <w:rsid w:val="00D007B6"/>
    <w:rsid w:val="00D06710"/>
    <w:rsid w:val="00D13456"/>
    <w:rsid w:val="00D14993"/>
    <w:rsid w:val="00D23F22"/>
    <w:rsid w:val="00D3145F"/>
    <w:rsid w:val="00D32C66"/>
    <w:rsid w:val="00D34F54"/>
    <w:rsid w:val="00D36C8A"/>
    <w:rsid w:val="00D41AB4"/>
    <w:rsid w:val="00D420E0"/>
    <w:rsid w:val="00D55624"/>
    <w:rsid w:val="00D56CE7"/>
    <w:rsid w:val="00D56F01"/>
    <w:rsid w:val="00D60DA2"/>
    <w:rsid w:val="00D629B8"/>
    <w:rsid w:val="00D63B7E"/>
    <w:rsid w:val="00D65589"/>
    <w:rsid w:val="00D6757F"/>
    <w:rsid w:val="00D70774"/>
    <w:rsid w:val="00D806E8"/>
    <w:rsid w:val="00D85D5A"/>
    <w:rsid w:val="00D86349"/>
    <w:rsid w:val="00D912DE"/>
    <w:rsid w:val="00D93B14"/>
    <w:rsid w:val="00D9416A"/>
    <w:rsid w:val="00DA5A06"/>
    <w:rsid w:val="00DB1DA7"/>
    <w:rsid w:val="00DB1F86"/>
    <w:rsid w:val="00DB4D40"/>
    <w:rsid w:val="00DB5D69"/>
    <w:rsid w:val="00DB72B8"/>
    <w:rsid w:val="00DB795B"/>
    <w:rsid w:val="00DC2AA1"/>
    <w:rsid w:val="00DC35C5"/>
    <w:rsid w:val="00DC54C2"/>
    <w:rsid w:val="00DE22D8"/>
    <w:rsid w:val="00DE24D4"/>
    <w:rsid w:val="00DE4E9E"/>
    <w:rsid w:val="00DE626D"/>
    <w:rsid w:val="00DF0E63"/>
    <w:rsid w:val="00DF14AE"/>
    <w:rsid w:val="00DF61F2"/>
    <w:rsid w:val="00DF6940"/>
    <w:rsid w:val="00E06AA4"/>
    <w:rsid w:val="00E073DE"/>
    <w:rsid w:val="00E111EF"/>
    <w:rsid w:val="00E1169D"/>
    <w:rsid w:val="00E12EE5"/>
    <w:rsid w:val="00E13054"/>
    <w:rsid w:val="00E15DFA"/>
    <w:rsid w:val="00E17069"/>
    <w:rsid w:val="00E17F97"/>
    <w:rsid w:val="00E223CF"/>
    <w:rsid w:val="00E226FB"/>
    <w:rsid w:val="00E34D71"/>
    <w:rsid w:val="00E36222"/>
    <w:rsid w:val="00E4094D"/>
    <w:rsid w:val="00E503FC"/>
    <w:rsid w:val="00E52A91"/>
    <w:rsid w:val="00E57228"/>
    <w:rsid w:val="00E61A4B"/>
    <w:rsid w:val="00E6436A"/>
    <w:rsid w:val="00E64613"/>
    <w:rsid w:val="00E647A3"/>
    <w:rsid w:val="00E70387"/>
    <w:rsid w:val="00E719E2"/>
    <w:rsid w:val="00E74101"/>
    <w:rsid w:val="00E7633D"/>
    <w:rsid w:val="00E80D56"/>
    <w:rsid w:val="00E814AD"/>
    <w:rsid w:val="00E93B61"/>
    <w:rsid w:val="00EA0D1C"/>
    <w:rsid w:val="00EB2CAE"/>
    <w:rsid w:val="00EB4258"/>
    <w:rsid w:val="00EC02B6"/>
    <w:rsid w:val="00EC19A2"/>
    <w:rsid w:val="00ED075B"/>
    <w:rsid w:val="00EE79D0"/>
    <w:rsid w:val="00EF64C3"/>
    <w:rsid w:val="00EF6625"/>
    <w:rsid w:val="00F01CB7"/>
    <w:rsid w:val="00F0404B"/>
    <w:rsid w:val="00F06738"/>
    <w:rsid w:val="00F06FCD"/>
    <w:rsid w:val="00F10BD5"/>
    <w:rsid w:val="00F10CD9"/>
    <w:rsid w:val="00F13437"/>
    <w:rsid w:val="00F22898"/>
    <w:rsid w:val="00F25F7C"/>
    <w:rsid w:val="00F278D7"/>
    <w:rsid w:val="00F350BD"/>
    <w:rsid w:val="00F3721C"/>
    <w:rsid w:val="00F417A5"/>
    <w:rsid w:val="00F42763"/>
    <w:rsid w:val="00F457BC"/>
    <w:rsid w:val="00F50375"/>
    <w:rsid w:val="00F55F80"/>
    <w:rsid w:val="00F64346"/>
    <w:rsid w:val="00F652AA"/>
    <w:rsid w:val="00F67728"/>
    <w:rsid w:val="00F7104A"/>
    <w:rsid w:val="00F760CF"/>
    <w:rsid w:val="00F82371"/>
    <w:rsid w:val="00F823F2"/>
    <w:rsid w:val="00F84BFF"/>
    <w:rsid w:val="00F84E14"/>
    <w:rsid w:val="00F8571C"/>
    <w:rsid w:val="00F958CF"/>
    <w:rsid w:val="00FA0837"/>
    <w:rsid w:val="00FA179E"/>
    <w:rsid w:val="00FB0E29"/>
    <w:rsid w:val="00FB75F2"/>
    <w:rsid w:val="00FB7E6F"/>
    <w:rsid w:val="00FC3A8E"/>
    <w:rsid w:val="00FC7B69"/>
    <w:rsid w:val="00FD712E"/>
    <w:rsid w:val="00FD722C"/>
    <w:rsid w:val="00FE02C0"/>
    <w:rsid w:val="00FE49F9"/>
    <w:rsid w:val="00FF31B7"/>
    <w:rsid w:val="00FF4D54"/>
    <w:rsid w:val="00FF7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0DAE08"/>
  <w15:docId w15:val="{BA87D969-68E9-48F2-95F6-C59B4B49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16"/>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F84E14"/>
    <w:rPr>
      <w:vertAlign w:val="superscript"/>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ußnotentext Char1 Char Char, Char1"/>
    <w:basedOn w:val="Normal"/>
    <w:link w:val="FootnoteTextChar"/>
    <w:uiPriority w:val="99"/>
    <w:unhideWhenUsed/>
    <w:qFormat/>
    <w:rsid w:val="00F84E14"/>
    <w:rPr>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Char1 Char"/>
    <w:basedOn w:val="DefaultParagraphFont"/>
    <w:link w:val="FootnoteText"/>
    <w:uiPriority w:val="99"/>
    <w:rsid w:val="00F84E14"/>
    <w:rPr>
      <w:lang w:val="en-GB"/>
    </w:rPr>
  </w:style>
  <w:style w:type="character" w:customStyle="1" w:styleId="ListParagraphChar">
    <w:name w:val="List Paragraph Char"/>
    <w:aliases w:val="List of Tables Char,List Paragraph (numbered (a)) Char Char,List Paragraph Char Char Char Char,List Paragraph (numbered (a)) Char1,Use Case List Paragraph Char,List Paragraph2 Char,Numbered List Paragraph Char,Bullet paras Char"/>
    <w:basedOn w:val="DefaultParagraphFont"/>
    <w:link w:val="ListParagraph"/>
    <w:uiPriority w:val="34"/>
    <w:locked/>
    <w:rsid w:val="00F84E14"/>
    <w:rPr>
      <w:lang w:val="en-GB"/>
    </w:rPr>
  </w:style>
  <w:style w:type="paragraph" w:styleId="ListParagraph">
    <w:name w:val="List Paragraph"/>
    <w:aliases w:val="List of Tables,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F84E14"/>
    <w:pPr>
      <w:ind w:left="720"/>
      <w:contextualSpacing/>
    </w:pPr>
    <w:rPr>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72C26"/>
    <w:pPr>
      <w:spacing w:after="160" w:line="240" w:lineRule="exact"/>
    </w:pPr>
    <w:rPr>
      <w:sz w:val="20"/>
      <w:szCs w:val="20"/>
      <w:vertAlign w:val="superscript"/>
      <w:lang w:val="en-US"/>
    </w:rPr>
  </w:style>
  <w:style w:type="character" w:customStyle="1" w:styleId="HeaderChar">
    <w:name w:val="Header Char"/>
    <w:basedOn w:val="DefaultParagraphFont"/>
    <w:link w:val="Header"/>
    <w:rsid w:val="00972C26"/>
    <w:rPr>
      <w:sz w:val="22"/>
      <w:szCs w:val="22"/>
      <w:lang w:val="en-GB"/>
    </w:rPr>
  </w:style>
  <w:style w:type="character" w:styleId="Hyperlink">
    <w:name w:val="Hyperlink"/>
    <w:basedOn w:val="DefaultParagraphFont"/>
    <w:uiPriority w:val="99"/>
    <w:unhideWhenUsed/>
    <w:rsid w:val="00972C26"/>
    <w:rPr>
      <w:color w:val="0000FF"/>
      <w:u w:val="single"/>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Heading1 Char"/>
    <w:basedOn w:val="DefaultParagraphFont"/>
    <w:uiPriority w:val="9"/>
    <w:rsid w:val="00B41EBD"/>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41EBD"/>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B41EBD"/>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B41EBD"/>
    <w:rPr>
      <w:sz w:val="22"/>
      <w:szCs w:val="22"/>
      <w:lang w:val="en-GB"/>
    </w:rPr>
  </w:style>
  <w:style w:type="character" w:customStyle="1" w:styleId="Heading5Char">
    <w:name w:val="Heading 5 Char"/>
    <w:basedOn w:val="DefaultParagraphFont"/>
    <w:link w:val="Heading5"/>
    <w:rsid w:val="00B41EBD"/>
    <w:rPr>
      <w:sz w:val="22"/>
      <w:szCs w:val="22"/>
      <w:lang w:val="en-GB"/>
    </w:rPr>
  </w:style>
  <w:style w:type="character" w:customStyle="1" w:styleId="Heading6Char">
    <w:name w:val="Heading 6 Char"/>
    <w:basedOn w:val="DefaultParagraphFont"/>
    <w:link w:val="Heading6"/>
    <w:rsid w:val="00B41EBD"/>
    <w:rPr>
      <w:rFonts w:ascii="Arial" w:hAnsi="Arial"/>
      <w:i/>
      <w:sz w:val="22"/>
      <w:szCs w:val="22"/>
      <w:lang w:val="en-GB"/>
    </w:rPr>
  </w:style>
  <w:style w:type="character" w:customStyle="1" w:styleId="Heading7Char">
    <w:name w:val="Heading 7 Char"/>
    <w:basedOn w:val="DefaultParagraphFont"/>
    <w:link w:val="Heading7"/>
    <w:rsid w:val="00B41EBD"/>
    <w:rPr>
      <w:rFonts w:ascii="Arial" w:hAnsi="Arial"/>
      <w:sz w:val="22"/>
      <w:szCs w:val="22"/>
      <w:lang w:val="en-GB"/>
    </w:rPr>
  </w:style>
  <w:style w:type="character" w:customStyle="1" w:styleId="Heading8Char">
    <w:name w:val="Heading 8 Char"/>
    <w:basedOn w:val="DefaultParagraphFont"/>
    <w:link w:val="Heading8"/>
    <w:rsid w:val="00B41EBD"/>
    <w:rPr>
      <w:b/>
      <w:sz w:val="22"/>
      <w:szCs w:val="22"/>
      <w:lang w:val="en-GB"/>
    </w:rPr>
  </w:style>
  <w:style w:type="character" w:customStyle="1" w:styleId="Heading9Char">
    <w:name w:val="Heading 9 Char"/>
    <w:basedOn w:val="DefaultParagraphFont"/>
    <w:link w:val="Heading9"/>
    <w:rsid w:val="00B41EBD"/>
    <w:rPr>
      <w:rFonts w:ascii="Arial" w:hAnsi="Arial"/>
      <w:i/>
      <w:sz w:val="18"/>
      <w:szCs w:val="22"/>
      <w:lang w:val="en-GB"/>
    </w:rPr>
  </w:style>
  <w:style w:type="character" w:customStyle="1" w:styleId="BodyText3Char">
    <w:name w:val="Body Text 3 Char"/>
    <w:basedOn w:val="DefaultParagraphFont"/>
    <w:link w:val="BodyText3"/>
    <w:semiHidden/>
    <w:rsid w:val="00B41EBD"/>
    <w:rPr>
      <w:sz w:val="16"/>
      <w:szCs w:val="16"/>
      <w:lang w:val="en-GB"/>
    </w:rPr>
  </w:style>
  <w:style w:type="character" w:customStyle="1" w:styleId="BodyTextIndent3Char">
    <w:name w:val="Body Text Indent 3 Char"/>
    <w:basedOn w:val="DefaultParagraphFont"/>
    <w:link w:val="BodyTextIndent3"/>
    <w:semiHidden/>
    <w:rsid w:val="00B41EBD"/>
    <w:rPr>
      <w:sz w:val="16"/>
      <w:szCs w:val="16"/>
      <w:lang w:val="en-GB"/>
    </w:rPr>
  </w:style>
  <w:style w:type="character" w:customStyle="1" w:styleId="DateChar">
    <w:name w:val="Date Char"/>
    <w:basedOn w:val="DefaultParagraphFont"/>
    <w:link w:val="Date"/>
    <w:rsid w:val="00B41EBD"/>
    <w:rPr>
      <w:sz w:val="22"/>
      <w:szCs w:val="22"/>
      <w:lang w:val="en-GB"/>
    </w:rPr>
  </w:style>
  <w:style w:type="character" w:customStyle="1" w:styleId="PlainTextChar">
    <w:name w:val="Plain Text Char"/>
    <w:basedOn w:val="DefaultParagraphFont"/>
    <w:link w:val="PlainText"/>
    <w:semiHidden/>
    <w:rsid w:val="00B41EBD"/>
    <w:rPr>
      <w:rFonts w:ascii="Courier New" w:hAnsi="Courier New" w:cs="Courier New"/>
      <w:szCs w:val="22"/>
      <w:lang w:val="en-GB"/>
    </w:rPr>
  </w:style>
  <w:style w:type="character" w:customStyle="1" w:styleId="SubtitleChar">
    <w:name w:val="Subtitle Char"/>
    <w:basedOn w:val="DefaultParagraphFont"/>
    <w:link w:val="Subtitle"/>
    <w:rsid w:val="00B41EBD"/>
    <w:rPr>
      <w:rFonts w:ascii="Arial" w:hAnsi="Arial" w:cs="Arial"/>
      <w:sz w:val="22"/>
      <w:szCs w:val="22"/>
      <w:lang w:val="en-GB"/>
    </w:rPr>
  </w:style>
  <w:style w:type="character" w:customStyle="1" w:styleId="TitleChar">
    <w:name w:val="Title Char"/>
    <w:basedOn w:val="DefaultParagraphFont"/>
    <w:link w:val="Title"/>
    <w:rsid w:val="00B41EBD"/>
    <w:rPr>
      <w:rFonts w:ascii="Arial" w:hAnsi="Arial" w:cs="Arial"/>
      <w:b/>
      <w:bCs/>
      <w:kern w:val="28"/>
      <w:sz w:val="22"/>
      <w:szCs w:val="22"/>
      <w:lang w:val="en-GB"/>
    </w:rPr>
  </w:style>
  <w:style w:type="character" w:styleId="PageNumber">
    <w:name w:val="page number"/>
    <w:basedOn w:val="DefaultParagraphFont"/>
    <w:unhideWhenUsed/>
    <w:rsid w:val="00C27FC5"/>
  </w:style>
  <w:style w:type="paragraph" w:customStyle="1" w:styleId="Title2">
    <w:name w:val="Title2"/>
    <w:rsid w:val="002340F2"/>
    <w:pPr>
      <w:jc w:val="center"/>
      <w:outlineLvl w:val="0"/>
    </w:pPr>
    <w:rPr>
      <w:b/>
      <w:caps/>
      <w:sz w:val="22"/>
      <w:szCs w:val="22"/>
      <w:lang w:val="en-GB"/>
    </w:rPr>
  </w:style>
  <w:style w:type="paragraph" w:customStyle="1" w:styleId="subhead">
    <w:name w:val="subhead"/>
    <w:basedOn w:val="Normal"/>
    <w:next w:val="Normal"/>
    <w:uiPriority w:val="99"/>
    <w:rsid w:val="002340F2"/>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Default">
    <w:name w:val="Default"/>
    <w:rsid w:val="00A86E6C"/>
    <w:pPr>
      <w:autoSpaceDE w:val="0"/>
      <w:autoSpaceDN w:val="0"/>
      <w:adjustRightInd w:val="0"/>
    </w:pPr>
    <w:rPr>
      <w:rFonts w:eastAsiaTheme="minorHAnsi"/>
      <w:color w:val="000000"/>
      <w:sz w:val="24"/>
      <w:szCs w:val="24"/>
    </w:rPr>
  </w:style>
  <w:style w:type="character" w:styleId="Emphasis">
    <w:name w:val="Emphasis"/>
    <w:basedOn w:val="DefaultParagraphFont"/>
    <w:qFormat/>
    <w:rsid w:val="00A86E6C"/>
    <w:rPr>
      <w:i/>
      <w:iCs/>
    </w:rPr>
  </w:style>
  <w:style w:type="paragraph" w:styleId="Revision">
    <w:name w:val="Revision"/>
    <w:hidden/>
    <w:uiPriority w:val="99"/>
    <w:semiHidden/>
    <w:rsid w:val="006E6EFD"/>
    <w:rPr>
      <w:sz w:val="22"/>
      <w:szCs w:val="22"/>
      <w:lang w:val="en-GB"/>
    </w:rPr>
  </w:style>
  <w:style w:type="character" w:styleId="FollowedHyperlink">
    <w:name w:val="FollowedHyperlink"/>
    <w:basedOn w:val="DefaultParagraphFont"/>
    <w:uiPriority w:val="99"/>
    <w:semiHidden/>
    <w:unhideWhenUsed/>
    <w:rsid w:val="006E6EFD"/>
    <w:rPr>
      <w:color w:val="954F72"/>
      <w:u w:val="single"/>
    </w:rPr>
  </w:style>
  <w:style w:type="paragraph" w:customStyle="1" w:styleId="msonormal0">
    <w:name w:val="msonormal"/>
    <w:basedOn w:val="Normal"/>
    <w:rsid w:val="006E6EFD"/>
    <w:pPr>
      <w:spacing w:before="100" w:beforeAutospacing="1" w:after="100" w:afterAutospacing="1"/>
      <w:jc w:val="left"/>
    </w:pPr>
    <w:rPr>
      <w:sz w:val="24"/>
      <w:szCs w:val="24"/>
      <w:lang w:val="en-CA" w:eastAsia="en-CA"/>
    </w:rPr>
  </w:style>
  <w:style w:type="paragraph" w:customStyle="1" w:styleId="xl63">
    <w:name w:val="xl63"/>
    <w:basedOn w:val="Normal"/>
    <w:rsid w:val="006E6EFD"/>
    <w:pPr>
      <w:spacing w:before="100" w:beforeAutospacing="1" w:after="100" w:afterAutospacing="1"/>
      <w:jc w:val="left"/>
    </w:pPr>
    <w:rPr>
      <w:sz w:val="24"/>
      <w:szCs w:val="24"/>
      <w:lang w:val="en-CA" w:eastAsia="en-CA"/>
    </w:rPr>
  </w:style>
  <w:style w:type="paragraph" w:customStyle="1" w:styleId="xl64">
    <w:name w:val="xl64"/>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eastAsia="en-CA"/>
    </w:rPr>
  </w:style>
  <w:style w:type="paragraph" w:customStyle="1" w:styleId="xl65">
    <w:name w:val="xl65"/>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eastAsia="en-CA"/>
    </w:rPr>
  </w:style>
  <w:style w:type="paragraph" w:customStyle="1" w:styleId="xl66">
    <w:name w:val="xl66"/>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CA" w:eastAsia="en-CA"/>
    </w:rPr>
  </w:style>
  <w:style w:type="paragraph" w:customStyle="1" w:styleId="xl67">
    <w:name w:val="xl67"/>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eastAsia="en-CA"/>
    </w:rPr>
  </w:style>
  <w:style w:type="paragraph" w:customStyle="1" w:styleId="xl68">
    <w:name w:val="xl68"/>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CA" w:eastAsia="en-CA"/>
    </w:rPr>
  </w:style>
  <w:style w:type="paragraph" w:customStyle="1" w:styleId="xl69">
    <w:name w:val="xl69"/>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eastAsia="en-CA"/>
    </w:rPr>
  </w:style>
  <w:style w:type="paragraph" w:customStyle="1" w:styleId="xl70">
    <w:name w:val="xl70"/>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eastAsia="en-CA"/>
    </w:rPr>
  </w:style>
  <w:style w:type="paragraph" w:customStyle="1" w:styleId="xl71">
    <w:name w:val="xl71"/>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CA" w:eastAsia="en-CA"/>
    </w:rPr>
  </w:style>
  <w:style w:type="paragraph" w:styleId="BodyText">
    <w:name w:val="Body Text"/>
    <w:basedOn w:val="Normal"/>
    <w:link w:val="BodyTextChar"/>
    <w:semiHidden/>
    <w:rsid w:val="006E6EFD"/>
    <w:pPr>
      <w:spacing w:after="120"/>
    </w:pPr>
  </w:style>
  <w:style w:type="character" w:customStyle="1" w:styleId="BodyTextChar">
    <w:name w:val="Body Text Char"/>
    <w:basedOn w:val="DefaultParagraphFont"/>
    <w:link w:val="BodyText"/>
    <w:semiHidden/>
    <w:rsid w:val="006E6EFD"/>
    <w:rPr>
      <w:sz w:val="22"/>
      <w:szCs w:val="22"/>
      <w:lang w:val="en-GB"/>
    </w:rPr>
  </w:style>
  <w:style w:type="paragraph" w:styleId="BodyText2">
    <w:name w:val="Body Text 2"/>
    <w:basedOn w:val="Normal"/>
    <w:link w:val="BodyText2Char"/>
    <w:semiHidden/>
    <w:rsid w:val="006E6EFD"/>
    <w:pPr>
      <w:spacing w:after="120" w:line="480" w:lineRule="auto"/>
    </w:pPr>
  </w:style>
  <w:style w:type="character" w:customStyle="1" w:styleId="BodyText2Char">
    <w:name w:val="Body Text 2 Char"/>
    <w:basedOn w:val="DefaultParagraphFont"/>
    <w:link w:val="BodyText2"/>
    <w:semiHidden/>
    <w:rsid w:val="006E6EFD"/>
    <w:rPr>
      <w:sz w:val="22"/>
      <w:szCs w:val="22"/>
      <w:lang w:val="en-GB"/>
    </w:rPr>
  </w:style>
  <w:style w:type="paragraph" w:styleId="BodyTextFirstIndent">
    <w:name w:val="Body Text First Indent"/>
    <w:basedOn w:val="BodyText"/>
    <w:link w:val="BodyTextFirstIndentChar"/>
    <w:semiHidden/>
    <w:rsid w:val="006E6EFD"/>
    <w:pPr>
      <w:ind w:firstLine="210"/>
    </w:pPr>
  </w:style>
  <w:style w:type="character" w:customStyle="1" w:styleId="BodyTextFirstIndentChar">
    <w:name w:val="Body Text First Indent Char"/>
    <w:basedOn w:val="BodyTextChar"/>
    <w:link w:val="BodyTextFirstIndent"/>
    <w:semiHidden/>
    <w:rsid w:val="006E6EFD"/>
    <w:rPr>
      <w:sz w:val="22"/>
      <w:szCs w:val="22"/>
      <w:lang w:val="en-GB"/>
    </w:rPr>
  </w:style>
  <w:style w:type="paragraph" w:styleId="BodyTextIndent">
    <w:name w:val="Body Text Indent"/>
    <w:basedOn w:val="Normal"/>
    <w:link w:val="BodyTextIndentChar"/>
    <w:semiHidden/>
    <w:rsid w:val="006E6EFD"/>
    <w:pPr>
      <w:spacing w:after="120"/>
      <w:ind w:left="360"/>
    </w:pPr>
  </w:style>
  <w:style w:type="character" w:customStyle="1" w:styleId="BodyTextIndentChar">
    <w:name w:val="Body Text Indent Char"/>
    <w:basedOn w:val="DefaultParagraphFont"/>
    <w:link w:val="BodyTextIndent"/>
    <w:semiHidden/>
    <w:rsid w:val="006E6EFD"/>
    <w:rPr>
      <w:sz w:val="22"/>
      <w:szCs w:val="22"/>
      <w:lang w:val="en-GB"/>
    </w:rPr>
  </w:style>
  <w:style w:type="paragraph" w:styleId="BodyTextFirstIndent2">
    <w:name w:val="Body Text First Indent 2"/>
    <w:basedOn w:val="BodyTextIndent"/>
    <w:link w:val="BodyTextFirstIndent2Char"/>
    <w:semiHidden/>
    <w:rsid w:val="006E6EFD"/>
    <w:pPr>
      <w:ind w:firstLine="210"/>
    </w:pPr>
  </w:style>
  <w:style w:type="character" w:customStyle="1" w:styleId="BodyTextFirstIndent2Char">
    <w:name w:val="Body Text First Indent 2 Char"/>
    <w:basedOn w:val="BodyTextIndentChar"/>
    <w:link w:val="BodyTextFirstIndent2"/>
    <w:semiHidden/>
    <w:rsid w:val="006E6EFD"/>
    <w:rPr>
      <w:sz w:val="22"/>
      <w:szCs w:val="22"/>
      <w:lang w:val="en-GB"/>
    </w:rPr>
  </w:style>
  <w:style w:type="paragraph" w:styleId="BodyTextIndent2">
    <w:name w:val="Body Text Indent 2"/>
    <w:basedOn w:val="Normal"/>
    <w:link w:val="BodyTextIndent2Char"/>
    <w:semiHidden/>
    <w:rsid w:val="006E6EFD"/>
    <w:pPr>
      <w:spacing w:after="120" w:line="480" w:lineRule="auto"/>
      <w:ind w:left="360"/>
    </w:pPr>
  </w:style>
  <w:style w:type="character" w:customStyle="1" w:styleId="BodyTextIndent2Char">
    <w:name w:val="Body Text Indent 2 Char"/>
    <w:basedOn w:val="DefaultParagraphFont"/>
    <w:link w:val="BodyTextIndent2"/>
    <w:semiHidden/>
    <w:rsid w:val="006E6EFD"/>
    <w:rPr>
      <w:sz w:val="22"/>
      <w:szCs w:val="22"/>
      <w:lang w:val="en-GB"/>
    </w:rPr>
  </w:style>
  <w:style w:type="paragraph" w:styleId="Closing">
    <w:name w:val="Closing"/>
    <w:basedOn w:val="Normal"/>
    <w:link w:val="ClosingChar"/>
    <w:semiHidden/>
    <w:rsid w:val="006E6EFD"/>
    <w:pPr>
      <w:ind w:left="4320"/>
    </w:pPr>
  </w:style>
  <w:style w:type="character" w:customStyle="1" w:styleId="ClosingChar">
    <w:name w:val="Closing Char"/>
    <w:basedOn w:val="DefaultParagraphFont"/>
    <w:link w:val="Closing"/>
    <w:semiHidden/>
    <w:rsid w:val="006E6EFD"/>
    <w:rPr>
      <w:sz w:val="22"/>
      <w:szCs w:val="22"/>
      <w:lang w:val="en-GB"/>
    </w:rPr>
  </w:style>
  <w:style w:type="paragraph" w:styleId="E-mailSignature">
    <w:name w:val="E-mail Signature"/>
    <w:basedOn w:val="Normal"/>
    <w:link w:val="E-mailSignatureChar"/>
    <w:semiHidden/>
    <w:rsid w:val="006E6EFD"/>
  </w:style>
  <w:style w:type="character" w:customStyle="1" w:styleId="E-mailSignatureChar">
    <w:name w:val="E-mail Signature Char"/>
    <w:basedOn w:val="DefaultParagraphFont"/>
    <w:link w:val="E-mailSignature"/>
    <w:semiHidden/>
    <w:rsid w:val="006E6EFD"/>
    <w:rPr>
      <w:sz w:val="22"/>
      <w:szCs w:val="22"/>
      <w:lang w:val="en-GB"/>
    </w:rPr>
  </w:style>
  <w:style w:type="paragraph" w:styleId="EnvelopeAddress">
    <w:name w:val="envelope address"/>
    <w:basedOn w:val="Normal"/>
    <w:semiHidden/>
    <w:rsid w:val="006E6EF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E6EFD"/>
    <w:rPr>
      <w:rFonts w:ascii="Arial" w:hAnsi="Arial" w:cs="Arial"/>
      <w:sz w:val="20"/>
    </w:rPr>
  </w:style>
  <w:style w:type="character" w:styleId="HTMLAcronym">
    <w:name w:val="HTML Acronym"/>
    <w:basedOn w:val="DefaultParagraphFont"/>
    <w:semiHidden/>
    <w:rsid w:val="006E6EFD"/>
  </w:style>
  <w:style w:type="paragraph" w:styleId="HTMLAddress">
    <w:name w:val="HTML Address"/>
    <w:basedOn w:val="Normal"/>
    <w:link w:val="HTMLAddressChar"/>
    <w:semiHidden/>
    <w:rsid w:val="006E6EFD"/>
    <w:rPr>
      <w:i/>
      <w:iCs/>
    </w:rPr>
  </w:style>
  <w:style w:type="character" w:customStyle="1" w:styleId="HTMLAddressChar">
    <w:name w:val="HTML Address Char"/>
    <w:basedOn w:val="DefaultParagraphFont"/>
    <w:link w:val="HTMLAddress"/>
    <w:semiHidden/>
    <w:rsid w:val="006E6EFD"/>
    <w:rPr>
      <w:i/>
      <w:iCs/>
      <w:sz w:val="22"/>
      <w:szCs w:val="22"/>
      <w:lang w:val="en-GB"/>
    </w:rPr>
  </w:style>
  <w:style w:type="character" w:styleId="HTMLCite">
    <w:name w:val="HTML Cite"/>
    <w:basedOn w:val="DefaultParagraphFont"/>
    <w:semiHidden/>
    <w:rsid w:val="006E6EFD"/>
    <w:rPr>
      <w:i/>
      <w:iCs/>
    </w:rPr>
  </w:style>
  <w:style w:type="character" w:styleId="HTMLCode">
    <w:name w:val="HTML Code"/>
    <w:basedOn w:val="DefaultParagraphFont"/>
    <w:semiHidden/>
    <w:rsid w:val="006E6EFD"/>
    <w:rPr>
      <w:rFonts w:ascii="Courier New" w:hAnsi="Courier New" w:cs="Courier New"/>
      <w:sz w:val="20"/>
      <w:szCs w:val="20"/>
    </w:rPr>
  </w:style>
  <w:style w:type="character" w:styleId="HTMLDefinition">
    <w:name w:val="HTML Definition"/>
    <w:basedOn w:val="DefaultParagraphFont"/>
    <w:semiHidden/>
    <w:rsid w:val="006E6EFD"/>
    <w:rPr>
      <w:i/>
      <w:iCs/>
    </w:rPr>
  </w:style>
  <w:style w:type="character" w:styleId="HTMLKeyboard">
    <w:name w:val="HTML Keyboard"/>
    <w:basedOn w:val="DefaultParagraphFont"/>
    <w:semiHidden/>
    <w:rsid w:val="006E6EFD"/>
    <w:rPr>
      <w:rFonts w:ascii="Courier New" w:hAnsi="Courier New" w:cs="Courier New"/>
      <w:sz w:val="20"/>
      <w:szCs w:val="20"/>
    </w:rPr>
  </w:style>
  <w:style w:type="paragraph" w:styleId="HTMLPreformatted">
    <w:name w:val="HTML Preformatted"/>
    <w:basedOn w:val="Normal"/>
    <w:link w:val="HTMLPreformattedChar"/>
    <w:semiHidden/>
    <w:rsid w:val="006E6EFD"/>
    <w:rPr>
      <w:rFonts w:ascii="Courier New" w:hAnsi="Courier New" w:cs="Courier New"/>
      <w:sz w:val="20"/>
    </w:rPr>
  </w:style>
  <w:style w:type="character" w:customStyle="1" w:styleId="HTMLPreformattedChar">
    <w:name w:val="HTML Preformatted Char"/>
    <w:basedOn w:val="DefaultParagraphFont"/>
    <w:link w:val="HTMLPreformatted"/>
    <w:semiHidden/>
    <w:rsid w:val="006E6EFD"/>
    <w:rPr>
      <w:rFonts w:ascii="Courier New" w:hAnsi="Courier New" w:cs="Courier New"/>
      <w:szCs w:val="22"/>
      <w:lang w:val="en-GB"/>
    </w:rPr>
  </w:style>
  <w:style w:type="character" w:styleId="HTMLSample">
    <w:name w:val="HTML Sample"/>
    <w:basedOn w:val="DefaultParagraphFont"/>
    <w:semiHidden/>
    <w:rsid w:val="006E6EFD"/>
    <w:rPr>
      <w:rFonts w:ascii="Courier New" w:hAnsi="Courier New" w:cs="Courier New"/>
    </w:rPr>
  </w:style>
  <w:style w:type="character" w:styleId="HTMLTypewriter">
    <w:name w:val="HTML Typewriter"/>
    <w:basedOn w:val="DefaultParagraphFont"/>
    <w:semiHidden/>
    <w:rsid w:val="006E6EFD"/>
    <w:rPr>
      <w:rFonts w:ascii="Courier New" w:hAnsi="Courier New" w:cs="Courier New"/>
      <w:sz w:val="20"/>
      <w:szCs w:val="20"/>
    </w:rPr>
  </w:style>
  <w:style w:type="character" w:styleId="HTMLVariable">
    <w:name w:val="HTML Variable"/>
    <w:basedOn w:val="DefaultParagraphFont"/>
    <w:semiHidden/>
    <w:rsid w:val="006E6EFD"/>
    <w:rPr>
      <w:i/>
      <w:iCs/>
    </w:rPr>
  </w:style>
  <w:style w:type="character" w:styleId="LineNumber">
    <w:name w:val="line number"/>
    <w:basedOn w:val="DefaultParagraphFont"/>
    <w:semiHidden/>
    <w:rsid w:val="006E6EFD"/>
  </w:style>
  <w:style w:type="paragraph" w:styleId="List">
    <w:name w:val="List"/>
    <w:basedOn w:val="Normal"/>
    <w:semiHidden/>
    <w:rsid w:val="006E6EFD"/>
    <w:pPr>
      <w:ind w:left="360" w:hanging="360"/>
    </w:pPr>
  </w:style>
  <w:style w:type="paragraph" w:styleId="List2">
    <w:name w:val="List 2"/>
    <w:basedOn w:val="Normal"/>
    <w:semiHidden/>
    <w:rsid w:val="006E6EFD"/>
    <w:pPr>
      <w:ind w:left="720" w:hanging="360"/>
    </w:pPr>
  </w:style>
  <w:style w:type="paragraph" w:styleId="List3">
    <w:name w:val="List 3"/>
    <w:basedOn w:val="Normal"/>
    <w:semiHidden/>
    <w:rsid w:val="006E6EFD"/>
    <w:pPr>
      <w:ind w:left="1080" w:hanging="360"/>
    </w:pPr>
  </w:style>
  <w:style w:type="paragraph" w:styleId="List4">
    <w:name w:val="List 4"/>
    <w:basedOn w:val="Normal"/>
    <w:semiHidden/>
    <w:rsid w:val="006E6EFD"/>
    <w:pPr>
      <w:ind w:left="1440" w:hanging="360"/>
    </w:pPr>
  </w:style>
  <w:style w:type="paragraph" w:styleId="List5">
    <w:name w:val="List 5"/>
    <w:basedOn w:val="Normal"/>
    <w:semiHidden/>
    <w:rsid w:val="006E6EFD"/>
    <w:pPr>
      <w:ind w:left="1800" w:hanging="360"/>
    </w:pPr>
  </w:style>
  <w:style w:type="paragraph" w:styleId="ListBullet">
    <w:name w:val="List Bullet"/>
    <w:basedOn w:val="Normal"/>
    <w:autoRedefine/>
    <w:semiHidden/>
    <w:rsid w:val="006E6EFD"/>
    <w:pPr>
      <w:tabs>
        <w:tab w:val="num" w:pos="360"/>
      </w:tabs>
      <w:ind w:left="360" w:hanging="360"/>
    </w:pPr>
  </w:style>
  <w:style w:type="paragraph" w:styleId="ListBullet2">
    <w:name w:val="List Bullet 2"/>
    <w:basedOn w:val="Normal"/>
    <w:autoRedefine/>
    <w:semiHidden/>
    <w:rsid w:val="006E6EFD"/>
    <w:pPr>
      <w:tabs>
        <w:tab w:val="num" w:pos="720"/>
      </w:tabs>
      <w:ind w:left="720" w:hanging="360"/>
    </w:pPr>
  </w:style>
  <w:style w:type="paragraph" w:styleId="ListBullet3">
    <w:name w:val="List Bullet 3"/>
    <w:basedOn w:val="Normal"/>
    <w:autoRedefine/>
    <w:semiHidden/>
    <w:rsid w:val="006E6EFD"/>
    <w:pPr>
      <w:tabs>
        <w:tab w:val="num" w:pos="1080"/>
      </w:tabs>
      <w:ind w:left="1080" w:hanging="360"/>
    </w:pPr>
  </w:style>
  <w:style w:type="paragraph" w:styleId="ListBullet4">
    <w:name w:val="List Bullet 4"/>
    <w:basedOn w:val="Normal"/>
    <w:autoRedefine/>
    <w:semiHidden/>
    <w:rsid w:val="006E6EFD"/>
    <w:pPr>
      <w:tabs>
        <w:tab w:val="num" w:pos="1440"/>
      </w:tabs>
      <w:ind w:left="1440" w:hanging="360"/>
    </w:pPr>
  </w:style>
  <w:style w:type="paragraph" w:styleId="ListBullet5">
    <w:name w:val="List Bullet 5"/>
    <w:basedOn w:val="Normal"/>
    <w:autoRedefine/>
    <w:semiHidden/>
    <w:rsid w:val="006E6EFD"/>
    <w:pPr>
      <w:tabs>
        <w:tab w:val="num" w:pos="1800"/>
      </w:tabs>
      <w:ind w:left="1800" w:hanging="360"/>
    </w:pPr>
  </w:style>
  <w:style w:type="paragraph" w:styleId="ListContinue">
    <w:name w:val="List Continue"/>
    <w:basedOn w:val="Normal"/>
    <w:semiHidden/>
    <w:rsid w:val="006E6EFD"/>
    <w:pPr>
      <w:spacing w:after="120"/>
      <w:ind w:left="360"/>
    </w:pPr>
  </w:style>
  <w:style w:type="paragraph" w:styleId="ListContinue2">
    <w:name w:val="List Continue 2"/>
    <w:basedOn w:val="Normal"/>
    <w:semiHidden/>
    <w:rsid w:val="006E6EFD"/>
    <w:pPr>
      <w:spacing w:after="120"/>
      <w:ind w:left="720"/>
    </w:pPr>
  </w:style>
  <w:style w:type="paragraph" w:styleId="ListContinue3">
    <w:name w:val="List Continue 3"/>
    <w:basedOn w:val="Normal"/>
    <w:semiHidden/>
    <w:rsid w:val="006E6EFD"/>
    <w:pPr>
      <w:spacing w:after="120"/>
      <w:ind w:left="1080"/>
    </w:pPr>
  </w:style>
  <w:style w:type="paragraph" w:styleId="ListContinue4">
    <w:name w:val="List Continue 4"/>
    <w:basedOn w:val="Normal"/>
    <w:semiHidden/>
    <w:rsid w:val="006E6EFD"/>
    <w:pPr>
      <w:spacing w:after="120"/>
      <w:ind w:left="1440"/>
    </w:pPr>
  </w:style>
  <w:style w:type="paragraph" w:styleId="ListContinue5">
    <w:name w:val="List Continue 5"/>
    <w:basedOn w:val="Normal"/>
    <w:semiHidden/>
    <w:rsid w:val="006E6EFD"/>
    <w:pPr>
      <w:spacing w:after="120"/>
      <w:ind w:left="1800"/>
    </w:pPr>
  </w:style>
  <w:style w:type="paragraph" w:styleId="ListNumber">
    <w:name w:val="List Number"/>
    <w:basedOn w:val="Normal"/>
    <w:semiHidden/>
    <w:rsid w:val="006E6EFD"/>
    <w:pPr>
      <w:tabs>
        <w:tab w:val="num" w:pos="360"/>
      </w:tabs>
      <w:ind w:left="360" w:hanging="360"/>
    </w:pPr>
  </w:style>
  <w:style w:type="paragraph" w:styleId="ListNumber2">
    <w:name w:val="List Number 2"/>
    <w:basedOn w:val="Normal"/>
    <w:semiHidden/>
    <w:rsid w:val="006E6EFD"/>
    <w:pPr>
      <w:tabs>
        <w:tab w:val="num" w:pos="720"/>
      </w:tabs>
      <w:ind w:left="720" w:hanging="360"/>
    </w:pPr>
  </w:style>
  <w:style w:type="paragraph" w:styleId="ListNumber3">
    <w:name w:val="List Number 3"/>
    <w:basedOn w:val="Normal"/>
    <w:semiHidden/>
    <w:rsid w:val="006E6EFD"/>
    <w:pPr>
      <w:tabs>
        <w:tab w:val="num" w:pos="1080"/>
      </w:tabs>
      <w:ind w:left="1080" w:hanging="360"/>
    </w:pPr>
  </w:style>
  <w:style w:type="paragraph" w:styleId="ListNumber4">
    <w:name w:val="List Number 4"/>
    <w:basedOn w:val="Normal"/>
    <w:semiHidden/>
    <w:rsid w:val="006E6EFD"/>
    <w:pPr>
      <w:tabs>
        <w:tab w:val="num" w:pos="1440"/>
      </w:tabs>
      <w:ind w:left="1440" w:hanging="360"/>
    </w:pPr>
  </w:style>
  <w:style w:type="paragraph" w:styleId="ListNumber5">
    <w:name w:val="List Number 5"/>
    <w:basedOn w:val="Normal"/>
    <w:semiHidden/>
    <w:rsid w:val="006E6EFD"/>
    <w:pPr>
      <w:tabs>
        <w:tab w:val="num" w:pos="1800"/>
      </w:tabs>
      <w:ind w:left="1800" w:hanging="360"/>
    </w:pPr>
  </w:style>
  <w:style w:type="paragraph" w:styleId="MessageHeader">
    <w:name w:val="Message Header"/>
    <w:basedOn w:val="Normal"/>
    <w:link w:val="MessageHeaderChar"/>
    <w:semiHidden/>
    <w:rsid w:val="006E6E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6E6EFD"/>
    <w:rPr>
      <w:rFonts w:ascii="Arial" w:hAnsi="Arial" w:cs="Arial"/>
      <w:sz w:val="22"/>
      <w:szCs w:val="24"/>
      <w:shd w:val="pct20" w:color="auto" w:fill="auto"/>
      <w:lang w:val="en-GB"/>
    </w:rPr>
  </w:style>
  <w:style w:type="paragraph" w:styleId="NormalWeb">
    <w:name w:val="Normal (Web)"/>
    <w:basedOn w:val="Normal"/>
    <w:semiHidden/>
    <w:rsid w:val="006E6EFD"/>
    <w:rPr>
      <w:szCs w:val="24"/>
    </w:rPr>
  </w:style>
  <w:style w:type="paragraph" w:styleId="NormalIndent">
    <w:name w:val="Normal Indent"/>
    <w:basedOn w:val="Normal"/>
    <w:semiHidden/>
    <w:rsid w:val="006E6EFD"/>
    <w:pPr>
      <w:ind w:left="720"/>
    </w:pPr>
  </w:style>
  <w:style w:type="paragraph" w:styleId="NoteHeading">
    <w:name w:val="Note Heading"/>
    <w:basedOn w:val="Normal"/>
    <w:next w:val="Normal"/>
    <w:link w:val="NoteHeadingChar"/>
    <w:semiHidden/>
    <w:rsid w:val="006E6EFD"/>
  </w:style>
  <w:style w:type="character" w:customStyle="1" w:styleId="NoteHeadingChar">
    <w:name w:val="Note Heading Char"/>
    <w:basedOn w:val="DefaultParagraphFont"/>
    <w:link w:val="NoteHeading"/>
    <w:semiHidden/>
    <w:rsid w:val="006E6EFD"/>
    <w:rPr>
      <w:sz w:val="22"/>
      <w:szCs w:val="22"/>
      <w:lang w:val="en-GB"/>
    </w:rPr>
  </w:style>
  <w:style w:type="paragraph" w:styleId="Salutation">
    <w:name w:val="Salutation"/>
    <w:basedOn w:val="Normal"/>
    <w:next w:val="Normal"/>
    <w:link w:val="SalutationChar"/>
    <w:semiHidden/>
    <w:rsid w:val="006E6EFD"/>
  </w:style>
  <w:style w:type="character" w:customStyle="1" w:styleId="SalutationChar">
    <w:name w:val="Salutation Char"/>
    <w:basedOn w:val="DefaultParagraphFont"/>
    <w:link w:val="Salutation"/>
    <w:semiHidden/>
    <w:rsid w:val="006E6EFD"/>
    <w:rPr>
      <w:sz w:val="22"/>
      <w:szCs w:val="22"/>
      <w:lang w:val="en-GB"/>
    </w:rPr>
  </w:style>
  <w:style w:type="paragraph" w:styleId="Signature">
    <w:name w:val="Signature"/>
    <w:basedOn w:val="Normal"/>
    <w:link w:val="SignatureChar"/>
    <w:semiHidden/>
    <w:rsid w:val="006E6EFD"/>
    <w:pPr>
      <w:ind w:left="4320"/>
    </w:pPr>
  </w:style>
  <w:style w:type="character" w:customStyle="1" w:styleId="SignatureChar">
    <w:name w:val="Signature Char"/>
    <w:basedOn w:val="DefaultParagraphFont"/>
    <w:link w:val="Signature"/>
    <w:semiHidden/>
    <w:rsid w:val="006E6EFD"/>
    <w:rPr>
      <w:sz w:val="22"/>
      <w:szCs w:val="22"/>
      <w:lang w:val="en-GB"/>
    </w:rPr>
  </w:style>
  <w:style w:type="character" w:styleId="Strong">
    <w:name w:val="Strong"/>
    <w:basedOn w:val="DefaultParagraphFont"/>
    <w:qFormat/>
    <w:rsid w:val="006E6EFD"/>
    <w:rPr>
      <w:b/>
      <w:bCs/>
    </w:rPr>
  </w:style>
  <w:style w:type="paragraph" w:customStyle="1" w:styleId="xl72">
    <w:name w:val="xl72"/>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419" w:eastAsia="es-419"/>
    </w:rPr>
  </w:style>
  <w:style w:type="paragraph" w:customStyle="1" w:styleId="xl73">
    <w:name w:val="xl73"/>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s-419" w:eastAsia="es-419"/>
    </w:rPr>
  </w:style>
  <w:style w:type="paragraph" w:customStyle="1" w:styleId="xl74">
    <w:name w:val="xl74"/>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s-419" w:eastAsia="es-419"/>
    </w:rPr>
  </w:style>
  <w:style w:type="paragraph" w:customStyle="1" w:styleId="xl75">
    <w:name w:val="xl75"/>
    <w:basedOn w:val="Normal"/>
    <w:rsid w:val="006E6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573050A\S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UNEP/OzL.Pro/ExCom/87/45</Document_x0020_Number>
  </documentManagement>
</p:properties>
</file>

<file path=customXml/itemProps1.xml><?xml version="1.0" encoding="utf-8"?>
<ds:datastoreItem xmlns:ds="http://schemas.openxmlformats.org/officeDocument/2006/customXml" ds:itemID="{15BEB7A5-352C-4312-94EB-086AC9EDE664}"/>
</file>

<file path=customXml/itemProps2.xml><?xml version="1.0" encoding="utf-8"?>
<ds:datastoreItem xmlns:ds="http://schemas.openxmlformats.org/officeDocument/2006/customXml" ds:itemID="{41BFCADA-4448-44D1-95F2-27F48CC495A4}"/>
</file>

<file path=customXml/itemProps3.xml><?xml version="1.0" encoding="utf-8"?>
<ds:datastoreItem xmlns:ds="http://schemas.openxmlformats.org/officeDocument/2006/customXml" ds:itemID="{1D499666-22E0-4E0B-BE72-C10305FA2D30}"/>
</file>

<file path=customXml/itemProps4.xml><?xml version="1.0" encoding="utf-8"?>
<ds:datastoreItem xmlns:ds="http://schemas.openxmlformats.org/officeDocument/2006/customXml" ds:itemID="{366281B2-8B51-4EF8-BEFD-DB07E5896659}"/>
</file>

<file path=docProps/app.xml><?xml version="1.0" encoding="utf-8"?>
<Properties xmlns="http://schemas.openxmlformats.org/officeDocument/2006/extended-properties" xmlns:vt="http://schemas.openxmlformats.org/officeDocument/2006/docPropsVTypes">
  <Template>S86-template</Template>
  <TotalTime>13</TotalTime>
  <Pages>38</Pages>
  <Words>20460</Words>
  <Characters>91834</Characters>
  <Application>Microsoft Office Word</Application>
  <DocSecurity>0</DocSecurity>
  <Lines>765</Lines>
  <Paragraphs>224</Paragraphs>
  <ScaleCrop>false</ScaleCrop>
  <HeadingPairs>
    <vt:vector size="2" baseType="variant">
      <vt:variant>
        <vt:lpstr>Title</vt:lpstr>
      </vt:variant>
      <vt:variant>
        <vt:i4>1</vt:i4>
      </vt:variant>
    </vt:vector>
  </HeadingPairs>
  <TitlesOfParts>
    <vt:vector size="1" baseType="lpstr">
      <vt:lpstr>Estrategias, medidas normativas y compromisos potenciales, así como proyectos y actividades que podrían integrarse en la etapa i de los planes de reducción de los HFC para los países que operan al amparo del artículo 5 (decisión 84/54 b))</vt:lpstr>
    </vt:vector>
  </TitlesOfParts>
  <Company>UNMFS</Company>
  <LinksUpToDate>false</LinksUpToDate>
  <CharactersWithSpaces>112070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Estrategias, medidas normativas y compromisos potenciales, así como proyectos y actividades que podrían integrarse en la etapa i de los planes de reducción de los HFC para los países que operan al amparo del artículo 5 (decisión 84/54 b))</dc:title>
  <dc:creator>User</dc:creator>
  <cp:lastModifiedBy>HB</cp:lastModifiedBy>
  <cp:revision>5</cp:revision>
  <cp:lastPrinted>2021-03-07T22:41:00Z</cp:lastPrinted>
  <dcterms:created xsi:type="dcterms:W3CDTF">2021-06-20T16:26:00Z</dcterms:created>
  <dcterms:modified xsi:type="dcterms:W3CDTF">2021-06-22T23:48:00Z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UNEP/OzL.Pro/ExCom/87/45</vt:lpwstr>
  </property>
  <property fmtid="{D5CDD505-2E9C-101B-9397-08002B2CF9AE}" pid="3" name="Revision date">
    <vt:lpwstr>6/3/2021</vt:lpwstr>
  </property>
  <property fmtid="{D5CDD505-2E9C-101B-9397-08002B2CF9AE}" pid="4" name="ContentTypeId">
    <vt:lpwstr>0x010100ACD79882E53CBD488ABE60AC614F6D01</vt:lpwstr>
  </property>
</Properties>
</file>