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Ind w:w="18" w:type="dxa"/>
        <w:tblLayout w:type="fixed"/>
        <w:tblLook w:val="0000" w:firstRow="0" w:lastRow="0" w:firstColumn="0" w:lastColumn="0" w:noHBand="0" w:noVBand="0"/>
      </w:tblPr>
      <w:tblGrid>
        <w:gridCol w:w="3990"/>
        <w:gridCol w:w="345"/>
        <w:gridCol w:w="2999"/>
        <w:gridCol w:w="2044"/>
      </w:tblGrid>
      <w:tr w:rsidR="00F81657" w14:paraId="48600E63" w14:textId="77777777" w:rsidTr="00F81657">
        <w:trPr>
          <w:trHeight w:val="728"/>
        </w:trPr>
        <w:tc>
          <w:tcPr>
            <w:tcW w:w="4335" w:type="dxa"/>
            <w:gridSpan w:val="2"/>
            <w:tcBorders>
              <w:bottom w:val="single" w:sz="18" w:space="0" w:color="auto"/>
            </w:tcBorders>
          </w:tcPr>
          <w:p w14:paraId="024E92D2" w14:textId="77777777" w:rsidR="00F81657" w:rsidRDefault="00F81657" w:rsidP="00791322">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043" w:type="dxa"/>
            <w:gridSpan w:val="2"/>
            <w:tcBorders>
              <w:bottom w:val="single" w:sz="18" w:space="0" w:color="auto"/>
            </w:tcBorders>
          </w:tcPr>
          <w:p w14:paraId="1B6337CA" w14:textId="77777777" w:rsidR="00F81657" w:rsidRDefault="00F81657" w:rsidP="00791322">
            <w:pPr>
              <w:pStyle w:val="Heading3"/>
              <w:numPr>
                <w:ilvl w:val="0"/>
                <w:numId w:val="0"/>
              </w:numPr>
              <w:bidi/>
              <w:ind w:left="270" w:right="1384"/>
              <w:rPr>
                <w:b/>
                <w:bCs/>
                <w:sz w:val="48"/>
                <w:szCs w:val="48"/>
              </w:rPr>
            </w:pPr>
            <w:r>
              <w:rPr>
                <w:b/>
                <w:bCs/>
                <w:sz w:val="48"/>
                <w:szCs w:val="48"/>
                <w:rtl/>
              </w:rPr>
              <w:t>الأمم المتحدة</w:t>
            </w:r>
          </w:p>
        </w:tc>
      </w:tr>
      <w:tr w:rsidR="00F81657" w14:paraId="1B85CB11" w14:textId="77777777" w:rsidTr="00F8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9"/>
        </w:trPr>
        <w:tc>
          <w:tcPr>
            <w:tcW w:w="3990" w:type="dxa"/>
            <w:tcBorders>
              <w:top w:val="nil"/>
              <w:left w:val="nil"/>
              <w:bottom w:val="single" w:sz="36" w:space="0" w:color="auto"/>
              <w:right w:val="nil"/>
            </w:tcBorders>
          </w:tcPr>
          <w:p w14:paraId="2814B9D1" w14:textId="77777777" w:rsidR="00F81657" w:rsidRDefault="00F81657" w:rsidP="00791322">
            <w:pPr>
              <w:spacing w:before="120"/>
              <w:jc w:val="left"/>
              <w:rPr>
                <w:lang w:val="en-US"/>
              </w:rPr>
            </w:pPr>
            <w:r>
              <w:rPr>
                <w:noProof/>
                <w:lang w:eastAsia="en-CA"/>
              </w:rPr>
              <w:drawing>
                <wp:anchor distT="0" distB="0" distL="114300" distR="114300" simplePos="0" relativeHeight="251662336" behindDoc="0" locked="0" layoutInCell="0" allowOverlap="1" wp14:anchorId="76CC1B0C" wp14:editId="0F368D54">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1" locked="0" layoutInCell="0" allowOverlap="1" wp14:anchorId="3AD88DA2" wp14:editId="20BE4995">
                  <wp:simplePos x="0" y="0"/>
                  <wp:positionH relativeFrom="column">
                    <wp:posOffset>5029200</wp:posOffset>
                  </wp:positionH>
                  <wp:positionV relativeFrom="paragraph">
                    <wp:posOffset>93345</wp:posOffset>
                  </wp:positionV>
                  <wp:extent cx="579755" cy="515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3E295633" w14:textId="77777777" w:rsidR="00F81657" w:rsidRDefault="00F81657" w:rsidP="00791322">
            <w:pPr>
              <w:spacing w:before="120"/>
              <w:jc w:val="left"/>
              <w:rPr>
                <w:lang w:val="en-US"/>
              </w:rPr>
            </w:pPr>
            <w:r>
              <w:rPr>
                <w:lang w:val="en-US"/>
              </w:rPr>
              <w:t>GENERAL</w:t>
            </w:r>
          </w:p>
          <w:p w14:paraId="52DCC31C" w14:textId="77777777" w:rsidR="00F81657" w:rsidRDefault="00F81657" w:rsidP="00791322">
            <w:pPr>
              <w:spacing w:before="120"/>
              <w:jc w:val="left"/>
              <w:rPr>
                <w:lang w:val="en-US"/>
              </w:rPr>
            </w:pPr>
          </w:p>
          <w:p w14:paraId="7A35E82D" w14:textId="4EDA24BC" w:rsidR="00F81657" w:rsidRDefault="00F81657" w:rsidP="00791322">
            <w:pPr>
              <w:rPr>
                <w:rtl/>
              </w:rPr>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/88/21</w:t>
            </w:r>
            <w:r>
              <w:fldChar w:fldCharType="end"/>
            </w:r>
          </w:p>
          <w:p w14:paraId="011912D8" w14:textId="7B08A124" w:rsidR="00F81657" w:rsidRPr="003F73BA" w:rsidRDefault="00F81657" w:rsidP="00791322">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Pr>
                <w:lang w:val="en-US"/>
              </w:rPr>
              <w:t>25</w:t>
            </w:r>
            <w:r w:rsidRPr="000D6895">
              <w:t xml:space="preserve"> </w:t>
            </w:r>
            <w:r>
              <w:rPr>
                <w:lang w:val="en-US"/>
              </w:rPr>
              <w:t>October</w:t>
            </w:r>
            <w:r w:rsidRPr="000D6895">
              <w:t xml:space="preserve"> 2021</w:t>
            </w:r>
            <w:r>
              <w:fldChar w:fldCharType="end"/>
            </w:r>
          </w:p>
          <w:p w14:paraId="39F48BC3" w14:textId="77777777" w:rsidR="00F81657" w:rsidRDefault="00F81657" w:rsidP="00791322">
            <w:pPr>
              <w:spacing w:before="120"/>
              <w:jc w:val="left"/>
              <w:rPr>
                <w:rtl/>
                <w:lang w:val="en-US" w:bidi="ar-AE"/>
              </w:rPr>
            </w:pPr>
          </w:p>
          <w:p w14:paraId="75A28085" w14:textId="77777777" w:rsidR="00F81657" w:rsidRDefault="00F81657" w:rsidP="00791322">
            <w:pPr>
              <w:spacing w:before="120"/>
              <w:jc w:val="left"/>
              <w:rPr>
                <w:lang w:val="en-US"/>
              </w:rPr>
            </w:pPr>
            <w:r>
              <w:rPr>
                <w:lang w:val="en-US"/>
              </w:rPr>
              <w:t>ARABIC</w:t>
            </w:r>
          </w:p>
          <w:p w14:paraId="76295AF6" w14:textId="77777777" w:rsidR="00F81657" w:rsidRDefault="00F81657" w:rsidP="00791322">
            <w:pPr>
              <w:spacing w:before="120"/>
              <w:jc w:val="left"/>
              <w:rPr>
                <w:lang w:val="en-US"/>
              </w:rPr>
            </w:pPr>
            <w:r>
              <w:rPr>
                <w:lang w:val="en-US"/>
              </w:rPr>
              <w:t>ORIGINAL: ENGLISH</w:t>
            </w:r>
          </w:p>
        </w:tc>
        <w:tc>
          <w:tcPr>
            <w:tcW w:w="3344" w:type="dxa"/>
            <w:gridSpan w:val="2"/>
            <w:tcBorders>
              <w:top w:val="nil"/>
              <w:left w:val="nil"/>
              <w:bottom w:val="single" w:sz="36" w:space="0" w:color="auto"/>
              <w:right w:val="nil"/>
            </w:tcBorders>
          </w:tcPr>
          <w:p w14:paraId="2B9377E5" w14:textId="77777777" w:rsidR="00F81657" w:rsidRDefault="00F81657" w:rsidP="00791322">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36B4EA7" w14:textId="77777777" w:rsidR="00F81657" w:rsidRDefault="00F81657" w:rsidP="00791322">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56B53AED" w14:textId="77777777" w:rsidR="00F81657" w:rsidRDefault="00F81657" w:rsidP="00791322">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01A28346" w14:textId="77777777" w:rsidR="00F81657" w:rsidRDefault="00F81657" w:rsidP="00791322">
            <w:pPr>
              <w:pStyle w:val="Heading7"/>
              <w:spacing w:before="0" w:after="0"/>
              <w:ind w:right="4997"/>
              <w:rPr>
                <w:rFonts w:cs="Akhbar MT"/>
                <w:b/>
                <w:bCs/>
                <w:sz w:val="52"/>
                <w:szCs w:val="52"/>
                <w:lang w:val="en-US"/>
              </w:rPr>
            </w:pPr>
            <w:r>
              <w:rPr>
                <w:rFonts w:cs="Arabic Transparent"/>
                <w:b/>
                <w:bCs/>
                <w:sz w:val="52"/>
                <w:szCs w:val="52"/>
                <w:rtl/>
              </w:rPr>
              <w:t>ل</w:t>
            </w:r>
          </w:p>
        </w:tc>
        <w:tc>
          <w:tcPr>
            <w:tcW w:w="2043" w:type="dxa"/>
            <w:tcBorders>
              <w:top w:val="nil"/>
              <w:left w:val="nil"/>
              <w:bottom w:val="single" w:sz="36" w:space="0" w:color="auto"/>
              <w:right w:val="nil"/>
            </w:tcBorders>
          </w:tcPr>
          <w:p w14:paraId="5292BA7E" w14:textId="77777777" w:rsidR="00F81657" w:rsidRDefault="00F81657" w:rsidP="00791322">
            <w:pPr>
              <w:rPr>
                <w:caps/>
                <w:lang w:val="en-US"/>
              </w:rPr>
            </w:pPr>
          </w:p>
          <w:p w14:paraId="6209581A" w14:textId="77777777" w:rsidR="00F81657" w:rsidRDefault="00F81657" w:rsidP="00791322">
            <w:pPr>
              <w:rPr>
                <w:lang w:val="en-US"/>
              </w:rPr>
            </w:pPr>
          </w:p>
        </w:tc>
      </w:tr>
    </w:tbl>
    <w:p w14:paraId="4EDD2B01" w14:textId="77777777" w:rsidR="00F81657" w:rsidRPr="00F81657" w:rsidRDefault="00F81657" w:rsidP="00F81657">
      <w:pPr>
        <w:bidi/>
        <w:jc w:val="left"/>
        <w:rPr>
          <w:lang w:val="en-US"/>
        </w:rPr>
      </w:pPr>
    </w:p>
    <w:p w14:paraId="6BB2C8B2" w14:textId="77777777" w:rsidR="00F81657" w:rsidRDefault="00F81657" w:rsidP="00F81657">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44CA35D9" w14:textId="77777777" w:rsidR="00F81657" w:rsidRDefault="00F81657" w:rsidP="00F81657">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1C808FF0" w14:textId="77777777" w:rsidR="00F81657" w:rsidRPr="00A755B6" w:rsidRDefault="00F81657" w:rsidP="00F81657">
      <w:pPr>
        <w:bidi/>
        <w:ind w:left="4"/>
        <w:jc w:val="lowKashida"/>
        <w:rPr>
          <w:sz w:val="28"/>
          <w:szCs w:val="28"/>
          <w:rtl/>
          <w:lang w:val="en-US" w:eastAsia="en-CA"/>
        </w:rPr>
      </w:pPr>
      <w:r w:rsidRPr="00A755B6">
        <w:rPr>
          <w:sz w:val="28"/>
          <w:szCs w:val="28"/>
          <w:rtl/>
          <w:lang w:val="en-US" w:eastAsia="en-CA"/>
        </w:rPr>
        <w:t xml:space="preserve">الاجتمــــــاع </w:t>
      </w:r>
      <w:r>
        <w:rPr>
          <w:rFonts w:hint="cs"/>
          <w:sz w:val="28"/>
          <w:szCs w:val="28"/>
          <w:rtl/>
          <w:lang w:val="en-US" w:eastAsia="en-CA"/>
        </w:rPr>
        <w:t>الثامن</w:t>
      </w:r>
      <w:r w:rsidRPr="00A755B6">
        <w:rPr>
          <w:rFonts w:hint="cs"/>
          <w:sz w:val="28"/>
          <w:szCs w:val="28"/>
          <w:rtl/>
          <w:lang w:val="en-US" w:eastAsia="en-CA"/>
        </w:rPr>
        <w:t xml:space="preserve"> والثمانون</w:t>
      </w:r>
    </w:p>
    <w:p w14:paraId="0B1EB651" w14:textId="4ED64141" w:rsidR="00F81657" w:rsidRDefault="00F81657" w:rsidP="00F81657">
      <w:pPr>
        <w:pStyle w:val="0Heading0"/>
        <w:bidi/>
        <w:ind w:left="4"/>
        <w:rPr>
          <w:rFonts w:cs="Arabic Transparent"/>
          <w:sz w:val="28"/>
          <w:szCs w:val="28"/>
          <w:rtl/>
          <w:lang w:bidi="ar-AE"/>
        </w:rPr>
      </w:pPr>
      <w:r w:rsidRPr="00A755B6">
        <w:rPr>
          <w:rFonts w:hint="cs"/>
          <w:sz w:val="28"/>
          <w:szCs w:val="28"/>
          <w:rtl/>
        </w:rPr>
        <w:t xml:space="preserve">مونتريال، من 15 </w:t>
      </w:r>
      <w:r>
        <w:rPr>
          <w:rFonts w:hint="cs"/>
          <w:sz w:val="28"/>
          <w:szCs w:val="28"/>
          <w:rtl/>
        </w:rPr>
        <w:t>إلى</w:t>
      </w:r>
      <w:r w:rsidRPr="00A755B6">
        <w:rPr>
          <w:rFonts w:hint="cs"/>
          <w:sz w:val="28"/>
          <w:szCs w:val="28"/>
          <w:rtl/>
        </w:rPr>
        <w:t xml:space="preserve"> 19 نوفمب</w:t>
      </w:r>
      <w:r>
        <w:rPr>
          <w:rFonts w:hint="cs"/>
          <w:sz w:val="28"/>
          <w:szCs w:val="28"/>
          <w:rtl/>
        </w:rPr>
        <w:t>ر</w:t>
      </w:r>
      <w:r w:rsidRPr="00A755B6">
        <w:rPr>
          <w:rFonts w:asciiTheme="majorBidi" w:hAnsiTheme="majorBidi" w:cstheme="majorBidi" w:hint="cs"/>
          <w:sz w:val="28"/>
          <w:szCs w:val="28"/>
          <w:rtl/>
          <w:lang w:bidi="ar-SY"/>
        </w:rPr>
        <w:t>/</w:t>
      </w:r>
      <w:r w:rsidRPr="00A755B6">
        <w:rPr>
          <w:rFonts w:ascii="Arial" w:hAnsi="Arial" w:cs="Arial"/>
          <w:color w:val="474747"/>
          <w:sz w:val="28"/>
          <w:szCs w:val="28"/>
          <w:rtl/>
          <w:lang w:val="en-US"/>
        </w:rPr>
        <w:t>تشرين الثاني</w:t>
      </w:r>
      <w:r w:rsidRPr="00DB2568">
        <w:rPr>
          <w:rFonts w:hint="cs"/>
          <w:sz w:val="28"/>
          <w:szCs w:val="28"/>
          <w:rtl/>
        </w:rPr>
        <w:t xml:space="preserve"> </w:t>
      </w:r>
      <w:r>
        <w:rPr>
          <w:rFonts w:asciiTheme="majorBidi" w:hAnsiTheme="majorBidi" w:cstheme="majorBidi" w:hint="cs"/>
          <w:sz w:val="26"/>
          <w:szCs w:val="26"/>
          <w:rtl/>
          <w:lang w:bidi="ar-SY"/>
        </w:rPr>
        <w:t xml:space="preserve">2021 </w:t>
      </w:r>
      <w:r>
        <w:rPr>
          <w:rStyle w:val="FootnoteReference"/>
          <w:rFonts w:asciiTheme="majorBidi" w:hAnsiTheme="majorBidi" w:cstheme="majorBidi"/>
          <w:sz w:val="26"/>
          <w:szCs w:val="26"/>
          <w:rtl/>
          <w:lang w:bidi="ar-SY"/>
        </w:rPr>
        <w:footnoteReference w:id="1"/>
      </w:r>
    </w:p>
    <w:p w14:paraId="1FC4E2C9" w14:textId="6303551E" w:rsidR="00F81657" w:rsidRPr="00F81657" w:rsidRDefault="00F81657" w:rsidP="00F81657">
      <w:pPr>
        <w:bidi/>
        <w:jc w:val="left"/>
        <w:rPr>
          <w:sz w:val="26"/>
          <w:szCs w:val="26"/>
          <w:rtl/>
          <w:lang w:bidi="ar-AE"/>
        </w:rPr>
      </w:pPr>
    </w:p>
    <w:p w14:paraId="6FF0BD81" w14:textId="77777777" w:rsidR="00DE5E7E" w:rsidRPr="00F14FE0" w:rsidRDefault="00DE5E7E" w:rsidP="00F14FE0">
      <w:pPr>
        <w:pStyle w:val="Title1"/>
        <w:bidi/>
        <w:rPr>
          <w:bCs/>
          <w:sz w:val="32"/>
          <w:szCs w:val="32"/>
          <w:rtl/>
          <w:lang w:val="en-CA" w:bidi="ar-AE"/>
        </w:rPr>
      </w:pPr>
    </w:p>
    <w:p w14:paraId="343EFAFA" w14:textId="44CE2916" w:rsidR="00F14FE0" w:rsidRPr="00F14FE0" w:rsidRDefault="00F14FE0" w:rsidP="00F14FE0">
      <w:pPr>
        <w:bidi/>
        <w:spacing w:after="240"/>
        <w:jc w:val="center"/>
        <w:rPr>
          <w:b/>
          <w:bCs/>
          <w:sz w:val="32"/>
          <w:szCs w:val="32"/>
        </w:rPr>
      </w:pPr>
      <w:r w:rsidRPr="00F14FE0">
        <w:rPr>
          <w:b/>
          <w:bCs/>
          <w:sz w:val="32"/>
          <w:szCs w:val="32"/>
          <w:rtl/>
        </w:rPr>
        <w:t>تأخيرات في تقديم الشرائح</w:t>
      </w:r>
    </w:p>
    <w:p w14:paraId="57D78A71" w14:textId="6FF56560" w:rsidR="00B95DE1" w:rsidRPr="00B95DE1" w:rsidRDefault="00B95DE1" w:rsidP="00F14FE0">
      <w:pPr>
        <w:bidi/>
        <w:spacing w:after="240"/>
        <w:rPr>
          <w:bCs/>
          <w:sz w:val="26"/>
          <w:szCs w:val="26"/>
        </w:rPr>
      </w:pPr>
      <w:r w:rsidRPr="00B95DE1">
        <w:rPr>
          <w:bCs/>
          <w:sz w:val="26"/>
          <w:szCs w:val="26"/>
          <w:rtl/>
        </w:rPr>
        <w:t>مقدمة</w:t>
      </w:r>
    </w:p>
    <w:p w14:paraId="6463C276" w14:textId="41B5348D" w:rsidR="00B95DE1" w:rsidRPr="007366CF" w:rsidRDefault="00585690" w:rsidP="007366CF">
      <w:pPr>
        <w:pStyle w:val="Heading1"/>
        <w:numPr>
          <w:ilvl w:val="0"/>
          <w:numId w:val="42"/>
        </w:numPr>
        <w:bidi/>
        <w:rPr>
          <w:sz w:val="26"/>
          <w:szCs w:val="26"/>
        </w:rPr>
      </w:pPr>
      <w:r w:rsidRPr="007366CF">
        <w:rPr>
          <w:sz w:val="26"/>
          <w:szCs w:val="26"/>
          <w:rtl/>
        </w:rPr>
        <w:t>أعدت الأمانة الوثيقة الحالية عملاً بالمقرر 47/50(د)</w:t>
      </w:r>
      <w:r>
        <w:rPr>
          <w:rStyle w:val="FootnoteReference"/>
          <w:sz w:val="26"/>
          <w:szCs w:val="26"/>
          <w:rtl/>
        </w:rPr>
        <w:footnoteReference w:id="2"/>
      </w:r>
      <w:r w:rsidRPr="007366CF">
        <w:rPr>
          <w:sz w:val="26"/>
          <w:szCs w:val="26"/>
          <w:rtl/>
        </w:rPr>
        <w:t>. وتعرض هذه الوثيقة الإجراءات المتخذة استجابة للقرارات المتعلقة بتأخيرات تقديم الشرائح المعتمدة في الاجتماع السابع والثمانين؛ وتحليل لكل شريحة كانت مستحقة ولكن لم يتم تقديمها إلى الاجتماع الثامن والثمانين والشرائح التي تم تقديمها ولكن تم سحبها لاحقاً أثناء عملية استعراض المشروع. كما تقدم لمحة عامة عن أسباب التأخير وتأثير ذلك على الامتثال لالتزامات البلدان بموجب بروتوكول مونتريال؛ والتوصية.</w:t>
      </w:r>
    </w:p>
    <w:p w14:paraId="739C2E15" w14:textId="38013077" w:rsidR="00482AF5" w:rsidRPr="00531AC2" w:rsidRDefault="00482AF5" w:rsidP="00482AF5">
      <w:pPr>
        <w:bidi/>
        <w:spacing w:after="240"/>
        <w:rPr>
          <w:bCs/>
          <w:sz w:val="26"/>
          <w:szCs w:val="26"/>
        </w:rPr>
      </w:pPr>
      <w:r w:rsidRPr="00531AC2">
        <w:rPr>
          <w:bCs/>
          <w:sz w:val="26"/>
          <w:szCs w:val="26"/>
          <w:rtl/>
        </w:rPr>
        <w:t>متابعة القرارات المتخذة بشأن تأخيرات تقديم الشرائح في الاجتماع السابع والثمانين</w:t>
      </w:r>
    </w:p>
    <w:p w14:paraId="3A14042A" w14:textId="573EC3B3" w:rsidR="00F21F5F" w:rsidRPr="00F21F5F" w:rsidRDefault="00E636AB" w:rsidP="00F21F5F">
      <w:pPr>
        <w:pStyle w:val="Heading1"/>
        <w:bidi/>
        <w:rPr>
          <w:sz w:val="26"/>
          <w:szCs w:val="26"/>
        </w:rPr>
      </w:pPr>
      <w:r w:rsidRPr="00E636AB">
        <w:rPr>
          <w:sz w:val="26"/>
          <w:szCs w:val="26"/>
          <w:rtl/>
        </w:rPr>
        <w:t>في الاجتماع الثامن والسبعين، لم تقم 23</w:t>
      </w:r>
      <w:r w:rsidR="00F652E8">
        <w:rPr>
          <w:rStyle w:val="FootnoteReference"/>
          <w:sz w:val="26"/>
          <w:szCs w:val="26"/>
          <w:rtl/>
        </w:rPr>
        <w:footnoteReference w:id="3"/>
      </w:r>
      <w:r w:rsidRPr="00E636AB">
        <w:rPr>
          <w:sz w:val="26"/>
          <w:szCs w:val="26"/>
          <w:rtl/>
        </w:rPr>
        <w:t xml:space="preserve"> دولة من أصل 37 دولة كان من المقرر أن تقدم طلبات الشرائح بذلك في الوقت المحدد، ما يمثل معدل عدم تقديم يبلغ 62 في المائة. وبالتالي، طلبت اللجنة التنفيذية، من ضمن جملة أمور أخرى، من الأمانة أن ترسل رسائل إلى الحكومات ذات الصلة فيما يتعلق بالمقررات الخاصة بتأخيرات تقديم الشرائح الواردة في المرفق </w:t>
      </w:r>
      <w:r>
        <w:rPr>
          <w:rFonts w:hint="cs"/>
          <w:sz w:val="26"/>
          <w:szCs w:val="26"/>
          <w:rtl/>
        </w:rPr>
        <w:t>10</w:t>
      </w:r>
      <w:r w:rsidRPr="00E636AB">
        <w:rPr>
          <w:sz w:val="26"/>
          <w:szCs w:val="26"/>
          <w:rtl/>
        </w:rPr>
        <w:t xml:space="preserve"> لتقرير الاجتماع السابع والثمانين (المقرر 87/26(ب)).</w:t>
      </w:r>
    </w:p>
    <w:p w14:paraId="7B809E98" w14:textId="0602007A" w:rsidR="002F0212" w:rsidRPr="002F0212" w:rsidRDefault="00660324" w:rsidP="002F0212">
      <w:pPr>
        <w:pStyle w:val="Heading1"/>
        <w:bidi/>
        <w:rPr>
          <w:sz w:val="26"/>
          <w:szCs w:val="26"/>
        </w:rPr>
      </w:pPr>
      <w:r w:rsidRPr="00660324">
        <w:rPr>
          <w:sz w:val="26"/>
          <w:szCs w:val="26"/>
          <w:rtl/>
        </w:rPr>
        <w:t>عملاً بالمقرر 87/26(ب)، أرسلت الأمانة رسائل إلى حكومات 25 دولة مشمولة بالمادة 5 للحث على تقديم الشريحة التالية من خطط إدارة إزالة المواد الهيدروكلوروفلوروكربونية، 22</w:t>
      </w:r>
      <w:r>
        <w:rPr>
          <w:rStyle w:val="FootnoteReference"/>
          <w:sz w:val="26"/>
          <w:szCs w:val="26"/>
          <w:rtl/>
        </w:rPr>
        <w:footnoteReference w:id="4"/>
      </w:r>
      <w:r w:rsidRPr="00660324">
        <w:rPr>
          <w:sz w:val="26"/>
          <w:szCs w:val="26"/>
          <w:rtl/>
        </w:rPr>
        <w:t xml:space="preserve"> منها إلى الاجتماع الثامن والثمانين. </w:t>
      </w:r>
      <w:r w:rsidRPr="00660324">
        <w:rPr>
          <w:sz w:val="26"/>
          <w:szCs w:val="26"/>
          <w:rtl/>
        </w:rPr>
        <w:lastRenderedPageBreak/>
        <w:t>وبناء</w:t>
      </w:r>
      <w:r>
        <w:rPr>
          <w:rFonts w:hint="cs"/>
          <w:sz w:val="26"/>
          <w:szCs w:val="26"/>
          <w:rtl/>
        </w:rPr>
        <w:t>ً</w:t>
      </w:r>
      <w:r w:rsidRPr="00660324">
        <w:rPr>
          <w:sz w:val="26"/>
          <w:szCs w:val="26"/>
          <w:rtl/>
        </w:rPr>
        <w:t xml:space="preserve"> عليه، قدمت حكومات جزر البهاما</w:t>
      </w:r>
      <w:r w:rsidR="00C720B1">
        <w:rPr>
          <w:rStyle w:val="FootnoteReference"/>
          <w:sz w:val="26"/>
          <w:szCs w:val="26"/>
          <w:rtl/>
        </w:rPr>
        <w:footnoteReference w:id="5"/>
      </w:r>
      <w:r w:rsidR="00037786">
        <w:rPr>
          <w:rFonts w:hint="cs"/>
          <w:sz w:val="26"/>
          <w:szCs w:val="26"/>
          <w:rtl/>
        </w:rPr>
        <w:t>،</w:t>
      </w:r>
      <w:r w:rsidRPr="00660324">
        <w:rPr>
          <w:sz w:val="26"/>
          <w:szCs w:val="26"/>
          <w:rtl/>
        </w:rPr>
        <w:t xml:space="preserve"> والبرازيل</w:t>
      </w:r>
      <w:r w:rsidR="00C720B1">
        <w:rPr>
          <w:rStyle w:val="FootnoteReference"/>
          <w:sz w:val="26"/>
          <w:szCs w:val="26"/>
          <w:rtl/>
        </w:rPr>
        <w:footnoteReference w:id="6"/>
      </w:r>
      <w:r w:rsidR="00037786">
        <w:rPr>
          <w:rFonts w:hint="cs"/>
          <w:sz w:val="26"/>
          <w:szCs w:val="26"/>
          <w:rtl/>
        </w:rPr>
        <w:t>،</w:t>
      </w:r>
      <w:r w:rsidRPr="00660324">
        <w:rPr>
          <w:sz w:val="26"/>
          <w:szCs w:val="26"/>
          <w:rtl/>
        </w:rPr>
        <w:t xml:space="preserve"> وكولومبيا</w:t>
      </w:r>
      <w:r w:rsidR="003C6562">
        <w:rPr>
          <w:rStyle w:val="FootnoteReference"/>
          <w:sz w:val="26"/>
          <w:szCs w:val="26"/>
          <w:rtl/>
        </w:rPr>
        <w:footnoteReference w:id="7"/>
      </w:r>
      <w:r w:rsidR="00037786">
        <w:rPr>
          <w:rFonts w:hint="cs"/>
          <w:sz w:val="26"/>
          <w:szCs w:val="26"/>
          <w:rtl/>
        </w:rPr>
        <w:t>،</w:t>
      </w:r>
      <w:r w:rsidRPr="00660324">
        <w:rPr>
          <w:sz w:val="26"/>
          <w:szCs w:val="26"/>
          <w:rtl/>
        </w:rPr>
        <w:t xml:space="preserve"> وجيبوتي</w:t>
      </w:r>
      <w:r w:rsidR="003C6562">
        <w:rPr>
          <w:rStyle w:val="FootnoteReference"/>
          <w:sz w:val="26"/>
          <w:szCs w:val="26"/>
          <w:rtl/>
        </w:rPr>
        <w:footnoteReference w:id="8"/>
      </w:r>
      <w:r w:rsidR="00037786">
        <w:rPr>
          <w:rFonts w:hint="cs"/>
          <w:sz w:val="26"/>
          <w:szCs w:val="26"/>
          <w:rtl/>
        </w:rPr>
        <w:t>،</w:t>
      </w:r>
      <w:r w:rsidRPr="00660324">
        <w:rPr>
          <w:sz w:val="26"/>
          <w:szCs w:val="26"/>
          <w:rtl/>
        </w:rPr>
        <w:t xml:space="preserve"> ومصر</w:t>
      </w:r>
      <w:r w:rsidR="00AE279E">
        <w:rPr>
          <w:rStyle w:val="FootnoteReference"/>
          <w:sz w:val="26"/>
          <w:szCs w:val="26"/>
          <w:rtl/>
        </w:rPr>
        <w:footnoteReference w:id="9"/>
      </w:r>
      <w:r w:rsidR="00037786">
        <w:rPr>
          <w:rFonts w:hint="cs"/>
          <w:sz w:val="26"/>
          <w:szCs w:val="26"/>
          <w:rtl/>
        </w:rPr>
        <w:t>،</w:t>
      </w:r>
      <w:r w:rsidRPr="00660324">
        <w:rPr>
          <w:sz w:val="26"/>
          <w:szCs w:val="26"/>
          <w:rtl/>
        </w:rPr>
        <w:t xml:space="preserve"> وإندونيسيا</w:t>
      </w:r>
      <w:r w:rsidR="00AE279E">
        <w:rPr>
          <w:rStyle w:val="FootnoteReference"/>
          <w:sz w:val="26"/>
          <w:szCs w:val="26"/>
          <w:rtl/>
        </w:rPr>
        <w:footnoteReference w:id="10"/>
      </w:r>
      <w:r w:rsidR="00037786">
        <w:rPr>
          <w:rFonts w:hint="cs"/>
          <w:sz w:val="26"/>
          <w:szCs w:val="26"/>
          <w:rtl/>
        </w:rPr>
        <w:t>،</w:t>
      </w:r>
      <w:r w:rsidRPr="00660324">
        <w:rPr>
          <w:sz w:val="26"/>
          <w:szCs w:val="26"/>
          <w:rtl/>
        </w:rPr>
        <w:t xml:space="preserve"> والمكسيك</w:t>
      </w:r>
      <w:r w:rsidR="00D72902">
        <w:rPr>
          <w:rFonts w:hint="cs"/>
          <w:sz w:val="26"/>
          <w:szCs w:val="26"/>
          <w:rtl/>
        </w:rPr>
        <w:t>،</w:t>
      </w:r>
      <w:r w:rsidRPr="00660324">
        <w:rPr>
          <w:sz w:val="26"/>
          <w:szCs w:val="26"/>
          <w:rtl/>
        </w:rPr>
        <w:t xml:space="preserve"> وموزمبيق</w:t>
      </w:r>
      <w:r w:rsidR="00D72902">
        <w:rPr>
          <w:rFonts w:hint="cs"/>
          <w:sz w:val="26"/>
          <w:szCs w:val="26"/>
          <w:rtl/>
        </w:rPr>
        <w:t>،</w:t>
      </w:r>
      <w:r w:rsidRPr="00660324">
        <w:rPr>
          <w:sz w:val="26"/>
          <w:szCs w:val="26"/>
          <w:rtl/>
        </w:rPr>
        <w:t xml:space="preserve"> والنيجر</w:t>
      </w:r>
      <w:r w:rsidR="00AE279E">
        <w:rPr>
          <w:rStyle w:val="FootnoteReference"/>
          <w:sz w:val="26"/>
          <w:szCs w:val="26"/>
          <w:rtl/>
        </w:rPr>
        <w:footnoteReference w:id="11"/>
      </w:r>
      <w:r w:rsidR="00037786">
        <w:rPr>
          <w:rFonts w:hint="cs"/>
          <w:sz w:val="26"/>
          <w:szCs w:val="26"/>
          <w:rtl/>
        </w:rPr>
        <w:t>،</w:t>
      </w:r>
      <w:r w:rsidRPr="00660324">
        <w:rPr>
          <w:sz w:val="26"/>
          <w:szCs w:val="26"/>
          <w:rtl/>
        </w:rPr>
        <w:t xml:space="preserve"> ونيجيريا</w:t>
      </w:r>
      <w:r w:rsidR="00AE279E">
        <w:rPr>
          <w:rStyle w:val="FootnoteReference"/>
          <w:sz w:val="26"/>
          <w:szCs w:val="26"/>
          <w:rtl/>
        </w:rPr>
        <w:footnoteReference w:id="12"/>
      </w:r>
      <w:r w:rsidR="00037786">
        <w:rPr>
          <w:rFonts w:hint="cs"/>
          <w:sz w:val="26"/>
          <w:szCs w:val="26"/>
          <w:rtl/>
        </w:rPr>
        <w:t>،</w:t>
      </w:r>
      <w:r w:rsidRPr="00660324">
        <w:rPr>
          <w:sz w:val="26"/>
          <w:szCs w:val="26"/>
          <w:rtl/>
        </w:rPr>
        <w:t xml:space="preserve"> وباكستان</w:t>
      </w:r>
      <w:r w:rsidR="00AE279E">
        <w:rPr>
          <w:rStyle w:val="FootnoteReference"/>
          <w:sz w:val="26"/>
          <w:szCs w:val="26"/>
          <w:rtl/>
        </w:rPr>
        <w:footnoteReference w:id="13"/>
      </w:r>
      <w:r w:rsidR="00037786">
        <w:rPr>
          <w:rFonts w:hint="cs"/>
          <w:sz w:val="26"/>
          <w:szCs w:val="26"/>
          <w:rtl/>
        </w:rPr>
        <w:t>،</w:t>
      </w:r>
      <w:r w:rsidRPr="00660324">
        <w:rPr>
          <w:sz w:val="26"/>
          <w:szCs w:val="26"/>
          <w:rtl/>
        </w:rPr>
        <w:t xml:space="preserve"> والصومال</w:t>
      </w:r>
      <w:r w:rsidR="00AE279E">
        <w:rPr>
          <w:rStyle w:val="FootnoteReference"/>
          <w:sz w:val="26"/>
          <w:szCs w:val="26"/>
          <w:rtl/>
        </w:rPr>
        <w:footnoteReference w:id="14"/>
      </w:r>
      <w:r w:rsidR="00037786">
        <w:rPr>
          <w:rFonts w:hint="cs"/>
          <w:sz w:val="26"/>
          <w:szCs w:val="26"/>
          <w:rtl/>
        </w:rPr>
        <w:t>،</w:t>
      </w:r>
      <w:r w:rsidRPr="00660324">
        <w:rPr>
          <w:sz w:val="26"/>
          <w:szCs w:val="26"/>
          <w:rtl/>
        </w:rPr>
        <w:t xml:space="preserve"> و</w:t>
      </w:r>
      <w:r w:rsidR="003B244D" w:rsidRPr="003B244D">
        <w:rPr>
          <w:sz w:val="26"/>
          <w:szCs w:val="26"/>
          <w:rtl/>
        </w:rPr>
        <w:t>فنزويلا (جمهورية - البوليفارية)</w:t>
      </w:r>
      <w:r w:rsidRPr="00660324">
        <w:rPr>
          <w:sz w:val="26"/>
          <w:szCs w:val="26"/>
          <w:rtl/>
        </w:rPr>
        <w:t xml:space="preserve"> شرائح خطط إدارة إزالة المواد الهيدروكلوروفلوروكربونية الخاصة بها ذات الصلة إلى الاجتماع الثامن والثمانين.</w:t>
      </w:r>
    </w:p>
    <w:p w14:paraId="3647A832" w14:textId="1063EC87" w:rsidR="00035B6B" w:rsidRPr="00035B6B" w:rsidRDefault="00D72902" w:rsidP="00035B6B">
      <w:pPr>
        <w:pStyle w:val="Heading1"/>
        <w:bidi/>
        <w:rPr>
          <w:sz w:val="26"/>
          <w:szCs w:val="26"/>
        </w:rPr>
      </w:pPr>
      <w:r>
        <w:rPr>
          <w:rFonts w:hint="cs"/>
          <w:sz w:val="26"/>
          <w:szCs w:val="26"/>
          <w:rtl/>
        </w:rPr>
        <w:t>غير أن</w:t>
      </w:r>
      <w:r w:rsidRPr="00D72902">
        <w:rPr>
          <w:sz w:val="26"/>
          <w:szCs w:val="26"/>
          <w:rtl/>
        </w:rPr>
        <w:t xml:space="preserve"> حكومات الجزائر، والبحرين، وبنغلاديش، وبوروندي، وغينيا الاستوائية، وموريتانيا، وسانت كيتس ونيفيس، وجنوب </w:t>
      </w:r>
      <w:r w:rsidR="00531AC2">
        <w:rPr>
          <w:rFonts w:hint="cs"/>
          <w:sz w:val="26"/>
          <w:szCs w:val="26"/>
          <w:rtl/>
        </w:rPr>
        <w:t>إ</w:t>
      </w:r>
      <w:r w:rsidRPr="00D72902">
        <w:rPr>
          <w:sz w:val="26"/>
          <w:szCs w:val="26"/>
          <w:rtl/>
        </w:rPr>
        <w:t>فريقيا، وجنوب السودان لم تقدم طلبات الشرائح الخاصة بهم.</w:t>
      </w:r>
    </w:p>
    <w:p w14:paraId="109A27D0" w14:textId="7A3A816C" w:rsidR="00531AC2" w:rsidRPr="00531AC2" w:rsidRDefault="00531AC2" w:rsidP="00531AC2">
      <w:pPr>
        <w:pStyle w:val="Heading1"/>
        <w:keepNext/>
        <w:numPr>
          <w:ilvl w:val="0"/>
          <w:numId w:val="0"/>
        </w:numPr>
        <w:bidi/>
        <w:rPr>
          <w:bCs/>
          <w:sz w:val="26"/>
          <w:szCs w:val="26"/>
          <w:lang w:bidi="ar-AE"/>
        </w:rPr>
      </w:pPr>
      <w:r w:rsidRPr="00531AC2">
        <w:rPr>
          <w:bCs/>
          <w:sz w:val="26"/>
          <w:szCs w:val="26"/>
          <w:rtl/>
          <w:lang w:bidi="ar-AE"/>
        </w:rPr>
        <w:t>تحليل الشرائح غير المقدم</w:t>
      </w:r>
      <w:r>
        <w:rPr>
          <w:rFonts w:hint="cs"/>
          <w:bCs/>
          <w:sz w:val="26"/>
          <w:szCs w:val="26"/>
          <w:rtl/>
          <w:lang w:bidi="ar-AE"/>
        </w:rPr>
        <w:t>ة</w:t>
      </w:r>
      <w:r w:rsidRPr="00531AC2">
        <w:rPr>
          <w:bCs/>
          <w:sz w:val="26"/>
          <w:szCs w:val="26"/>
          <w:rtl/>
          <w:lang w:bidi="ar-AE"/>
        </w:rPr>
        <w:t xml:space="preserve"> للاجتماع الثامن والثمانين</w:t>
      </w:r>
    </w:p>
    <w:p w14:paraId="47C4C4AA" w14:textId="215D4661" w:rsidR="00531AC2" w:rsidRPr="00531AC2" w:rsidRDefault="0096257F" w:rsidP="00531AC2">
      <w:pPr>
        <w:pStyle w:val="Heading1"/>
        <w:bidi/>
        <w:rPr>
          <w:sz w:val="26"/>
          <w:szCs w:val="26"/>
        </w:rPr>
      </w:pPr>
      <w:r w:rsidRPr="0096257F">
        <w:rPr>
          <w:sz w:val="26"/>
          <w:szCs w:val="26"/>
          <w:rtl/>
        </w:rPr>
        <w:t>لم يتم تقديم 28 نشاطاً مرتبطاً بشرائح خطط إدارة إزالة المواد الهيدروكلوروفلوروكربونية لـ 21 بلداً</w:t>
      </w:r>
      <w:r w:rsidR="0078216C">
        <w:rPr>
          <w:rStyle w:val="FootnoteReference"/>
          <w:sz w:val="26"/>
          <w:szCs w:val="26"/>
          <w:rtl/>
        </w:rPr>
        <w:footnoteReference w:id="15"/>
      </w:r>
      <w:r w:rsidRPr="0096257F">
        <w:rPr>
          <w:sz w:val="26"/>
          <w:szCs w:val="26"/>
          <w:rtl/>
        </w:rPr>
        <w:t>، بقيمة إجمالية قدرها 12</w:t>
      </w:r>
      <w:r>
        <w:rPr>
          <w:rFonts w:hint="cs"/>
          <w:sz w:val="26"/>
          <w:szCs w:val="26"/>
          <w:rtl/>
        </w:rPr>
        <w:t>,</w:t>
      </w:r>
      <w:r w:rsidRPr="0096257F">
        <w:rPr>
          <w:sz w:val="26"/>
          <w:szCs w:val="26"/>
          <w:rtl/>
        </w:rPr>
        <w:t>827</w:t>
      </w:r>
      <w:r>
        <w:rPr>
          <w:rFonts w:hint="cs"/>
          <w:sz w:val="26"/>
          <w:szCs w:val="26"/>
          <w:rtl/>
        </w:rPr>
        <w:t>,</w:t>
      </w:r>
      <w:r w:rsidRPr="0096257F">
        <w:rPr>
          <w:sz w:val="26"/>
          <w:szCs w:val="26"/>
          <w:rtl/>
        </w:rPr>
        <w:t>029 دولار أمريكي (بما في ذلك تكاليف دعم الوكالة)، كان من المقرر تقديمها إلى الاجتماع الثامن والثمانين، على النحوِ المبين في المرفق الأول بهذه الوثيقة</w:t>
      </w:r>
      <w:r w:rsidR="00037786">
        <w:rPr>
          <w:rStyle w:val="FootnoteReference"/>
          <w:sz w:val="26"/>
          <w:szCs w:val="26"/>
          <w:rtl/>
        </w:rPr>
        <w:footnoteReference w:id="16"/>
      </w:r>
      <w:r w:rsidRPr="0096257F">
        <w:rPr>
          <w:sz w:val="26"/>
          <w:szCs w:val="26"/>
          <w:rtl/>
        </w:rPr>
        <w:t>.</w:t>
      </w:r>
    </w:p>
    <w:p w14:paraId="581D7F79" w14:textId="2C4EAEED" w:rsidR="002C089A" w:rsidRPr="002C089A" w:rsidRDefault="000B0324" w:rsidP="002C089A">
      <w:pPr>
        <w:pStyle w:val="Heading1"/>
        <w:bidi/>
        <w:rPr>
          <w:sz w:val="26"/>
          <w:szCs w:val="26"/>
        </w:rPr>
      </w:pPr>
      <w:r w:rsidRPr="000B0324">
        <w:rPr>
          <w:sz w:val="26"/>
          <w:szCs w:val="26"/>
          <w:rtl/>
        </w:rPr>
        <w:t xml:space="preserve">علاوة على ذلك، تم تقديم شرائح المرحلة الأولى من خطة إدارة إزالة المواد الهيدروكلوروفلوروكربونية لبلد واحد (موزمبيق) والمرحلة الثانية لبلدين (المكسيك </w:t>
      </w:r>
      <w:r>
        <w:rPr>
          <w:rFonts w:hint="cs"/>
          <w:sz w:val="26"/>
          <w:szCs w:val="26"/>
          <w:rtl/>
        </w:rPr>
        <w:t>و</w:t>
      </w:r>
      <w:r w:rsidRPr="000B0324">
        <w:rPr>
          <w:sz w:val="26"/>
          <w:szCs w:val="26"/>
          <w:rtl/>
        </w:rPr>
        <w:t xml:space="preserve">فنزويلا (جمهورية - البوليفارية) </w:t>
      </w:r>
      <w:r>
        <w:rPr>
          <w:rFonts w:hint="cs"/>
          <w:sz w:val="26"/>
          <w:szCs w:val="26"/>
          <w:rtl/>
        </w:rPr>
        <w:t>بمبلغ</w:t>
      </w:r>
      <w:r w:rsidRPr="000B0324">
        <w:rPr>
          <w:sz w:val="26"/>
          <w:szCs w:val="26"/>
          <w:rtl/>
        </w:rPr>
        <w:t xml:space="preserve"> قدره 2,419,565 دولار أمريكي (بما في ذلك تكاليف دعم الوكالة)، إلى الاجتماع الثامن والثمانين، ولكن تم سحبها لاحقاً من قبل الوكالات المنفذة ذات الصلة أثناء عملية استعراض المشروع. وهذه الشرائح مدرجة أيضاً في المرفق الأول لهذا التقرير.</w:t>
      </w:r>
    </w:p>
    <w:p w14:paraId="5ACA7B7F" w14:textId="199EBFE1" w:rsidR="000B0324" w:rsidRPr="00743859" w:rsidRDefault="00743859" w:rsidP="000B0324">
      <w:pPr>
        <w:pStyle w:val="Heading1"/>
        <w:keepNext/>
        <w:numPr>
          <w:ilvl w:val="0"/>
          <w:numId w:val="0"/>
        </w:numPr>
        <w:bidi/>
        <w:rPr>
          <w:bCs/>
          <w:sz w:val="26"/>
          <w:szCs w:val="26"/>
          <w:rtl/>
          <w:lang w:bidi="ar-AE"/>
        </w:rPr>
      </w:pPr>
      <w:r w:rsidRPr="00743859">
        <w:rPr>
          <w:rFonts w:hint="cs"/>
          <w:bCs/>
          <w:sz w:val="26"/>
          <w:szCs w:val="26"/>
          <w:rtl/>
          <w:lang w:bidi="ar-AE"/>
        </w:rPr>
        <w:t>أسباب</w:t>
      </w:r>
      <w:r w:rsidRPr="00743859">
        <w:rPr>
          <w:bCs/>
          <w:sz w:val="26"/>
          <w:szCs w:val="26"/>
          <w:rtl/>
          <w:lang w:bidi="ar-AE"/>
        </w:rPr>
        <w:t xml:space="preserve"> التأخير والتأثير على الامتثال</w:t>
      </w:r>
    </w:p>
    <w:p w14:paraId="10F2D6F9" w14:textId="3A1D0D51" w:rsidR="00D57629" w:rsidRPr="00D57629" w:rsidRDefault="00EA5658" w:rsidP="00D57629">
      <w:pPr>
        <w:pStyle w:val="Heading1"/>
        <w:bidi/>
        <w:rPr>
          <w:sz w:val="26"/>
          <w:szCs w:val="26"/>
        </w:rPr>
      </w:pPr>
      <w:r w:rsidRPr="00EA5658">
        <w:rPr>
          <w:sz w:val="26"/>
          <w:szCs w:val="26"/>
          <w:rtl/>
        </w:rPr>
        <w:t>تتضمن أسباب التأخير في تقديم شرائح خطط إدارة إزالة المواد الهيدروكلوروفلوروكربونية ما يلي: القيود التي فرضتها جائحة كوفيد-19 (18)؛ والصرف أقل من عتبة 20 في المائة من الأموال المعتمدة للشريحة السابقة (13)؛ وصعوبات داخلية أو خارجية (10)؛ وقرارات الحكومة و/أو المصادقات و/أو التغييرات في وحدة الأوزون الوطنية و/أو التغيير الهيكلي (9)؛ وعدم وجود تقرير التحقق (9)؛ وتقديم تقارير مرحلية ومالية (5)؛ والوضع السياسي أو القضايا الأمنية (3)؛ وتوفر أموال كافية من الشريحة السابقة المعتمدة (1)؛ وعدم جاهزية الوكالة الرئيسية للتقديم (1).</w:t>
      </w:r>
    </w:p>
    <w:p w14:paraId="6D8612DE" w14:textId="2131F302" w:rsidR="00EA5658" w:rsidRPr="00EA5658" w:rsidRDefault="00886A76" w:rsidP="00EA5658">
      <w:pPr>
        <w:pStyle w:val="Heading1"/>
        <w:bidi/>
        <w:rPr>
          <w:sz w:val="26"/>
          <w:szCs w:val="26"/>
        </w:rPr>
      </w:pPr>
      <w:r w:rsidRPr="00886A76">
        <w:rPr>
          <w:sz w:val="26"/>
          <w:szCs w:val="26"/>
          <w:rtl/>
        </w:rPr>
        <w:t xml:space="preserve">كما أفادت الوكالات الثنائية </w:t>
      </w:r>
      <w:r>
        <w:rPr>
          <w:rFonts w:hint="cs"/>
          <w:sz w:val="26"/>
          <w:szCs w:val="26"/>
          <w:rtl/>
        </w:rPr>
        <w:t>والمنفذة</w:t>
      </w:r>
      <w:r w:rsidRPr="00886A76">
        <w:rPr>
          <w:sz w:val="26"/>
          <w:szCs w:val="26"/>
          <w:rtl/>
        </w:rPr>
        <w:t xml:space="preserve"> ذات الصلة، فإن التأخير في تقديم الشرائح التي فات موعد استحقاقها لن يكون له أي تأثير، أو من غير المحتمل أن يكون له تأثير، على الامتثال لالتزامات البلدان بموجب بروتوكول مونتريال. ومن المتوقع تقديم جميع الشرائح المعلقة إلى الاجتماع التسعين، باستثناء فنزويلا (جمهورية - البوليفارية)، والتي يمكن تقديمها إلى الاجتماع الحادي والتسعين.</w:t>
      </w:r>
    </w:p>
    <w:p w14:paraId="5E2500AA" w14:textId="77777777" w:rsidR="00C96BC1" w:rsidRDefault="00C96BC1">
      <w:pPr>
        <w:jc w:val="left"/>
        <w:rPr>
          <w:b/>
          <w:bCs/>
          <w:sz w:val="26"/>
          <w:szCs w:val="26"/>
          <w:rtl/>
        </w:rPr>
      </w:pPr>
      <w:r>
        <w:rPr>
          <w:b/>
          <w:bCs/>
          <w:sz w:val="26"/>
          <w:szCs w:val="26"/>
          <w:rtl/>
        </w:rPr>
        <w:br w:type="page"/>
      </w:r>
    </w:p>
    <w:p w14:paraId="1A49E91E" w14:textId="5CAFC4FD" w:rsidR="00886A76" w:rsidRPr="00886A76" w:rsidRDefault="00886A76" w:rsidP="00886A76">
      <w:pPr>
        <w:pStyle w:val="Heading1"/>
        <w:widowControl w:val="0"/>
        <w:numPr>
          <w:ilvl w:val="0"/>
          <w:numId w:val="0"/>
        </w:numPr>
        <w:tabs>
          <w:tab w:val="left" w:pos="0"/>
        </w:tabs>
        <w:bidi/>
        <w:rPr>
          <w:b/>
          <w:bCs/>
          <w:sz w:val="26"/>
          <w:szCs w:val="26"/>
        </w:rPr>
      </w:pPr>
      <w:bookmarkStart w:id="1" w:name="_GoBack"/>
      <w:bookmarkEnd w:id="1"/>
      <w:r>
        <w:rPr>
          <w:rFonts w:hint="cs"/>
          <w:b/>
          <w:bCs/>
          <w:sz w:val="26"/>
          <w:szCs w:val="26"/>
          <w:rtl/>
        </w:rPr>
        <w:lastRenderedPageBreak/>
        <w:t>التوصية</w:t>
      </w:r>
    </w:p>
    <w:p w14:paraId="446C49D1" w14:textId="251C2334" w:rsidR="0065067C" w:rsidRPr="0065067C" w:rsidRDefault="00D269A5" w:rsidP="0065067C">
      <w:pPr>
        <w:pStyle w:val="Heading1"/>
        <w:bidi/>
        <w:rPr>
          <w:sz w:val="26"/>
          <w:szCs w:val="26"/>
        </w:rPr>
      </w:pPr>
      <w:r w:rsidRPr="00D269A5">
        <w:rPr>
          <w:sz w:val="26"/>
          <w:szCs w:val="26"/>
          <w:rtl/>
        </w:rPr>
        <w:t>قد ترغب اللجنة التنفيذية في:</w:t>
      </w:r>
    </w:p>
    <w:p w14:paraId="2E5361B7" w14:textId="7CBB969F" w:rsidR="00D269A5" w:rsidRPr="00D269A5" w:rsidRDefault="00FF6A39" w:rsidP="00D269A5">
      <w:pPr>
        <w:pStyle w:val="Heading2"/>
        <w:numPr>
          <w:ilvl w:val="0"/>
          <w:numId w:val="35"/>
        </w:numPr>
        <w:bidi/>
        <w:ind w:left="1440" w:hanging="720"/>
        <w:rPr>
          <w:sz w:val="26"/>
          <w:szCs w:val="26"/>
        </w:rPr>
      </w:pPr>
      <w:r w:rsidRPr="00FF6A39">
        <w:rPr>
          <w:sz w:val="26"/>
          <w:szCs w:val="26"/>
          <w:rtl/>
        </w:rPr>
        <w:t>أن تحيطً علماً بـِ:</w:t>
      </w:r>
    </w:p>
    <w:p w14:paraId="4763D19C" w14:textId="5847E175" w:rsidR="00FF6A39" w:rsidRPr="00FF6A39" w:rsidRDefault="00221610" w:rsidP="00FF6A39">
      <w:pPr>
        <w:pStyle w:val="Heading3"/>
        <w:numPr>
          <w:ilvl w:val="0"/>
          <w:numId w:val="37"/>
        </w:numPr>
        <w:bidi/>
        <w:ind w:hanging="720"/>
        <w:rPr>
          <w:sz w:val="26"/>
          <w:szCs w:val="26"/>
        </w:rPr>
      </w:pPr>
      <w:r w:rsidRPr="00221610">
        <w:rPr>
          <w:sz w:val="26"/>
          <w:szCs w:val="26"/>
          <w:rtl/>
        </w:rPr>
        <w:t xml:space="preserve">التقرير الخاص بالتأخيرات في تقديم الشرائح الوارد في الوثيقة </w:t>
      </w:r>
      <w:r w:rsidRPr="00221610">
        <w:rPr>
          <w:sz w:val="26"/>
          <w:szCs w:val="26"/>
        </w:rPr>
        <w:t>UNEP/</w:t>
      </w:r>
      <w:proofErr w:type="spellStart"/>
      <w:r w:rsidRPr="00221610">
        <w:rPr>
          <w:sz w:val="26"/>
          <w:szCs w:val="26"/>
        </w:rPr>
        <w:t>OzL.Pro</w:t>
      </w:r>
      <w:proofErr w:type="spellEnd"/>
      <w:r w:rsidRPr="00221610">
        <w:rPr>
          <w:sz w:val="26"/>
          <w:szCs w:val="26"/>
        </w:rPr>
        <w:t>/</w:t>
      </w:r>
      <w:proofErr w:type="spellStart"/>
      <w:r w:rsidRPr="00221610">
        <w:rPr>
          <w:sz w:val="26"/>
          <w:szCs w:val="26"/>
        </w:rPr>
        <w:t>ExCom</w:t>
      </w:r>
      <w:proofErr w:type="spellEnd"/>
      <w:r w:rsidRPr="00221610">
        <w:rPr>
          <w:sz w:val="26"/>
          <w:szCs w:val="26"/>
        </w:rPr>
        <w:t>/88/21</w:t>
      </w:r>
      <w:r>
        <w:rPr>
          <w:rFonts w:hint="cs"/>
          <w:sz w:val="26"/>
          <w:szCs w:val="26"/>
          <w:rtl/>
          <w:lang w:val="en-US" w:bidi="ar-AE"/>
        </w:rPr>
        <w:t>؛</w:t>
      </w:r>
    </w:p>
    <w:p w14:paraId="59704658" w14:textId="279DDAED" w:rsidR="00311944" w:rsidRPr="00311944" w:rsidRDefault="00311944" w:rsidP="00311944">
      <w:pPr>
        <w:pStyle w:val="Heading3"/>
        <w:numPr>
          <w:ilvl w:val="0"/>
          <w:numId w:val="37"/>
        </w:numPr>
        <w:bidi/>
        <w:ind w:hanging="720"/>
        <w:rPr>
          <w:sz w:val="26"/>
          <w:szCs w:val="26"/>
        </w:rPr>
      </w:pPr>
      <w:r w:rsidRPr="00311944">
        <w:rPr>
          <w:sz w:val="26"/>
          <w:szCs w:val="26"/>
          <w:rtl/>
        </w:rPr>
        <w:t>المعلومات المتعلقة بالتأخيرات في تقديم الشرائح بموجب خطط إدارة إزالة المواد الهيدروكلوروفلوروكربونية المقدمة من حكومة ألمانيا، واليوئنديبي، واليونيب، واليونيدو، والبنك الدولي؛</w:t>
      </w:r>
    </w:p>
    <w:p w14:paraId="730B6C06" w14:textId="4F2DA7A3" w:rsidR="00311944" w:rsidRPr="00311944" w:rsidRDefault="00381A4D" w:rsidP="00311944">
      <w:pPr>
        <w:pStyle w:val="Heading3"/>
        <w:numPr>
          <w:ilvl w:val="0"/>
          <w:numId w:val="37"/>
        </w:numPr>
        <w:bidi/>
        <w:ind w:hanging="720"/>
        <w:rPr>
          <w:sz w:val="26"/>
          <w:szCs w:val="26"/>
        </w:rPr>
      </w:pPr>
      <w:r w:rsidRPr="00381A4D">
        <w:rPr>
          <w:sz w:val="26"/>
          <w:szCs w:val="26"/>
          <w:rtl/>
        </w:rPr>
        <w:t>أن 42 نشاطاً من أصل 70 (20 من 41 بلداً) تتعلق بشرائح خطط إدارة إزالة المواد الهيدروكلوروفلوروكربونية المقرر تقديمها في الاجتماع الثامن والثمانين قد تم تقديمها في الوقت المحدد؛</w:t>
      </w:r>
    </w:p>
    <w:p w14:paraId="7C0129D1" w14:textId="153B80BD" w:rsidR="00381A4D" w:rsidRPr="00381A4D" w:rsidRDefault="00381A4D" w:rsidP="00381A4D">
      <w:pPr>
        <w:pStyle w:val="Heading3"/>
        <w:numPr>
          <w:ilvl w:val="0"/>
          <w:numId w:val="37"/>
        </w:numPr>
        <w:bidi/>
        <w:ind w:hanging="720"/>
        <w:rPr>
          <w:sz w:val="26"/>
          <w:szCs w:val="26"/>
        </w:rPr>
      </w:pPr>
      <w:r w:rsidRPr="00381A4D">
        <w:rPr>
          <w:sz w:val="26"/>
          <w:szCs w:val="26"/>
          <w:rtl/>
        </w:rPr>
        <w:t>أشارت الوكالات الثنائية والمنفذة ذات الصلة إلى أن التقديم المتأخر لشرائح خطط إدارة إزالة المواد الهيدروكلوروفلوروكربونية المقرر تقديمها في الاجتماع الثاني لعام 2021 لن يكون له أي تأثير، أو من غير المحتمل أن يكون له تأثير، على الامتثال لبروتوكول مونتريال، وأنه ليس هناك ما يشير إلى أن أياً من البلدان المعنية كان في حالة عدم امتثال لتدابير الرقابة الخاصة ببروتوكول مونتريال؛ و</w:t>
      </w:r>
    </w:p>
    <w:p w14:paraId="287C653E" w14:textId="0E0307EC" w:rsidR="00381A4D" w:rsidRPr="00381A4D" w:rsidRDefault="00381A4D" w:rsidP="00381A4D">
      <w:pPr>
        <w:pStyle w:val="Heading2"/>
        <w:numPr>
          <w:ilvl w:val="0"/>
          <w:numId w:val="35"/>
        </w:numPr>
        <w:bidi/>
        <w:ind w:left="1440" w:hanging="720"/>
        <w:rPr>
          <w:sz w:val="26"/>
          <w:szCs w:val="26"/>
        </w:rPr>
      </w:pPr>
      <w:r w:rsidRPr="00381A4D">
        <w:rPr>
          <w:sz w:val="26"/>
          <w:szCs w:val="26"/>
          <w:rtl/>
        </w:rPr>
        <w:t>أن تطلب من الأمانة إرسال رسائل إلى الحكومات ذات الصلة بشأن القرارات المتعلقة بتأخيرات تقديم الشرائح الواردة في المرفق الأول لهذا التقرير.</w:t>
      </w:r>
    </w:p>
    <w:p w14:paraId="30E8BFDB" w14:textId="77777777" w:rsidR="005C0FF2" w:rsidRPr="00F81657" w:rsidRDefault="005C0FF2" w:rsidP="00F81657">
      <w:pPr>
        <w:pStyle w:val="Title1"/>
        <w:bidi/>
        <w:rPr>
          <w:sz w:val="26"/>
          <w:szCs w:val="26"/>
          <w:lang w:val="en-CA"/>
        </w:rPr>
      </w:pPr>
    </w:p>
    <w:p w14:paraId="6C151451" w14:textId="77777777" w:rsidR="005C0FF2" w:rsidRPr="00F81657" w:rsidRDefault="005C0FF2" w:rsidP="00F81657">
      <w:pPr>
        <w:pStyle w:val="Title1"/>
        <w:bidi/>
        <w:rPr>
          <w:sz w:val="26"/>
          <w:szCs w:val="26"/>
          <w:lang w:val="en-CA"/>
        </w:rPr>
      </w:pPr>
    </w:p>
    <w:p w14:paraId="7FB94682" w14:textId="77777777" w:rsidR="005C0FF2" w:rsidRPr="00F81657" w:rsidRDefault="005C0FF2" w:rsidP="00F81657">
      <w:pPr>
        <w:bidi/>
        <w:rPr>
          <w:sz w:val="26"/>
          <w:szCs w:val="26"/>
        </w:rPr>
        <w:sectPr w:rsidR="005C0FF2" w:rsidRPr="00F81657"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1077D38F" w14:textId="1E9B9A76" w:rsidR="005C0FF2" w:rsidRPr="00381A4D" w:rsidRDefault="00381A4D" w:rsidP="00381A4D">
      <w:pPr>
        <w:tabs>
          <w:tab w:val="left" w:pos="1384"/>
          <w:tab w:val="left" w:pos="2185"/>
          <w:tab w:val="left" w:pos="2742"/>
          <w:tab w:val="left" w:pos="3829"/>
          <w:tab w:val="left" w:pos="6671"/>
          <w:tab w:val="left" w:pos="7624"/>
          <w:tab w:val="left" w:pos="8384"/>
        </w:tabs>
        <w:bidi/>
        <w:ind w:left="1440" w:hanging="1440"/>
        <w:jc w:val="center"/>
        <w:rPr>
          <w:b/>
          <w:bCs/>
          <w:sz w:val="26"/>
          <w:szCs w:val="26"/>
          <w:lang w:bidi="ar-AE"/>
        </w:rPr>
      </w:pPr>
      <w:r>
        <w:rPr>
          <w:rFonts w:hint="cs"/>
          <w:b/>
          <w:bCs/>
          <w:sz w:val="26"/>
          <w:szCs w:val="26"/>
          <w:rtl/>
          <w:lang w:bidi="ar-AE"/>
        </w:rPr>
        <w:lastRenderedPageBreak/>
        <w:t>المرفق الأول</w:t>
      </w:r>
    </w:p>
    <w:p w14:paraId="5FFBD9E2" w14:textId="3505B4A0" w:rsidR="005C0FF2" w:rsidRDefault="00A8766C" w:rsidP="00381A4D">
      <w:pPr>
        <w:tabs>
          <w:tab w:val="left" w:pos="1384"/>
          <w:tab w:val="left" w:pos="2185"/>
          <w:tab w:val="left" w:pos="2742"/>
          <w:tab w:val="left" w:pos="3829"/>
          <w:tab w:val="left" w:pos="6671"/>
          <w:tab w:val="left" w:pos="7624"/>
          <w:tab w:val="left" w:pos="8384"/>
        </w:tabs>
        <w:bidi/>
        <w:ind w:left="1440" w:hanging="1440"/>
        <w:jc w:val="center"/>
        <w:rPr>
          <w:b/>
          <w:bCs/>
          <w:caps/>
          <w:sz w:val="26"/>
          <w:szCs w:val="26"/>
          <w:lang w:val="en-US"/>
        </w:rPr>
      </w:pPr>
      <w:r>
        <w:rPr>
          <w:b/>
          <w:bCs/>
          <w:caps/>
          <w:sz w:val="26"/>
          <w:szCs w:val="26"/>
        </w:rPr>
        <w:t xml:space="preserve"> </w:t>
      </w:r>
    </w:p>
    <w:p w14:paraId="47F1F59B" w14:textId="1C20BF13" w:rsidR="00381A4D" w:rsidRPr="00381A4D" w:rsidRDefault="00381A4D" w:rsidP="00381A4D">
      <w:pPr>
        <w:tabs>
          <w:tab w:val="left" w:pos="1384"/>
          <w:tab w:val="left" w:pos="2185"/>
          <w:tab w:val="left" w:pos="2742"/>
          <w:tab w:val="left" w:pos="3829"/>
          <w:tab w:val="left" w:pos="6671"/>
          <w:tab w:val="left" w:pos="7624"/>
          <w:tab w:val="left" w:pos="8384"/>
        </w:tabs>
        <w:bidi/>
        <w:ind w:left="1440" w:hanging="1440"/>
        <w:jc w:val="center"/>
        <w:rPr>
          <w:b/>
          <w:bCs/>
          <w:caps/>
          <w:sz w:val="26"/>
          <w:szCs w:val="26"/>
          <w:rtl/>
          <w:lang w:val="en-US" w:bidi="ar-AE"/>
        </w:rPr>
      </w:pPr>
      <w:r>
        <w:rPr>
          <w:rFonts w:hint="cs"/>
          <w:b/>
          <w:bCs/>
          <w:caps/>
          <w:sz w:val="26"/>
          <w:szCs w:val="26"/>
          <w:rtl/>
          <w:lang w:val="en-US" w:bidi="ar-AE"/>
        </w:rPr>
        <w:t>الشرائح التي لم يتم تقديمها إلى الاجتماع الثامن والثمانين</w:t>
      </w:r>
    </w:p>
    <w:p w14:paraId="5BE2A823" w14:textId="721A37F2" w:rsidR="005C0FF2" w:rsidRPr="00381A4D" w:rsidRDefault="005C0FF2" w:rsidP="00381A4D">
      <w:pPr>
        <w:bidi/>
        <w:rPr>
          <w:sz w:val="26"/>
          <w:szCs w:val="26"/>
        </w:rPr>
      </w:pPr>
    </w:p>
    <w:tbl>
      <w:tblPr>
        <w:bidiVisual/>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879"/>
        <w:gridCol w:w="1275"/>
        <w:gridCol w:w="3220"/>
        <w:gridCol w:w="6095"/>
      </w:tblGrid>
      <w:tr w:rsidR="009E5AF2" w:rsidRPr="009E5AF2" w14:paraId="5E16B41B" w14:textId="77777777" w:rsidTr="00BB3817">
        <w:trPr>
          <w:tblHeader/>
        </w:trPr>
        <w:tc>
          <w:tcPr>
            <w:tcW w:w="1560" w:type="dxa"/>
            <w:tcMar>
              <w:left w:w="72" w:type="dxa"/>
              <w:right w:w="72" w:type="dxa"/>
            </w:tcMar>
            <w:vAlign w:val="center"/>
          </w:tcPr>
          <w:p w14:paraId="6924FD91" w14:textId="37DD6863" w:rsidR="009E5AF2" w:rsidRPr="009E5AF2" w:rsidRDefault="00EF28DE" w:rsidP="00EF28DE">
            <w:pPr>
              <w:bidi/>
              <w:ind w:left="-108" w:firstLine="108"/>
              <w:jc w:val="center"/>
              <w:rPr>
                <w:b/>
                <w:bCs/>
                <w:lang w:eastAsia="en-CA" w:bidi="ar-AE"/>
              </w:rPr>
            </w:pPr>
            <w:r>
              <w:rPr>
                <w:rFonts w:hint="cs"/>
                <w:b/>
                <w:bCs/>
                <w:rtl/>
                <w:lang w:eastAsia="en-CA" w:bidi="ar-AE"/>
              </w:rPr>
              <w:t>البلد</w:t>
            </w:r>
          </w:p>
        </w:tc>
        <w:tc>
          <w:tcPr>
            <w:tcW w:w="1276" w:type="dxa"/>
            <w:tcMar>
              <w:left w:w="72" w:type="dxa"/>
              <w:right w:w="72" w:type="dxa"/>
            </w:tcMar>
            <w:vAlign w:val="center"/>
          </w:tcPr>
          <w:p w14:paraId="4B209F3B" w14:textId="1B24BC4E" w:rsidR="009E5AF2" w:rsidRPr="009E5AF2" w:rsidRDefault="00EF28DE" w:rsidP="00EF28DE">
            <w:pPr>
              <w:bidi/>
              <w:jc w:val="center"/>
              <w:rPr>
                <w:b/>
                <w:bCs/>
                <w:lang w:eastAsia="en-CA"/>
              </w:rPr>
            </w:pPr>
            <w:r>
              <w:rPr>
                <w:rFonts w:hint="cs"/>
                <w:b/>
                <w:bCs/>
                <w:rtl/>
                <w:lang w:eastAsia="en-CA"/>
              </w:rPr>
              <w:t>الوكالة</w:t>
            </w:r>
          </w:p>
        </w:tc>
        <w:tc>
          <w:tcPr>
            <w:tcW w:w="879" w:type="dxa"/>
            <w:tcMar>
              <w:left w:w="72" w:type="dxa"/>
              <w:right w:w="72" w:type="dxa"/>
            </w:tcMar>
            <w:vAlign w:val="center"/>
          </w:tcPr>
          <w:p w14:paraId="3D89886E" w14:textId="33BAF399" w:rsidR="009E5AF2" w:rsidRPr="009E5AF2" w:rsidRDefault="00EF28DE" w:rsidP="00EF28DE">
            <w:pPr>
              <w:bidi/>
              <w:ind w:left="-108" w:right="-128"/>
              <w:jc w:val="center"/>
              <w:rPr>
                <w:b/>
                <w:bCs/>
                <w:lang w:eastAsia="en-CA"/>
              </w:rPr>
            </w:pPr>
            <w:r>
              <w:rPr>
                <w:rFonts w:hint="cs"/>
                <w:b/>
                <w:bCs/>
                <w:rtl/>
                <w:lang w:eastAsia="en-CA"/>
              </w:rPr>
              <w:t>الشريحة</w:t>
            </w:r>
          </w:p>
        </w:tc>
        <w:tc>
          <w:tcPr>
            <w:tcW w:w="1275" w:type="dxa"/>
            <w:tcMar>
              <w:left w:w="72" w:type="dxa"/>
              <w:right w:w="72" w:type="dxa"/>
            </w:tcMar>
            <w:vAlign w:val="center"/>
          </w:tcPr>
          <w:p w14:paraId="6043B050" w14:textId="281A231F" w:rsidR="009E5AF2" w:rsidRPr="009E5AF2" w:rsidRDefault="00EF28DE" w:rsidP="00EF28DE">
            <w:pPr>
              <w:bidi/>
              <w:ind w:left="-108" w:right="-108"/>
              <w:jc w:val="center"/>
              <w:rPr>
                <w:b/>
                <w:bCs/>
                <w:lang w:eastAsia="en-CA"/>
              </w:rPr>
            </w:pPr>
            <w:r>
              <w:rPr>
                <w:rFonts w:hint="cs"/>
                <w:b/>
                <w:bCs/>
                <w:rtl/>
                <w:lang w:eastAsia="en-CA"/>
              </w:rPr>
              <w:t>المبلغ (مع تكاليف الدعم (دولار أمريكي</w:t>
            </w:r>
          </w:p>
        </w:tc>
        <w:tc>
          <w:tcPr>
            <w:tcW w:w="3220" w:type="dxa"/>
            <w:tcMar>
              <w:left w:w="72" w:type="dxa"/>
              <w:right w:w="72" w:type="dxa"/>
            </w:tcMar>
            <w:vAlign w:val="center"/>
          </w:tcPr>
          <w:p w14:paraId="1FCFCA6D" w14:textId="3E7243C3" w:rsidR="009E5AF2" w:rsidRPr="009E5AF2" w:rsidRDefault="00EF28DE" w:rsidP="00EF28DE">
            <w:pPr>
              <w:bidi/>
              <w:jc w:val="center"/>
              <w:rPr>
                <w:b/>
                <w:bCs/>
                <w:lang w:eastAsia="en-CA"/>
              </w:rPr>
            </w:pPr>
            <w:r w:rsidRPr="00EF28DE">
              <w:rPr>
                <w:b/>
                <w:bCs/>
                <w:rtl/>
                <w:lang w:eastAsia="en-CA"/>
              </w:rPr>
              <w:t>سبب التأخير/السحب</w:t>
            </w:r>
          </w:p>
        </w:tc>
        <w:tc>
          <w:tcPr>
            <w:tcW w:w="6095" w:type="dxa"/>
            <w:tcMar>
              <w:left w:w="72" w:type="dxa"/>
              <w:right w:w="72" w:type="dxa"/>
            </w:tcMar>
            <w:vAlign w:val="center"/>
          </w:tcPr>
          <w:p w14:paraId="01957784" w14:textId="75888651" w:rsidR="009E5AF2" w:rsidRPr="00EF28DE" w:rsidRDefault="00EF28DE" w:rsidP="00EF28DE">
            <w:pPr>
              <w:bidi/>
              <w:jc w:val="center"/>
              <w:rPr>
                <w:b/>
                <w:bCs/>
                <w:lang w:eastAsia="en-CA"/>
              </w:rPr>
            </w:pPr>
            <w:r w:rsidRPr="00EF28DE">
              <w:rPr>
                <w:b/>
                <w:bCs/>
                <w:rtl/>
                <w:lang w:eastAsia="en-CA"/>
              </w:rPr>
              <w:t>التوصيات</w:t>
            </w:r>
          </w:p>
        </w:tc>
      </w:tr>
      <w:tr w:rsidR="005C0FF2" w:rsidRPr="009E5AF2" w14:paraId="474D29A6" w14:textId="77777777" w:rsidTr="00BB3817">
        <w:tc>
          <w:tcPr>
            <w:tcW w:w="1560" w:type="dxa"/>
            <w:tcMar>
              <w:left w:w="72" w:type="dxa"/>
              <w:right w:w="72" w:type="dxa"/>
            </w:tcMar>
          </w:tcPr>
          <w:p w14:paraId="0AE1BB99" w14:textId="03D00463" w:rsidR="005C0FF2" w:rsidRPr="009E5AF2" w:rsidRDefault="002E30BB" w:rsidP="009E5AF2">
            <w:pPr>
              <w:bidi/>
              <w:ind w:right="-131"/>
              <w:jc w:val="left"/>
              <w:rPr>
                <w:rtl/>
                <w:lang w:eastAsia="en-CA" w:bidi="ar-AE"/>
              </w:rPr>
            </w:pPr>
            <w:r w:rsidRPr="002E30BB">
              <w:rPr>
                <w:rtl/>
                <w:lang w:eastAsia="en-CA"/>
              </w:rPr>
              <w:t>الجزائر (المرحلة الأولى)</w:t>
            </w:r>
          </w:p>
        </w:tc>
        <w:tc>
          <w:tcPr>
            <w:tcW w:w="1276" w:type="dxa"/>
            <w:tcMar>
              <w:left w:w="72" w:type="dxa"/>
              <w:right w:w="72" w:type="dxa"/>
            </w:tcMar>
          </w:tcPr>
          <w:p w14:paraId="10E68C2A" w14:textId="5A8DBF7D" w:rsidR="005C0FF2" w:rsidRPr="009E5AF2" w:rsidRDefault="002E30BB" w:rsidP="009E5AF2">
            <w:pPr>
              <w:bidi/>
              <w:jc w:val="left"/>
              <w:rPr>
                <w:lang w:eastAsia="en-CA"/>
              </w:rPr>
            </w:pPr>
            <w:r w:rsidRPr="002E30BB">
              <w:rPr>
                <w:rtl/>
                <w:lang w:eastAsia="en-CA"/>
              </w:rPr>
              <w:t>اليونيدو</w:t>
            </w:r>
          </w:p>
        </w:tc>
        <w:tc>
          <w:tcPr>
            <w:tcW w:w="879" w:type="dxa"/>
            <w:tcMar>
              <w:left w:w="72" w:type="dxa"/>
              <w:right w:w="72" w:type="dxa"/>
            </w:tcMar>
          </w:tcPr>
          <w:p w14:paraId="779BE7D8" w14:textId="4BD404AA" w:rsidR="005C0FF2" w:rsidRPr="009E5AF2" w:rsidRDefault="00947E74" w:rsidP="009E5AF2">
            <w:pPr>
              <w:bidi/>
              <w:ind w:left="-83" w:right="-108"/>
              <w:jc w:val="center"/>
              <w:rPr>
                <w:lang w:eastAsia="en-CA" w:bidi="ar-AE"/>
              </w:rPr>
            </w:pPr>
            <w:r>
              <w:rPr>
                <w:rFonts w:hint="cs"/>
                <w:rtl/>
                <w:lang w:eastAsia="en-CA"/>
              </w:rPr>
              <w:t>2014</w:t>
            </w:r>
            <w:r w:rsidR="002E30BB" w:rsidRPr="002E30BB">
              <w:rPr>
                <w:rtl/>
                <w:lang w:eastAsia="en-CA"/>
              </w:rPr>
              <w:t xml:space="preserve"> و2017</w:t>
            </w:r>
          </w:p>
        </w:tc>
        <w:tc>
          <w:tcPr>
            <w:tcW w:w="1275" w:type="dxa"/>
            <w:tcMar>
              <w:left w:w="72" w:type="dxa"/>
              <w:right w:w="72" w:type="dxa"/>
            </w:tcMar>
          </w:tcPr>
          <w:p w14:paraId="331A3956" w14:textId="7619ED60" w:rsidR="002E30BB" w:rsidRPr="002E30BB" w:rsidRDefault="002E30BB" w:rsidP="002E30BB">
            <w:pPr>
              <w:bidi/>
              <w:jc w:val="right"/>
              <w:rPr>
                <w:rtl/>
                <w:lang w:val="en-US" w:eastAsia="en-CA" w:bidi="ar-AE"/>
              </w:rPr>
            </w:pPr>
            <w:r>
              <w:rPr>
                <w:rFonts w:hint="cs"/>
                <w:rtl/>
                <w:lang w:val="en-US" w:eastAsia="en-CA" w:bidi="ar-AE"/>
              </w:rPr>
              <w:t>197,898</w:t>
            </w:r>
          </w:p>
        </w:tc>
        <w:tc>
          <w:tcPr>
            <w:tcW w:w="3220" w:type="dxa"/>
            <w:tcMar>
              <w:left w:w="72" w:type="dxa"/>
              <w:right w:w="72" w:type="dxa"/>
            </w:tcMar>
          </w:tcPr>
          <w:p w14:paraId="1016796D" w14:textId="10CCC7A3" w:rsidR="005C0FF2" w:rsidRPr="009E5AF2" w:rsidRDefault="002E30BB" w:rsidP="009E5AF2">
            <w:pPr>
              <w:bidi/>
              <w:jc w:val="left"/>
              <w:rPr>
                <w:lang w:eastAsia="en-CA"/>
              </w:rPr>
            </w:pPr>
            <w:r w:rsidRPr="002E30BB">
              <w:rPr>
                <w:rtl/>
                <w:lang w:eastAsia="en-CA"/>
              </w:rPr>
              <w:t>صعوبات داخلية أو خارجية</w:t>
            </w:r>
          </w:p>
        </w:tc>
        <w:tc>
          <w:tcPr>
            <w:tcW w:w="6095" w:type="dxa"/>
            <w:shd w:val="clear" w:color="auto" w:fill="auto"/>
            <w:tcMar>
              <w:left w:w="72" w:type="dxa"/>
              <w:right w:w="72" w:type="dxa"/>
            </w:tcMar>
          </w:tcPr>
          <w:p w14:paraId="493D14A0" w14:textId="5584F92A" w:rsidR="002E30BB" w:rsidRPr="009E5AF2" w:rsidRDefault="00A8766C" w:rsidP="002E30BB">
            <w:pPr>
              <w:bidi/>
              <w:rPr>
                <w:rtl/>
                <w:lang w:bidi="ar-AE"/>
              </w:rPr>
            </w:pPr>
            <w:r w:rsidRPr="00A8766C">
              <w:rPr>
                <w:rtl/>
                <w:lang w:bidi="ar-AE"/>
              </w:rPr>
              <w:t xml:space="preserve">ملاحظة أن التأخيرات ناجمةٌ </w:t>
            </w:r>
            <w:r>
              <w:rPr>
                <w:rFonts w:hint="cs"/>
                <w:rtl/>
                <w:lang w:bidi="ar-AE"/>
              </w:rPr>
              <w:t xml:space="preserve">عن </w:t>
            </w:r>
            <w:r w:rsidR="002E30BB" w:rsidRPr="002E30BB">
              <w:rPr>
                <w:rtl/>
                <w:lang w:bidi="ar-AE"/>
              </w:rPr>
              <w:t>عوامل خارجية، وحث حكومة الجزائر على العمل مع اليونيدو للإسراع بتنفيذ الشريحة الثانية (2012) من المرحلة الأولى بحيث يمكن تقديم الشريحتين الثالثة والرابعة (2014 و2017) إلى الاجتماع التسعين مشفوعتين بخطة عمل منقحة لمراعاة إعادة تخصيص شريحة 2014 والشرائح اللاحقة.</w:t>
            </w:r>
          </w:p>
        </w:tc>
      </w:tr>
      <w:tr w:rsidR="00CF43BC" w:rsidRPr="009E5AF2" w14:paraId="4DA859F5" w14:textId="77777777" w:rsidTr="00BB3817">
        <w:tc>
          <w:tcPr>
            <w:tcW w:w="1560" w:type="dxa"/>
            <w:tcMar>
              <w:left w:w="72" w:type="dxa"/>
              <w:right w:w="72" w:type="dxa"/>
            </w:tcMar>
          </w:tcPr>
          <w:p w14:paraId="5EEC030A" w14:textId="77777777" w:rsidR="00D24712" w:rsidRDefault="00D24712" w:rsidP="00D24712">
            <w:pPr>
              <w:bidi/>
              <w:ind w:right="-131"/>
              <w:jc w:val="left"/>
              <w:rPr>
                <w:lang w:eastAsia="en-CA"/>
              </w:rPr>
            </w:pPr>
            <w:r>
              <w:rPr>
                <w:rtl/>
                <w:lang w:eastAsia="en-CA"/>
              </w:rPr>
              <w:t>الأرجنتين</w:t>
            </w:r>
          </w:p>
          <w:p w14:paraId="19405702" w14:textId="1F3D7438" w:rsidR="00CF43BC" w:rsidRPr="009E5AF2" w:rsidRDefault="00D24712" w:rsidP="00D24712">
            <w:pPr>
              <w:bidi/>
              <w:ind w:right="-131"/>
              <w:jc w:val="left"/>
              <w:rPr>
                <w:lang w:eastAsia="en-CA"/>
              </w:rPr>
            </w:pPr>
            <w:r>
              <w:rPr>
                <w:rtl/>
                <w:lang w:eastAsia="en-CA"/>
              </w:rPr>
              <w:t>(المرحلة الثانية)</w:t>
            </w:r>
          </w:p>
        </w:tc>
        <w:tc>
          <w:tcPr>
            <w:tcW w:w="1276" w:type="dxa"/>
            <w:tcMar>
              <w:left w:w="72" w:type="dxa"/>
              <w:right w:w="72" w:type="dxa"/>
            </w:tcMar>
          </w:tcPr>
          <w:p w14:paraId="54569B5A" w14:textId="442D81BA" w:rsidR="00CF43BC" w:rsidRPr="009E5AF2" w:rsidRDefault="00D24712" w:rsidP="009E5AF2">
            <w:pPr>
              <w:bidi/>
              <w:jc w:val="left"/>
              <w:rPr>
                <w:lang w:eastAsia="en-CA"/>
              </w:rPr>
            </w:pPr>
            <w:r w:rsidRPr="00D24712">
              <w:rPr>
                <w:rtl/>
                <w:lang w:eastAsia="en-CA"/>
              </w:rPr>
              <w:t>اليونيدو</w:t>
            </w:r>
          </w:p>
        </w:tc>
        <w:tc>
          <w:tcPr>
            <w:tcW w:w="879" w:type="dxa"/>
            <w:tcMar>
              <w:left w:w="72" w:type="dxa"/>
              <w:right w:w="72" w:type="dxa"/>
            </w:tcMar>
          </w:tcPr>
          <w:p w14:paraId="1992AB4E" w14:textId="5591AB2D" w:rsidR="00CF43BC" w:rsidRPr="009E5AF2" w:rsidRDefault="00D24712" w:rsidP="009E5AF2">
            <w:pPr>
              <w:bidi/>
              <w:jc w:val="center"/>
              <w:rPr>
                <w:lang w:eastAsia="en-CA"/>
              </w:rPr>
            </w:pPr>
            <w:r>
              <w:rPr>
                <w:rFonts w:hint="cs"/>
                <w:rtl/>
                <w:lang w:eastAsia="en-CA"/>
              </w:rPr>
              <w:t>2021</w:t>
            </w:r>
          </w:p>
        </w:tc>
        <w:tc>
          <w:tcPr>
            <w:tcW w:w="1275" w:type="dxa"/>
            <w:tcMar>
              <w:left w:w="72" w:type="dxa"/>
              <w:right w:w="72" w:type="dxa"/>
            </w:tcMar>
          </w:tcPr>
          <w:p w14:paraId="2AC2A07C" w14:textId="304D29EB" w:rsidR="00D24712" w:rsidRPr="00D24712" w:rsidRDefault="00D24712" w:rsidP="00D24712">
            <w:pPr>
              <w:bidi/>
              <w:jc w:val="right"/>
              <w:rPr>
                <w:rtl/>
                <w:lang w:val="en-US" w:eastAsia="en-CA" w:bidi="ar-AE"/>
              </w:rPr>
            </w:pPr>
            <w:r>
              <w:rPr>
                <w:rFonts w:hint="cs"/>
                <w:rtl/>
                <w:lang w:val="en-US" w:eastAsia="en-CA" w:bidi="ar-AE"/>
              </w:rPr>
              <w:t>4,160,214</w:t>
            </w:r>
          </w:p>
        </w:tc>
        <w:tc>
          <w:tcPr>
            <w:tcW w:w="3220" w:type="dxa"/>
            <w:tcMar>
              <w:left w:w="72" w:type="dxa"/>
              <w:right w:w="72" w:type="dxa"/>
            </w:tcMar>
          </w:tcPr>
          <w:p w14:paraId="07938406" w14:textId="1F7223EB" w:rsidR="00D24712" w:rsidRPr="009E5AF2" w:rsidRDefault="00292FBC" w:rsidP="00D24712">
            <w:pPr>
              <w:bidi/>
              <w:jc w:val="left"/>
              <w:rPr>
                <w:lang w:eastAsia="en-CA"/>
              </w:rPr>
            </w:pPr>
            <w:r w:rsidRPr="00292FBC">
              <w:rPr>
                <w:rtl/>
                <w:lang w:eastAsia="en-CA"/>
              </w:rPr>
              <w:t>صعوبات داخلية أو خارجية/تفشي جائحة كوفيد -19/20 في المائة من عتبة الصرف</w:t>
            </w:r>
          </w:p>
        </w:tc>
        <w:tc>
          <w:tcPr>
            <w:tcW w:w="6095" w:type="dxa"/>
            <w:shd w:val="clear" w:color="auto" w:fill="auto"/>
            <w:tcMar>
              <w:left w:w="72" w:type="dxa"/>
              <w:right w:w="72" w:type="dxa"/>
            </w:tcMar>
          </w:tcPr>
          <w:p w14:paraId="413C9EE4" w14:textId="5E9F5680" w:rsidR="00292FBC" w:rsidRPr="009E5AF2" w:rsidRDefault="00A8766C" w:rsidP="00664A85">
            <w:pPr>
              <w:bidi/>
              <w:rPr>
                <w:rtl/>
                <w:lang w:bidi="ar-AE"/>
              </w:rPr>
            </w:pPr>
            <w:r w:rsidRPr="00A8766C">
              <w:rPr>
                <w:rtl/>
                <w:lang w:bidi="ar-AE"/>
              </w:rPr>
              <w:t xml:space="preserve">ملاحظة أن التأخيرات ناجمةٌ </w:t>
            </w:r>
            <w:r>
              <w:rPr>
                <w:rFonts w:hint="cs"/>
                <w:rtl/>
                <w:lang w:bidi="ar-AE"/>
              </w:rPr>
              <w:t xml:space="preserve">عن </w:t>
            </w:r>
            <w:r w:rsidR="00664A85" w:rsidRPr="00664A85">
              <w:rPr>
                <w:rtl/>
                <w:lang w:bidi="ar-AE"/>
              </w:rPr>
              <w:t>القيود التي فرضتها جائحة كوفيد -19</w:t>
            </w:r>
            <w:r w:rsidR="00664A85">
              <w:rPr>
                <w:rFonts w:hint="cs"/>
                <w:rtl/>
                <w:lang w:bidi="ar-AE"/>
              </w:rPr>
              <w:t>،</w:t>
            </w:r>
            <w:r w:rsidR="00664A85" w:rsidRPr="00664A85">
              <w:rPr>
                <w:rtl/>
                <w:lang w:bidi="ar-AE"/>
              </w:rPr>
              <w:t xml:space="preserve"> وأن معدل الصرف الإجمالي للشريحة الثانية (2019) من المرحلة الثانية من خطة إدارة إزالة المواد الهيدروكلوروفلوروكربونية كان أقل من عتبة الصرف البالغة 20 في المائة، وحث حكومة الأرجنتين على العمل مع اليونيدو بحيث يمكن تقديم الشريحة الثالثة (2021) من المرحلة الثانية إلى الاجتماع التسعين مشفوعةَ بخطة عمل منقحة لمراعاة إعادة تخصيص شريحةِ 2021 والشرائح اللاحقة، على أساس </w:t>
            </w:r>
            <w:r w:rsidR="00664A85">
              <w:rPr>
                <w:rFonts w:hint="cs"/>
                <w:rtl/>
                <w:lang w:bidi="ar-AE"/>
              </w:rPr>
              <w:t>تفهم</w:t>
            </w:r>
            <w:r w:rsidR="00664A85" w:rsidRPr="00664A85">
              <w:rPr>
                <w:rtl/>
                <w:lang w:bidi="ar-AE"/>
              </w:rPr>
              <w:t xml:space="preserve"> أن عتبة الصرف البالغة 20 في المائة لتمويل الشريحة السابقة قد تحققت.</w:t>
            </w:r>
          </w:p>
        </w:tc>
      </w:tr>
      <w:tr w:rsidR="00CF43BC" w:rsidRPr="009E5AF2" w14:paraId="3C9EA5FE" w14:textId="77777777" w:rsidTr="00BB3817">
        <w:tc>
          <w:tcPr>
            <w:tcW w:w="1560" w:type="dxa"/>
            <w:tcMar>
              <w:left w:w="72" w:type="dxa"/>
              <w:right w:w="72" w:type="dxa"/>
            </w:tcMar>
          </w:tcPr>
          <w:p w14:paraId="14FD2B20" w14:textId="77777777" w:rsidR="005842F8" w:rsidRDefault="005842F8" w:rsidP="005842F8">
            <w:pPr>
              <w:bidi/>
              <w:jc w:val="left"/>
              <w:rPr>
                <w:rtl/>
                <w:lang w:eastAsia="en-CA"/>
              </w:rPr>
            </w:pPr>
            <w:r>
              <w:rPr>
                <w:rFonts w:hint="cs"/>
                <w:rtl/>
                <w:lang w:eastAsia="en-CA"/>
              </w:rPr>
              <w:t>بنغلاديش</w:t>
            </w:r>
          </w:p>
          <w:p w14:paraId="684D7380" w14:textId="755CE61D" w:rsidR="005842F8" w:rsidRPr="009E5AF2" w:rsidRDefault="005842F8" w:rsidP="005842F8">
            <w:pPr>
              <w:bidi/>
              <w:jc w:val="left"/>
              <w:rPr>
                <w:lang w:eastAsia="en-CA"/>
              </w:rPr>
            </w:pPr>
            <w:r>
              <w:rPr>
                <w:rFonts w:hint="cs"/>
                <w:rtl/>
                <w:lang w:eastAsia="en-CA"/>
              </w:rPr>
              <w:t>(المرحلة الثانية)</w:t>
            </w:r>
          </w:p>
        </w:tc>
        <w:tc>
          <w:tcPr>
            <w:tcW w:w="1276" w:type="dxa"/>
            <w:tcMar>
              <w:left w:w="72" w:type="dxa"/>
              <w:right w:w="72" w:type="dxa"/>
            </w:tcMar>
          </w:tcPr>
          <w:p w14:paraId="7E54F1CD" w14:textId="7B9CC929" w:rsidR="00CF43BC" w:rsidRPr="009E5AF2" w:rsidRDefault="005842F8" w:rsidP="009E5AF2">
            <w:pPr>
              <w:bidi/>
              <w:jc w:val="left"/>
              <w:rPr>
                <w:lang w:eastAsia="en-CA"/>
              </w:rPr>
            </w:pPr>
            <w:r w:rsidRPr="005842F8">
              <w:rPr>
                <w:rtl/>
                <w:lang w:eastAsia="en-CA"/>
              </w:rPr>
              <w:t>اليوئنديبي</w:t>
            </w:r>
          </w:p>
        </w:tc>
        <w:tc>
          <w:tcPr>
            <w:tcW w:w="879" w:type="dxa"/>
            <w:tcMar>
              <w:left w:w="72" w:type="dxa"/>
              <w:right w:w="72" w:type="dxa"/>
            </w:tcMar>
          </w:tcPr>
          <w:p w14:paraId="1BCD52CA" w14:textId="42652D36" w:rsidR="00CF43BC" w:rsidRPr="009E5AF2" w:rsidRDefault="005842F8" w:rsidP="009E5AF2">
            <w:pPr>
              <w:bidi/>
              <w:jc w:val="center"/>
              <w:rPr>
                <w:lang w:eastAsia="en-CA"/>
              </w:rPr>
            </w:pPr>
            <w:r>
              <w:rPr>
                <w:rFonts w:hint="cs"/>
                <w:rtl/>
                <w:lang w:eastAsia="en-CA"/>
              </w:rPr>
              <w:t>2020</w:t>
            </w:r>
          </w:p>
        </w:tc>
        <w:tc>
          <w:tcPr>
            <w:tcW w:w="1275" w:type="dxa"/>
            <w:tcMar>
              <w:left w:w="72" w:type="dxa"/>
              <w:right w:w="72" w:type="dxa"/>
            </w:tcMar>
          </w:tcPr>
          <w:p w14:paraId="2EEDD90A" w14:textId="6EC07DFA" w:rsidR="005842F8" w:rsidRPr="005842F8" w:rsidRDefault="005842F8" w:rsidP="005842F8">
            <w:pPr>
              <w:bidi/>
              <w:jc w:val="right"/>
              <w:rPr>
                <w:rtl/>
                <w:lang w:val="en-US" w:eastAsia="en-CA" w:bidi="ar-AE"/>
              </w:rPr>
            </w:pPr>
            <w:r>
              <w:rPr>
                <w:rFonts w:hint="cs"/>
                <w:rtl/>
                <w:lang w:val="en-US" w:eastAsia="en-CA" w:bidi="ar-AE"/>
              </w:rPr>
              <w:t>2,292,373</w:t>
            </w:r>
          </w:p>
        </w:tc>
        <w:tc>
          <w:tcPr>
            <w:tcW w:w="3220" w:type="dxa"/>
            <w:tcMar>
              <w:left w:w="72" w:type="dxa"/>
              <w:right w:w="72" w:type="dxa"/>
            </w:tcMar>
          </w:tcPr>
          <w:p w14:paraId="75AC1D4F" w14:textId="0E4D10CF" w:rsidR="005842F8" w:rsidRPr="009E5AF2" w:rsidRDefault="000928A9" w:rsidP="005842F8">
            <w:pPr>
              <w:bidi/>
              <w:jc w:val="left"/>
              <w:rPr>
                <w:lang w:eastAsia="en-CA"/>
              </w:rPr>
            </w:pPr>
            <w:r w:rsidRPr="000928A9">
              <w:rPr>
                <w:rtl/>
                <w:lang w:eastAsia="en-CA"/>
              </w:rPr>
              <w:t>قرارات الحكومة/ المصادقات/ التغييرات في وحدة الأوزون الوطنية/ 20 في المائة من عتبة الصرف</w:t>
            </w:r>
          </w:p>
        </w:tc>
        <w:tc>
          <w:tcPr>
            <w:tcW w:w="6095" w:type="dxa"/>
            <w:tcMar>
              <w:left w:w="72" w:type="dxa"/>
              <w:right w:w="72" w:type="dxa"/>
            </w:tcMar>
          </w:tcPr>
          <w:p w14:paraId="66ED673E" w14:textId="000C3A63" w:rsidR="000928A9" w:rsidRPr="009E5AF2" w:rsidRDefault="000928A9" w:rsidP="000928A9">
            <w:pPr>
              <w:bidi/>
            </w:pPr>
            <w:r>
              <w:rPr>
                <w:rFonts w:hint="cs"/>
                <w:rtl/>
              </w:rPr>
              <w:t>ملاحظة أ</w:t>
            </w:r>
            <w:r w:rsidRPr="000928A9">
              <w:rPr>
                <w:rtl/>
              </w:rPr>
              <w:t xml:space="preserve">ن معدل الصرف الإجمالي للشريحة الأولى (2018) من المرحلة الثانية من خطة إدارة إزالة المواد الهيدروكلوروفلوروكربونية كان أقل من عتبة الصرف البالغة 20 في المائة، وحث حكومة بنغلاديش على العمل مع اليوئنديبي بحيث يمكن تقديم الشريحة الثانية (2020) من المرحلة الثانية إلى الاجتماع التسعين مشفوعة بخطة عمل منقحة لمراعاة إعادة تخصيص شريحة 2020 والشرائح اللاحقة، على أساس </w:t>
            </w:r>
            <w:r>
              <w:rPr>
                <w:rFonts w:hint="cs"/>
                <w:rtl/>
              </w:rPr>
              <w:t>تفهم</w:t>
            </w:r>
            <w:r w:rsidRPr="000928A9">
              <w:rPr>
                <w:rtl/>
              </w:rPr>
              <w:t xml:space="preserve"> أن عتبة الصرف البالغة 20 في المائة لتمويل الشريحة السابقة قد تحققت.</w:t>
            </w:r>
          </w:p>
        </w:tc>
      </w:tr>
      <w:tr w:rsidR="00884536" w:rsidRPr="009E5AF2" w14:paraId="2EA57CDC" w14:textId="77777777" w:rsidTr="00BB3817">
        <w:tc>
          <w:tcPr>
            <w:tcW w:w="1560" w:type="dxa"/>
            <w:tcMar>
              <w:left w:w="72" w:type="dxa"/>
              <w:right w:w="72" w:type="dxa"/>
            </w:tcMar>
          </w:tcPr>
          <w:p w14:paraId="52F2D129" w14:textId="77777777" w:rsidR="00D94665" w:rsidRDefault="00D94665" w:rsidP="009E5AF2">
            <w:pPr>
              <w:widowControl w:val="0"/>
              <w:bidi/>
              <w:jc w:val="left"/>
              <w:rPr>
                <w:lang w:eastAsia="en-CA"/>
              </w:rPr>
            </w:pPr>
            <w:r w:rsidRPr="00D94665">
              <w:rPr>
                <w:rtl/>
                <w:lang w:eastAsia="en-CA"/>
              </w:rPr>
              <w:t xml:space="preserve">بربادوس </w:t>
            </w:r>
          </w:p>
          <w:p w14:paraId="5C9EB0DF" w14:textId="43A14CCA" w:rsidR="00884536" w:rsidRPr="009E5AF2" w:rsidRDefault="00D94665" w:rsidP="00D94665">
            <w:pPr>
              <w:widowControl w:val="0"/>
              <w:bidi/>
              <w:jc w:val="left"/>
              <w:rPr>
                <w:lang w:eastAsia="en-CA"/>
              </w:rPr>
            </w:pPr>
            <w:r>
              <w:rPr>
                <w:rFonts w:hint="cs"/>
                <w:rtl/>
                <w:lang w:val="en-US" w:eastAsia="en-CA" w:bidi="ar-AE"/>
              </w:rPr>
              <w:t>(المرحلة الأولى)</w:t>
            </w:r>
          </w:p>
        </w:tc>
        <w:tc>
          <w:tcPr>
            <w:tcW w:w="1276" w:type="dxa"/>
            <w:tcMar>
              <w:left w:w="72" w:type="dxa"/>
              <w:right w:w="72" w:type="dxa"/>
            </w:tcMar>
          </w:tcPr>
          <w:p w14:paraId="4EF44DA7" w14:textId="04FB6307" w:rsidR="00884536" w:rsidRPr="009E5AF2" w:rsidRDefault="00D94665" w:rsidP="009E5AF2">
            <w:pPr>
              <w:keepNext/>
              <w:bidi/>
              <w:jc w:val="left"/>
              <w:rPr>
                <w:lang w:eastAsia="en-CA"/>
              </w:rPr>
            </w:pPr>
            <w:r>
              <w:rPr>
                <w:rFonts w:hint="cs"/>
                <w:rtl/>
                <w:lang w:eastAsia="en-CA"/>
              </w:rPr>
              <w:t>اليونيب</w:t>
            </w:r>
          </w:p>
        </w:tc>
        <w:tc>
          <w:tcPr>
            <w:tcW w:w="879" w:type="dxa"/>
            <w:tcMar>
              <w:left w:w="72" w:type="dxa"/>
              <w:right w:w="72" w:type="dxa"/>
            </w:tcMar>
          </w:tcPr>
          <w:p w14:paraId="0D53D610" w14:textId="66055FCC" w:rsidR="00884536" w:rsidRPr="009E5AF2" w:rsidRDefault="00D94665" w:rsidP="009E5AF2">
            <w:pPr>
              <w:bidi/>
              <w:jc w:val="center"/>
              <w:rPr>
                <w:lang w:eastAsia="en-CA" w:bidi="ar-AE"/>
              </w:rPr>
            </w:pPr>
            <w:r>
              <w:rPr>
                <w:rFonts w:hint="cs"/>
                <w:rtl/>
                <w:lang w:eastAsia="en-CA" w:bidi="ar-AE"/>
              </w:rPr>
              <w:t>2020</w:t>
            </w:r>
          </w:p>
        </w:tc>
        <w:tc>
          <w:tcPr>
            <w:tcW w:w="1275" w:type="dxa"/>
            <w:tcMar>
              <w:left w:w="72" w:type="dxa"/>
              <w:right w:w="72" w:type="dxa"/>
            </w:tcMar>
          </w:tcPr>
          <w:p w14:paraId="6447E7D8" w14:textId="2DA95D08" w:rsidR="00D94665" w:rsidRPr="00D94665" w:rsidRDefault="00D94665" w:rsidP="00D94665">
            <w:pPr>
              <w:bidi/>
              <w:jc w:val="right"/>
              <w:rPr>
                <w:rtl/>
                <w:lang w:val="en-US" w:eastAsia="en-CA" w:bidi="ar-AE"/>
              </w:rPr>
            </w:pPr>
            <w:r>
              <w:rPr>
                <w:rFonts w:hint="cs"/>
                <w:rtl/>
                <w:lang w:val="en-US" w:eastAsia="en-CA" w:bidi="ar-AE"/>
              </w:rPr>
              <w:t>31,640</w:t>
            </w:r>
          </w:p>
        </w:tc>
        <w:tc>
          <w:tcPr>
            <w:tcW w:w="3220" w:type="dxa"/>
            <w:tcMar>
              <w:left w:w="72" w:type="dxa"/>
              <w:right w:w="72" w:type="dxa"/>
            </w:tcMar>
          </w:tcPr>
          <w:p w14:paraId="359646F9" w14:textId="5534873E" w:rsidR="00494620" w:rsidRPr="009E5AF2" w:rsidRDefault="008D028A" w:rsidP="00494620">
            <w:pPr>
              <w:keepNext/>
              <w:bidi/>
              <w:jc w:val="left"/>
              <w:rPr>
                <w:lang w:eastAsia="en-CA"/>
              </w:rPr>
            </w:pPr>
            <w:r w:rsidRPr="008D028A">
              <w:rPr>
                <w:rtl/>
                <w:lang w:eastAsia="en-CA"/>
              </w:rPr>
              <w:t>تفشي جائحة كوفيد-19/ عدم وجود تقرير تحقق/ قرارات حكومية/ مصادقات/ تغييرات في وحدة الأوزون الوطنية/ 20 في المائة من عتبة الصرف</w:t>
            </w:r>
          </w:p>
        </w:tc>
        <w:tc>
          <w:tcPr>
            <w:tcW w:w="6095" w:type="dxa"/>
            <w:tcMar>
              <w:left w:w="72" w:type="dxa"/>
              <w:right w:w="72" w:type="dxa"/>
            </w:tcMar>
          </w:tcPr>
          <w:p w14:paraId="612DA1CF" w14:textId="6D91EBB1" w:rsidR="008D028A" w:rsidRPr="009E5AF2" w:rsidRDefault="008D028A" w:rsidP="008D028A">
            <w:pPr>
              <w:keepNext/>
              <w:bidi/>
              <w:rPr>
                <w:rtl/>
                <w:lang w:bidi="ar-AE"/>
              </w:rPr>
            </w:pPr>
            <w:r>
              <w:rPr>
                <w:rFonts w:hint="cs"/>
                <w:rtl/>
                <w:lang w:bidi="ar-AE"/>
              </w:rPr>
              <w:t xml:space="preserve">ملاحظة </w:t>
            </w:r>
            <w:r w:rsidRPr="008D028A">
              <w:rPr>
                <w:rtl/>
                <w:lang w:bidi="ar-AE"/>
              </w:rPr>
              <w:t>أن التحقق الإلزامي من أهداف استهلاك المواد الهيدروكلوروفلوروكربونية لم يكتمل وأن معدل الصرف الإجمالي للشريحة الثالثة (2018) من المرحلة الأولى من خطة إدارة إزالة المواد الهيدروكلوروفلوروكربونية كان أقل من عتبة الصرف البالغة 20 في المائة، وحث حكومة بربادوس</w:t>
            </w:r>
            <w:r>
              <w:rPr>
                <w:rFonts w:hint="cs"/>
                <w:rtl/>
                <w:lang w:bidi="ar-AE"/>
              </w:rPr>
              <w:t xml:space="preserve"> </w:t>
            </w:r>
            <w:r w:rsidRPr="008D028A">
              <w:rPr>
                <w:rtl/>
                <w:lang w:bidi="ar-AE"/>
              </w:rPr>
              <w:t>على العمل مع اليونيب لإكمال عملية التحقق بحيث يمكن تقديم الشريحة الرابعة (2020) من المرحلة الأولى من خطة إدارة إزالة المواد الهيدروكلوروفلوروكربونية إلى الاجتماع التسعين مشفوعةً بخطة عمل منقحة لمراعاة إعادة تخصيص شريحة عام 2020 على أساس</w:t>
            </w:r>
            <w:r>
              <w:rPr>
                <w:rFonts w:hint="cs"/>
                <w:rtl/>
                <w:lang w:bidi="ar-AE"/>
              </w:rPr>
              <w:t xml:space="preserve"> تفهم</w:t>
            </w:r>
            <w:r w:rsidRPr="008D028A">
              <w:rPr>
                <w:rtl/>
                <w:lang w:bidi="ar-AE"/>
              </w:rPr>
              <w:t xml:space="preserve"> أن عتبة الصرف البالغة 20 في المائة لتمويل الشريحة السابقة قد تحققت.</w:t>
            </w:r>
          </w:p>
        </w:tc>
      </w:tr>
      <w:tr w:rsidR="00CF43BC" w:rsidRPr="009E5AF2" w14:paraId="40B9AC9F" w14:textId="77777777" w:rsidTr="00BB3817">
        <w:tc>
          <w:tcPr>
            <w:tcW w:w="1560" w:type="dxa"/>
            <w:tcMar>
              <w:left w:w="72" w:type="dxa"/>
              <w:right w:w="72" w:type="dxa"/>
            </w:tcMar>
          </w:tcPr>
          <w:p w14:paraId="685DDF46" w14:textId="77777777" w:rsidR="002A4161" w:rsidRDefault="00AF0820" w:rsidP="009E5AF2">
            <w:pPr>
              <w:widowControl w:val="0"/>
              <w:bidi/>
              <w:jc w:val="left"/>
              <w:rPr>
                <w:rtl/>
                <w:lang w:eastAsia="en-CA"/>
              </w:rPr>
            </w:pPr>
            <w:r w:rsidRPr="00AF0820">
              <w:rPr>
                <w:rtl/>
                <w:lang w:eastAsia="en-CA"/>
              </w:rPr>
              <w:t>بوروندي</w:t>
            </w:r>
          </w:p>
          <w:p w14:paraId="1DB3C4AA" w14:textId="744B704B" w:rsidR="00CF43BC" w:rsidRPr="009E5AF2" w:rsidRDefault="00AF0820" w:rsidP="002A4161">
            <w:pPr>
              <w:widowControl w:val="0"/>
              <w:bidi/>
              <w:jc w:val="left"/>
              <w:rPr>
                <w:lang w:eastAsia="en-CA" w:bidi="ar-AE"/>
              </w:rPr>
            </w:pPr>
            <w:r>
              <w:rPr>
                <w:rFonts w:hint="cs"/>
                <w:rtl/>
                <w:lang w:eastAsia="en-CA"/>
              </w:rPr>
              <w:t>(المرحلة الأولى)</w:t>
            </w:r>
          </w:p>
        </w:tc>
        <w:tc>
          <w:tcPr>
            <w:tcW w:w="1276" w:type="dxa"/>
            <w:tcMar>
              <w:left w:w="72" w:type="dxa"/>
              <w:right w:w="72" w:type="dxa"/>
            </w:tcMar>
          </w:tcPr>
          <w:p w14:paraId="148C5ED7" w14:textId="4CB9EFEC" w:rsidR="00CF43BC" w:rsidRPr="009E5AF2" w:rsidRDefault="00AF0820" w:rsidP="009E5AF2">
            <w:pPr>
              <w:keepNext/>
              <w:bidi/>
              <w:jc w:val="left"/>
              <w:rPr>
                <w:lang w:eastAsia="en-CA"/>
              </w:rPr>
            </w:pPr>
            <w:r w:rsidRPr="00AF0820">
              <w:rPr>
                <w:rtl/>
                <w:lang w:eastAsia="en-CA"/>
              </w:rPr>
              <w:t>اليونيب</w:t>
            </w:r>
          </w:p>
        </w:tc>
        <w:tc>
          <w:tcPr>
            <w:tcW w:w="879" w:type="dxa"/>
            <w:tcMar>
              <w:left w:w="72" w:type="dxa"/>
              <w:right w:w="72" w:type="dxa"/>
            </w:tcMar>
          </w:tcPr>
          <w:p w14:paraId="681F109B" w14:textId="36F75F4D" w:rsidR="00CF43BC" w:rsidRPr="009E5AF2" w:rsidRDefault="00AF0820" w:rsidP="009E5AF2">
            <w:pPr>
              <w:keepNext/>
              <w:bidi/>
              <w:jc w:val="center"/>
              <w:rPr>
                <w:lang w:eastAsia="en-CA"/>
              </w:rPr>
            </w:pPr>
            <w:r>
              <w:rPr>
                <w:rFonts w:hint="cs"/>
                <w:rtl/>
                <w:lang w:eastAsia="en-CA"/>
              </w:rPr>
              <w:t>2020</w:t>
            </w:r>
          </w:p>
        </w:tc>
        <w:tc>
          <w:tcPr>
            <w:tcW w:w="1275" w:type="dxa"/>
            <w:tcMar>
              <w:left w:w="72" w:type="dxa"/>
              <w:right w:w="72" w:type="dxa"/>
            </w:tcMar>
          </w:tcPr>
          <w:p w14:paraId="0ACCF47C" w14:textId="6FF05028" w:rsidR="00AF0820" w:rsidRPr="00AF0820" w:rsidRDefault="00AF0820" w:rsidP="00AF0820">
            <w:pPr>
              <w:keepNext/>
              <w:bidi/>
              <w:jc w:val="right"/>
              <w:rPr>
                <w:rtl/>
                <w:lang w:val="en-US" w:eastAsia="en-CA" w:bidi="ar-AE"/>
              </w:rPr>
            </w:pPr>
            <w:r>
              <w:rPr>
                <w:rFonts w:hint="cs"/>
                <w:rtl/>
                <w:lang w:val="en-US" w:eastAsia="en-CA" w:bidi="ar-AE"/>
              </w:rPr>
              <w:t>37,516</w:t>
            </w:r>
          </w:p>
        </w:tc>
        <w:tc>
          <w:tcPr>
            <w:tcW w:w="3220" w:type="dxa"/>
            <w:tcMar>
              <w:left w:w="72" w:type="dxa"/>
              <w:right w:w="72" w:type="dxa"/>
            </w:tcMar>
          </w:tcPr>
          <w:p w14:paraId="73CBFB48" w14:textId="5DBDF8A4" w:rsidR="00AF0820" w:rsidRPr="009E5AF2" w:rsidRDefault="008F0B28" w:rsidP="00AF0820">
            <w:pPr>
              <w:keepNext/>
              <w:bidi/>
              <w:jc w:val="left"/>
              <w:rPr>
                <w:rtl/>
                <w:lang w:eastAsia="en-CA" w:bidi="ar-AE"/>
              </w:rPr>
            </w:pPr>
            <w:r w:rsidRPr="008F0B28">
              <w:rPr>
                <w:rtl/>
                <w:lang w:eastAsia="en-CA" w:bidi="ar-AE"/>
              </w:rPr>
              <w:t>تفشي جائحة كوفيد-19/ عدم وجود تقرير تحقق/ قرارات حكومية/ مصادقات/ تغييرات في وحدة الأوزون الوطنية</w:t>
            </w:r>
          </w:p>
        </w:tc>
        <w:tc>
          <w:tcPr>
            <w:tcW w:w="6095" w:type="dxa"/>
            <w:tcMar>
              <w:left w:w="72" w:type="dxa"/>
              <w:right w:w="72" w:type="dxa"/>
            </w:tcMar>
          </w:tcPr>
          <w:p w14:paraId="7373E8DF" w14:textId="0A686FB5" w:rsidR="008F0B28" w:rsidRPr="009E5AF2" w:rsidRDefault="00A8766C" w:rsidP="002A4161">
            <w:pPr>
              <w:keepNext/>
              <w:bidi/>
              <w:rPr>
                <w:rtl/>
                <w:lang w:bidi="ar-AE"/>
              </w:rPr>
            </w:pPr>
            <w:r w:rsidRPr="00A8766C">
              <w:rPr>
                <w:rtl/>
                <w:lang w:bidi="ar-AE"/>
              </w:rPr>
              <w:t xml:space="preserve">ملاحظة أن التأخيرات ناجمةٌ </w:t>
            </w:r>
            <w:r w:rsidR="002A4161" w:rsidRPr="002A4161">
              <w:rPr>
                <w:rtl/>
                <w:lang w:bidi="ar-AE"/>
              </w:rPr>
              <w:t>عن القيود التي فرضتها جائحة كوفيد-19</w:t>
            </w:r>
            <w:r w:rsidR="002A4161">
              <w:rPr>
                <w:rFonts w:hint="cs"/>
                <w:rtl/>
                <w:lang w:bidi="ar-AE"/>
              </w:rPr>
              <w:t>،</w:t>
            </w:r>
            <w:r w:rsidR="002A4161" w:rsidRPr="002A4161">
              <w:rPr>
                <w:rtl/>
                <w:lang w:bidi="ar-AE"/>
              </w:rPr>
              <w:t xml:space="preserve"> وأن التحقق الإلزامي من أهداف استهلاك المواد الهيدروكلوروفلوروكربونية لم يكتمل، وحث حكومة بوروندي على العمل مع اليونيب لإكمال عملية التحقق بحيث يمكن تقديم الشريحة الرابعة </w:t>
            </w:r>
            <w:r w:rsidR="002A4161" w:rsidRPr="002A4161">
              <w:rPr>
                <w:rtl/>
                <w:lang w:bidi="ar-AE"/>
              </w:rPr>
              <w:lastRenderedPageBreak/>
              <w:t>(2020) من المرحلة الأولى من خطة إدارة إزالة المواد الهيدروكلوروفلوروكربونية إلى الاجتماع التسعين مشفوعةً بخطة عمل منقحة لمراعاة إعادة تخصيص شريحة عام 2020</w:t>
            </w:r>
          </w:p>
        </w:tc>
      </w:tr>
      <w:tr w:rsidR="00CF43BC" w:rsidRPr="009E5AF2" w14:paraId="344A90BB" w14:textId="77777777" w:rsidTr="00BB3817">
        <w:tc>
          <w:tcPr>
            <w:tcW w:w="1560" w:type="dxa"/>
            <w:tcMar>
              <w:left w:w="72" w:type="dxa"/>
              <w:right w:w="72" w:type="dxa"/>
            </w:tcMar>
          </w:tcPr>
          <w:p w14:paraId="61FBEFFC" w14:textId="77777777" w:rsidR="00004B97" w:rsidRDefault="00004B97" w:rsidP="00004B97">
            <w:pPr>
              <w:bidi/>
              <w:jc w:val="left"/>
              <w:rPr>
                <w:rtl/>
                <w:lang w:eastAsia="en-CA"/>
              </w:rPr>
            </w:pPr>
            <w:r>
              <w:rPr>
                <w:rFonts w:hint="cs"/>
                <w:rtl/>
                <w:lang w:eastAsia="en-CA"/>
              </w:rPr>
              <w:lastRenderedPageBreak/>
              <w:t>الكونغو</w:t>
            </w:r>
          </w:p>
          <w:p w14:paraId="21C9578D" w14:textId="7032FBBA" w:rsidR="00004B97" w:rsidRPr="009E5AF2" w:rsidRDefault="00004B97" w:rsidP="00004B97">
            <w:pPr>
              <w:bidi/>
              <w:jc w:val="left"/>
              <w:rPr>
                <w:lang w:eastAsia="en-CA"/>
              </w:rPr>
            </w:pPr>
            <w:r>
              <w:rPr>
                <w:rFonts w:hint="cs"/>
                <w:rtl/>
                <w:lang w:eastAsia="en-CA"/>
              </w:rPr>
              <w:t>(المرحلة الأولى)</w:t>
            </w:r>
          </w:p>
        </w:tc>
        <w:tc>
          <w:tcPr>
            <w:tcW w:w="1276" w:type="dxa"/>
            <w:tcMar>
              <w:left w:w="72" w:type="dxa"/>
              <w:right w:w="72" w:type="dxa"/>
            </w:tcMar>
          </w:tcPr>
          <w:p w14:paraId="44308BB9" w14:textId="15C6B100" w:rsidR="00CF43BC" w:rsidRPr="009E5AF2" w:rsidRDefault="00004B97" w:rsidP="009E5AF2">
            <w:pPr>
              <w:bidi/>
              <w:jc w:val="left"/>
              <w:rPr>
                <w:lang w:eastAsia="en-CA"/>
              </w:rPr>
            </w:pPr>
            <w:r w:rsidRPr="00004B97">
              <w:rPr>
                <w:rtl/>
                <w:lang w:eastAsia="en-CA"/>
              </w:rPr>
              <w:t>اليونيب</w:t>
            </w:r>
          </w:p>
        </w:tc>
        <w:tc>
          <w:tcPr>
            <w:tcW w:w="879" w:type="dxa"/>
            <w:tcMar>
              <w:left w:w="72" w:type="dxa"/>
              <w:right w:w="72" w:type="dxa"/>
            </w:tcMar>
          </w:tcPr>
          <w:p w14:paraId="156D0756" w14:textId="082432D8" w:rsidR="00CF43BC" w:rsidRPr="009E5AF2" w:rsidRDefault="00004B97" w:rsidP="009E5AF2">
            <w:pPr>
              <w:bidi/>
              <w:jc w:val="center"/>
              <w:rPr>
                <w:lang w:eastAsia="en-CA"/>
              </w:rPr>
            </w:pPr>
            <w:r>
              <w:rPr>
                <w:rFonts w:hint="cs"/>
                <w:rtl/>
                <w:lang w:eastAsia="en-CA"/>
              </w:rPr>
              <w:t>2020</w:t>
            </w:r>
          </w:p>
        </w:tc>
        <w:tc>
          <w:tcPr>
            <w:tcW w:w="1275" w:type="dxa"/>
            <w:tcMar>
              <w:left w:w="72" w:type="dxa"/>
              <w:right w:w="72" w:type="dxa"/>
            </w:tcMar>
          </w:tcPr>
          <w:p w14:paraId="12BF1A87" w14:textId="21DE56B0" w:rsidR="00004B97" w:rsidRPr="00004B97" w:rsidRDefault="00004B97" w:rsidP="00004B97">
            <w:pPr>
              <w:bidi/>
              <w:jc w:val="right"/>
              <w:rPr>
                <w:rtl/>
                <w:lang w:val="en-US" w:eastAsia="en-CA" w:bidi="ar-AE"/>
              </w:rPr>
            </w:pPr>
            <w:r>
              <w:rPr>
                <w:rFonts w:hint="cs"/>
                <w:rtl/>
                <w:lang w:val="en-US" w:eastAsia="en-CA" w:bidi="ar-AE"/>
              </w:rPr>
              <w:t>39,550</w:t>
            </w:r>
          </w:p>
        </w:tc>
        <w:tc>
          <w:tcPr>
            <w:tcW w:w="3220" w:type="dxa"/>
            <w:tcMar>
              <w:left w:w="72" w:type="dxa"/>
              <w:right w:w="72" w:type="dxa"/>
            </w:tcMar>
          </w:tcPr>
          <w:p w14:paraId="48696DEE" w14:textId="693B8E19" w:rsidR="00004B97" w:rsidRPr="009E5AF2" w:rsidRDefault="00B12DBB" w:rsidP="00004B97">
            <w:pPr>
              <w:bidi/>
              <w:jc w:val="left"/>
              <w:rPr>
                <w:lang w:eastAsia="en-CA"/>
              </w:rPr>
            </w:pPr>
            <w:r w:rsidRPr="00B12DBB">
              <w:rPr>
                <w:rtl/>
                <w:lang w:eastAsia="en-CA"/>
              </w:rPr>
              <w:t>تقديم التقارير المرحلية والمالية</w:t>
            </w:r>
          </w:p>
        </w:tc>
        <w:tc>
          <w:tcPr>
            <w:tcW w:w="6095" w:type="dxa"/>
            <w:tcMar>
              <w:left w:w="72" w:type="dxa"/>
              <w:right w:w="72" w:type="dxa"/>
            </w:tcMar>
          </w:tcPr>
          <w:p w14:paraId="0FAB28D8" w14:textId="167CC8C2" w:rsidR="0007487E" w:rsidRPr="009E5AF2" w:rsidRDefault="006A2EC8" w:rsidP="006A2EC8">
            <w:pPr>
              <w:bidi/>
              <w:rPr>
                <w:rtl/>
                <w:lang w:bidi="ar-AE"/>
              </w:rPr>
            </w:pPr>
            <w:r>
              <w:rPr>
                <w:rFonts w:hint="cs"/>
                <w:rtl/>
                <w:lang w:bidi="ar-AE"/>
              </w:rPr>
              <w:t xml:space="preserve">ملاحظة </w:t>
            </w:r>
            <w:r w:rsidRPr="006A2EC8">
              <w:rPr>
                <w:rtl/>
                <w:lang w:bidi="ar-AE"/>
              </w:rPr>
              <w:t>أن التأخيرات ناجمةٌ عن عدم تقديم التقارير المرحلية والمالية، وحث حكومة الكونغو على العمل مع اليونيب لتقديم التقارير المرحلية والمالية المطلوبة بحيث يمكن تقديم الشريحة الخامسة (2020) من المرحلة الأولى من خطة إدارة إزالة المواد الهيدروكلوروفلوروكربونية إلى الاجتماع التسعين مشفوعةً بخطة عمل منقحة لمراعاة إعادة تخصيص شريحة 2020.</w:t>
            </w:r>
          </w:p>
        </w:tc>
      </w:tr>
      <w:tr w:rsidR="00F910F5" w:rsidRPr="009E5AF2" w14:paraId="3C3DF15D" w14:textId="77777777" w:rsidTr="00BB3817">
        <w:tc>
          <w:tcPr>
            <w:tcW w:w="1560" w:type="dxa"/>
            <w:tcMar>
              <w:left w:w="72" w:type="dxa"/>
              <w:right w:w="72" w:type="dxa"/>
            </w:tcMar>
          </w:tcPr>
          <w:p w14:paraId="2366A7F6" w14:textId="072D4B3A" w:rsidR="00DD3706" w:rsidRDefault="00DD3706" w:rsidP="009E5AF2">
            <w:pPr>
              <w:bidi/>
              <w:jc w:val="left"/>
              <w:rPr>
                <w:rtl/>
                <w:lang w:eastAsia="en-CA"/>
              </w:rPr>
            </w:pPr>
            <w:r w:rsidRPr="00DD3706">
              <w:rPr>
                <w:rtl/>
                <w:lang w:eastAsia="en-CA"/>
              </w:rPr>
              <w:t>كوستاريكا</w:t>
            </w:r>
          </w:p>
          <w:p w14:paraId="11C83555" w14:textId="470B2CEF" w:rsidR="00DD3706" w:rsidRPr="009E5AF2" w:rsidRDefault="00DD3706" w:rsidP="00DD3706">
            <w:pPr>
              <w:bidi/>
              <w:jc w:val="left"/>
              <w:rPr>
                <w:lang w:eastAsia="en-CA"/>
              </w:rPr>
            </w:pPr>
            <w:r>
              <w:rPr>
                <w:rFonts w:hint="cs"/>
                <w:rtl/>
                <w:lang w:eastAsia="en-CA"/>
              </w:rPr>
              <w:t>(المرحلة الثانية)</w:t>
            </w:r>
          </w:p>
        </w:tc>
        <w:tc>
          <w:tcPr>
            <w:tcW w:w="1276" w:type="dxa"/>
            <w:tcMar>
              <w:left w:w="72" w:type="dxa"/>
              <w:right w:w="72" w:type="dxa"/>
            </w:tcMar>
          </w:tcPr>
          <w:p w14:paraId="48B2C463" w14:textId="6FF66F51" w:rsidR="00F910F5" w:rsidRPr="009E5AF2" w:rsidRDefault="00DD3706" w:rsidP="009E5AF2">
            <w:pPr>
              <w:bidi/>
              <w:jc w:val="left"/>
              <w:rPr>
                <w:lang w:eastAsia="en-CA"/>
              </w:rPr>
            </w:pPr>
            <w:r w:rsidRPr="00DD3706">
              <w:rPr>
                <w:rtl/>
                <w:lang w:eastAsia="en-CA"/>
              </w:rPr>
              <w:t>اليوئنديبي</w:t>
            </w:r>
          </w:p>
        </w:tc>
        <w:tc>
          <w:tcPr>
            <w:tcW w:w="879" w:type="dxa"/>
            <w:tcMar>
              <w:left w:w="72" w:type="dxa"/>
              <w:right w:w="72" w:type="dxa"/>
            </w:tcMar>
          </w:tcPr>
          <w:p w14:paraId="0D24E0E3" w14:textId="77F2A53E" w:rsidR="00F910F5" w:rsidRPr="009E5AF2" w:rsidRDefault="00004B97" w:rsidP="009E5AF2">
            <w:pPr>
              <w:bidi/>
              <w:jc w:val="center"/>
              <w:rPr>
                <w:lang w:eastAsia="en-CA"/>
              </w:rPr>
            </w:pPr>
            <w:r>
              <w:rPr>
                <w:rFonts w:hint="cs"/>
                <w:rtl/>
                <w:lang w:eastAsia="en-CA"/>
              </w:rPr>
              <w:t>2021</w:t>
            </w:r>
          </w:p>
        </w:tc>
        <w:tc>
          <w:tcPr>
            <w:tcW w:w="1275" w:type="dxa"/>
            <w:tcMar>
              <w:left w:w="72" w:type="dxa"/>
              <w:right w:w="72" w:type="dxa"/>
            </w:tcMar>
          </w:tcPr>
          <w:p w14:paraId="5AD40C8D" w14:textId="5AADB8A4" w:rsidR="00DD3706" w:rsidRPr="00DD3706" w:rsidRDefault="00DD3706" w:rsidP="00DD3706">
            <w:pPr>
              <w:bidi/>
              <w:jc w:val="right"/>
              <w:rPr>
                <w:rtl/>
                <w:lang w:val="en-US" w:eastAsia="en-CA" w:bidi="ar-AE"/>
              </w:rPr>
            </w:pPr>
            <w:r>
              <w:rPr>
                <w:rFonts w:hint="cs"/>
                <w:rtl/>
                <w:lang w:val="en-US" w:eastAsia="en-CA" w:bidi="ar-AE"/>
              </w:rPr>
              <w:t>412,753</w:t>
            </w:r>
          </w:p>
        </w:tc>
        <w:tc>
          <w:tcPr>
            <w:tcW w:w="3220" w:type="dxa"/>
            <w:tcMar>
              <w:left w:w="72" w:type="dxa"/>
              <w:right w:w="72" w:type="dxa"/>
            </w:tcMar>
          </w:tcPr>
          <w:p w14:paraId="540866B7" w14:textId="4E992CEC" w:rsidR="00A33289" w:rsidRPr="009E5AF2" w:rsidRDefault="00A33289" w:rsidP="00A33289">
            <w:pPr>
              <w:bidi/>
              <w:jc w:val="left"/>
              <w:rPr>
                <w:rtl/>
                <w:lang w:eastAsia="en-CA" w:bidi="ar-AE"/>
              </w:rPr>
            </w:pPr>
            <w:r w:rsidRPr="00A33289">
              <w:rPr>
                <w:rtl/>
                <w:lang w:eastAsia="en-CA" w:bidi="ar-AE"/>
              </w:rPr>
              <w:t>صعوبات داخلية أو خارجية/ 20 في المائة من عتبة الصرف</w:t>
            </w:r>
          </w:p>
        </w:tc>
        <w:tc>
          <w:tcPr>
            <w:tcW w:w="6095" w:type="dxa"/>
            <w:shd w:val="clear" w:color="auto" w:fill="auto"/>
            <w:tcMar>
              <w:left w:w="72" w:type="dxa"/>
              <w:right w:w="72" w:type="dxa"/>
            </w:tcMar>
          </w:tcPr>
          <w:p w14:paraId="61595C7C" w14:textId="27BD0A35" w:rsidR="00A33289" w:rsidRPr="009E5AF2" w:rsidRDefault="00A33289" w:rsidP="00174FA3">
            <w:pPr>
              <w:bidi/>
            </w:pPr>
            <w:r>
              <w:rPr>
                <w:rFonts w:hint="cs"/>
                <w:rtl/>
              </w:rPr>
              <w:t>ملاحظة</w:t>
            </w:r>
            <w:r w:rsidRPr="00A33289">
              <w:rPr>
                <w:rtl/>
              </w:rPr>
              <w:t xml:space="preserve"> أن معدل الصرف الإجمالي للشريحة الأولى (2019) من المرحلة الثانية من خطة إدارة إزالة المواد الهيدروكلوروفلوروكربونية كان أقل من عتبة الصرف البالغة 20 في المائة، وحث حكومة كوستاريكا على العمل مع اليوئنديبي بحيث يمكن تقديم الشريحة الثانية (2021) إلى الاجتماع التسعين مشفوعةً بخطة عمل منقحة لمراعاة إعادة تخصيص شريحة 2021 والشرائح اللاحقة، على أساس </w:t>
            </w:r>
            <w:r w:rsidR="00174FA3">
              <w:rPr>
                <w:rFonts w:hint="cs"/>
                <w:rtl/>
              </w:rPr>
              <w:t>تفهم</w:t>
            </w:r>
            <w:r w:rsidRPr="00A33289">
              <w:rPr>
                <w:rtl/>
              </w:rPr>
              <w:t xml:space="preserve"> أنه تم تحقيق نسبة 20 في المائة من عتبة الصرف لتمويل الشريحة السابقة.</w:t>
            </w:r>
          </w:p>
        </w:tc>
      </w:tr>
      <w:tr w:rsidR="00CF43BC" w:rsidRPr="009E5AF2" w14:paraId="246DD3F6" w14:textId="77777777" w:rsidTr="00BB3817">
        <w:tc>
          <w:tcPr>
            <w:tcW w:w="1560" w:type="dxa"/>
            <w:tcMar>
              <w:left w:w="72" w:type="dxa"/>
              <w:right w:w="72" w:type="dxa"/>
            </w:tcMar>
          </w:tcPr>
          <w:p w14:paraId="716FDD7D" w14:textId="77777777" w:rsidR="00490432" w:rsidRDefault="00490432" w:rsidP="009E5AF2">
            <w:pPr>
              <w:bidi/>
              <w:jc w:val="left"/>
              <w:rPr>
                <w:lang w:eastAsia="en-CA"/>
              </w:rPr>
            </w:pPr>
            <w:r w:rsidRPr="00490432">
              <w:rPr>
                <w:rtl/>
                <w:lang w:eastAsia="en-CA"/>
              </w:rPr>
              <w:t>كوت ديفوار</w:t>
            </w:r>
          </w:p>
          <w:p w14:paraId="2F616157" w14:textId="41008423" w:rsidR="00CF43BC" w:rsidRPr="009E5AF2" w:rsidRDefault="00490432" w:rsidP="00490432">
            <w:pPr>
              <w:bidi/>
              <w:jc w:val="left"/>
              <w:rPr>
                <w:rtl/>
                <w:lang w:eastAsia="en-CA" w:bidi="ar-AE"/>
              </w:rPr>
            </w:pPr>
            <w:r>
              <w:rPr>
                <w:rFonts w:hint="cs"/>
                <w:rtl/>
                <w:lang w:eastAsia="en-CA"/>
              </w:rPr>
              <w:t>(</w:t>
            </w:r>
            <w:r w:rsidR="009B178C">
              <w:rPr>
                <w:rFonts w:hint="cs"/>
                <w:rtl/>
                <w:lang w:eastAsia="en-CA"/>
              </w:rPr>
              <w:t>المرحلة</w:t>
            </w:r>
            <w:r>
              <w:rPr>
                <w:rFonts w:hint="cs"/>
                <w:rtl/>
                <w:lang w:eastAsia="en-CA"/>
              </w:rPr>
              <w:t xml:space="preserve"> الأولى)</w:t>
            </w:r>
          </w:p>
        </w:tc>
        <w:tc>
          <w:tcPr>
            <w:tcW w:w="1276" w:type="dxa"/>
            <w:tcMar>
              <w:left w:w="72" w:type="dxa"/>
              <w:right w:w="72" w:type="dxa"/>
            </w:tcMar>
          </w:tcPr>
          <w:p w14:paraId="45E0174E" w14:textId="38E6EAFF" w:rsidR="00CF43BC" w:rsidRPr="009E5AF2" w:rsidRDefault="00490432" w:rsidP="009E5AF2">
            <w:pPr>
              <w:bidi/>
              <w:jc w:val="left"/>
              <w:rPr>
                <w:lang w:eastAsia="en-CA"/>
              </w:rPr>
            </w:pPr>
            <w:r>
              <w:rPr>
                <w:rFonts w:hint="cs"/>
                <w:rtl/>
                <w:lang w:eastAsia="en-CA"/>
              </w:rPr>
              <w:t>اليونيب</w:t>
            </w:r>
          </w:p>
        </w:tc>
        <w:tc>
          <w:tcPr>
            <w:tcW w:w="879" w:type="dxa"/>
            <w:tcMar>
              <w:left w:w="72" w:type="dxa"/>
              <w:right w:w="72" w:type="dxa"/>
            </w:tcMar>
          </w:tcPr>
          <w:p w14:paraId="40EAD6DD" w14:textId="7C080533" w:rsidR="00CF43BC" w:rsidRPr="009E5AF2" w:rsidRDefault="00490432" w:rsidP="009E5AF2">
            <w:pPr>
              <w:bidi/>
              <w:jc w:val="center"/>
              <w:rPr>
                <w:lang w:eastAsia="en-CA"/>
              </w:rPr>
            </w:pPr>
            <w:r>
              <w:rPr>
                <w:rFonts w:hint="cs"/>
                <w:rtl/>
                <w:lang w:eastAsia="en-CA"/>
              </w:rPr>
              <w:t>2021</w:t>
            </w:r>
          </w:p>
        </w:tc>
        <w:tc>
          <w:tcPr>
            <w:tcW w:w="1275" w:type="dxa"/>
            <w:tcMar>
              <w:left w:w="72" w:type="dxa"/>
              <w:right w:w="72" w:type="dxa"/>
            </w:tcMar>
          </w:tcPr>
          <w:p w14:paraId="0C41B9B9" w14:textId="526AD3C1" w:rsidR="00490432" w:rsidRPr="00490432" w:rsidRDefault="00490432" w:rsidP="00490432">
            <w:pPr>
              <w:bidi/>
              <w:jc w:val="right"/>
              <w:rPr>
                <w:rtl/>
                <w:lang w:val="en-US" w:eastAsia="en-CA" w:bidi="ar-AE"/>
              </w:rPr>
            </w:pPr>
            <w:r>
              <w:rPr>
                <w:rFonts w:hint="cs"/>
                <w:rtl/>
                <w:lang w:val="en-US" w:eastAsia="en-CA" w:bidi="ar-AE"/>
              </w:rPr>
              <w:t>208,222</w:t>
            </w:r>
          </w:p>
        </w:tc>
        <w:tc>
          <w:tcPr>
            <w:tcW w:w="3220" w:type="dxa"/>
            <w:tcMar>
              <w:left w:w="72" w:type="dxa"/>
              <w:right w:w="72" w:type="dxa"/>
            </w:tcMar>
          </w:tcPr>
          <w:p w14:paraId="507EB517" w14:textId="536328CF" w:rsidR="0004611C" w:rsidRPr="009E5AF2" w:rsidRDefault="0004611C" w:rsidP="0004611C">
            <w:pPr>
              <w:bidi/>
              <w:jc w:val="left"/>
              <w:rPr>
                <w:rtl/>
                <w:lang w:eastAsia="en-CA" w:bidi="ar-AE"/>
              </w:rPr>
            </w:pPr>
            <w:r w:rsidRPr="0004611C">
              <w:rPr>
                <w:rtl/>
                <w:lang w:eastAsia="en-CA" w:bidi="ar-AE"/>
              </w:rPr>
              <w:t>تقديم تقارير مرحلية ومالية/ عدم وجود تقرير تحقق</w:t>
            </w:r>
          </w:p>
        </w:tc>
        <w:tc>
          <w:tcPr>
            <w:tcW w:w="6095" w:type="dxa"/>
            <w:tcMar>
              <w:left w:w="72" w:type="dxa"/>
              <w:right w:w="72" w:type="dxa"/>
            </w:tcMar>
          </w:tcPr>
          <w:p w14:paraId="27F606C1" w14:textId="02F2A7A8" w:rsidR="0004611C" w:rsidRPr="009E5AF2" w:rsidRDefault="0004611C" w:rsidP="0004611C">
            <w:pPr>
              <w:bidi/>
              <w:rPr>
                <w:rtl/>
                <w:lang w:bidi="ar-AE"/>
              </w:rPr>
            </w:pPr>
            <w:r w:rsidRPr="0004611C">
              <w:rPr>
                <w:rtl/>
                <w:lang w:bidi="ar-AE"/>
              </w:rPr>
              <w:t xml:space="preserve">ملاحظة </w:t>
            </w:r>
            <w:r>
              <w:rPr>
                <w:rFonts w:hint="cs"/>
                <w:rtl/>
                <w:lang w:bidi="ar-AE"/>
              </w:rPr>
              <w:t xml:space="preserve">أن </w:t>
            </w:r>
            <w:r w:rsidRPr="0004611C">
              <w:rPr>
                <w:rtl/>
                <w:lang w:bidi="ar-AE"/>
              </w:rPr>
              <w:t>التأخيرات</w:t>
            </w:r>
            <w:r>
              <w:rPr>
                <w:rFonts w:hint="cs"/>
                <w:rtl/>
                <w:lang w:bidi="ar-AE"/>
              </w:rPr>
              <w:t xml:space="preserve"> ناجمة عن </w:t>
            </w:r>
            <w:r w:rsidRPr="0004611C">
              <w:rPr>
                <w:rtl/>
                <w:lang w:bidi="ar-AE"/>
              </w:rPr>
              <w:t xml:space="preserve">عدم تقديم التقارير المرحلية والمالية وعدم اكتمال التحقق الإلزامي من أهداف استهلاك المواد الهيدروكلوروفلوروكربونية، وحث حكومة كوت </w:t>
            </w:r>
            <w:r w:rsidRPr="0004611C">
              <w:rPr>
                <w:rFonts w:hint="cs"/>
                <w:rtl/>
                <w:lang w:bidi="ar-AE"/>
              </w:rPr>
              <w:t>ديفوار عل</w:t>
            </w:r>
            <w:r w:rsidRPr="0004611C">
              <w:rPr>
                <w:rFonts w:hint="eastAsia"/>
                <w:rtl/>
                <w:lang w:bidi="ar-AE"/>
              </w:rPr>
              <w:t>ى</w:t>
            </w:r>
            <w:r w:rsidRPr="0004611C">
              <w:rPr>
                <w:rtl/>
                <w:lang w:bidi="ar-AE"/>
              </w:rPr>
              <w:t xml:space="preserve"> تقديم التقارير المرحلية والمالية المطلوبة والعمل مع اليونيب لإكمال التحقق بحيث يمكن تقديم الشريحة الرابعة (2021) من المرحلة الأولى من خطة إدارة إزالة المواد الهيدروكلوروفلوروكربونية إلى الاجتماع التسعين مشفوعةً بخطة عمل منقحة لمراعاة إعادة تخصيص شريحة 2021</w:t>
            </w:r>
            <w:r>
              <w:rPr>
                <w:rFonts w:hint="cs"/>
                <w:rtl/>
                <w:lang w:bidi="ar-AE"/>
              </w:rPr>
              <w:t>.</w:t>
            </w:r>
          </w:p>
        </w:tc>
      </w:tr>
      <w:tr w:rsidR="00AF5B7E" w:rsidRPr="009E5AF2" w14:paraId="5FD4ECC6" w14:textId="77777777" w:rsidTr="00BB3817">
        <w:tc>
          <w:tcPr>
            <w:tcW w:w="1560" w:type="dxa"/>
            <w:tcMar>
              <w:left w:w="72" w:type="dxa"/>
              <w:right w:w="72" w:type="dxa"/>
            </w:tcMar>
          </w:tcPr>
          <w:p w14:paraId="60F94478" w14:textId="55C4A814" w:rsidR="009B178C" w:rsidRDefault="009B178C" w:rsidP="009E5AF2">
            <w:pPr>
              <w:bidi/>
              <w:jc w:val="left"/>
              <w:rPr>
                <w:rtl/>
                <w:lang w:eastAsia="en-CA" w:bidi="ar-AE"/>
              </w:rPr>
            </w:pPr>
            <w:r w:rsidRPr="009B178C">
              <w:rPr>
                <w:rtl/>
                <w:lang w:eastAsia="en-CA"/>
              </w:rPr>
              <w:t xml:space="preserve">دومينيكا </w:t>
            </w:r>
          </w:p>
          <w:p w14:paraId="74DD9C23" w14:textId="58643803" w:rsidR="00AF5B7E" w:rsidRPr="009E5AF2" w:rsidRDefault="009B178C" w:rsidP="009B178C">
            <w:pPr>
              <w:bidi/>
              <w:jc w:val="left"/>
              <w:rPr>
                <w:lang w:eastAsia="en-CA"/>
              </w:rPr>
            </w:pPr>
            <w:r>
              <w:rPr>
                <w:rFonts w:hint="cs"/>
                <w:rtl/>
                <w:lang w:eastAsia="en-CA" w:bidi="ar-AE"/>
              </w:rPr>
              <w:t>(المرحلة الأولى</w:t>
            </w:r>
          </w:p>
        </w:tc>
        <w:tc>
          <w:tcPr>
            <w:tcW w:w="1276" w:type="dxa"/>
            <w:tcMar>
              <w:left w:w="72" w:type="dxa"/>
              <w:right w:w="72" w:type="dxa"/>
            </w:tcMar>
          </w:tcPr>
          <w:p w14:paraId="74BBD8C8" w14:textId="7BC26DBD" w:rsidR="00AF5B7E" w:rsidRPr="009E5AF2" w:rsidRDefault="009B178C" w:rsidP="009E5AF2">
            <w:pPr>
              <w:bidi/>
              <w:jc w:val="left"/>
              <w:rPr>
                <w:lang w:eastAsia="en-CA"/>
              </w:rPr>
            </w:pPr>
            <w:r w:rsidRPr="009B178C">
              <w:rPr>
                <w:rtl/>
                <w:lang w:eastAsia="en-CA"/>
              </w:rPr>
              <w:t>اليونيب</w:t>
            </w:r>
          </w:p>
        </w:tc>
        <w:tc>
          <w:tcPr>
            <w:tcW w:w="879" w:type="dxa"/>
            <w:tcMar>
              <w:left w:w="72" w:type="dxa"/>
              <w:right w:w="72" w:type="dxa"/>
            </w:tcMar>
          </w:tcPr>
          <w:p w14:paraId="65786A6A" w14:textId="25CFA3A0" w:rsidR="00AF5B7E" w:rsidRPr="009E5AF2" w:rsidRDefault="009B178C" w:rsidP="009E5AF2">
            <w:pPr>
              <w:bidi/>
              <w:jc w:val="center"/>
              <w:rPr>
                <w:lang w:eastAsia="en-CA" w:bidi="ar-AE"/>
              </w:rPr>
            </w:pPr>
            <w:r>
              <w:rPr>
                <w:rFonts w:hint="cs"/>
                <w:rtl/>
                <w:lang w:eastAsia="en-CA" w:bidi="ar-AE"/>
              </w:rPr>
              <w:t>2020</w:t>
            </w:r>
          </w:p>
        </w:tc>
        <w:tc>
          <w:tcPr>
            <w:tcW w:w="1275" w:type="dxa"/>
            <w:tcMar>
              <w:left w:w="72" w:type="dxa"/>
              <w:right w:w="72" w:type="dxa"/>
            </w:tcMar>
          </w:tcPr>
          <w:p w14:paraId="579744CA" w14:textId="49FBCE82" w:rsidR="009B178C" w:rsidRPr="009B178C" w:rsidRDefault="009B178C" w:rsidP="009B178C">
            <w:pPr>
              <w:bidi/>
              <w:jc w:val="right"/>
              <w:rPr>
                <w:rtl/>
                <w:lang w:val="en-US" w:eastAsia="en-CA" w:bidi="ar-AE"/>
              </w:rPr>
            </w:pPr>
            <w:r>
              <w:rPr>
                <w:rFonts w:hint="cs"/>
                <w:rtl/>
                <w:lang w:val="en-US" w:eastAsia="en-CA" w:bidi="ar-AE"/>
              </w:rPr>
              <w:t>18,588</w:t>
            </w:r>
          </w:p>
        </w:tc>
        <w:tc>
          <w:tcPr>
            <w:tcW w:w="3220" w:type="dxa"/>
            <w:tcMar>
              <w:left w:w="72" w:type="dxa"/>
              <w:right w:w="72" w:type="dxa"/>
            </w:tcMar>
          </w:tcPr>
          <w:p w14:paraId="6136E2E1" w14:textId="329F580B" w:rsidR="009B178C" w:rsidRPr="009E5AF2" w:rsidRDefault="0064025E" w:rsidP="009B178C">
            <w:pPr>
              <w:bidi/>
              <w:jc w:val="left"/>
              <w:rPr>
                <w:lang w:eastAsia="en-CA"/>
              </w:rPr>
            </w:pPr>
            <w:r w:rsidRPr="0064025E">
              <w:rPr>
                <w:rtl/>
                <w:lang w:eastAsia="en-CA"/>
              </w:rPr>
              <w:t>تفشي جائحة كوفيد-19/ قرارات الحكومة/ مصادقات/ تغييرات في وحدة الأوزون الوطنية/ تقديم تقارير مرحلية ومالية/ 20 في المائة من عتبة الصرف</w:t>
            </w:r>
          </w:p>
        </w:tc>
        <w:tc>
          <w:tcPr>
            <w:tcW w:w="6095" w:type="dxa"/>
            <w:tcMar>
              <w:left w:w="72" w:type="dxa"/>
              <w:right w:w="72" w:type="dxa"/>
            </w:tcMar>
          </w:tcPr>
          <w:p w14:paraId="11AAC85A" w14:textId="7BACBE58" w:rsidR="00F31BAE" w:rsidRPr="009E5AF2" w:rsidRDefault="00F31BAE" w:rsidP="00F31BAE">
            <w:pPr>
              <w:bidi/>
              <w:rPr>
                <w:rtl/>
                <w:lang w:bidi="ar-AE"/>
              </w:rPr>
            </w:pPr>
            <w:r>
              <w:rPr>
                <w:rFonts w:hint="cs"/>
                <w:rtl/>
                <w:lang w:bidi="ar-AE"/>
              </w:rPr>
              <w:t>ملاحظة</w:t>
            </w:r>
            <w:r w:rsidRPr="00F31BAE">
              <w:rPr>
                <w:rtl/>
                <w:lang w:bidi="ar-AE"/>
              </w:rPr>
              <w:t xml:space="preserve"> أن التأخيرات ناجمة عن عدم تقديم التقارير المرحلية والمالية وأن معدل الصرف الإجمالي للشريحة الثانية (2019) من خطة إدارة إزالة المواد الهيدروكلوروفلوروكربونية كان أقل من عتبة الصرف البالغة 20 في المائة، وحث حكومة دومينيكا على تقديم التقارير المرحلية والمالية المطلوبة والعمل مع اليونيب بحيث يمكن تقديم الشريحة الثالثة (2020) من المرحلة الأولى من خطة إدارة إزالة المواد الهيدروكلوروفلوروكربونية إلى الاجتماع التسعين مشفوعة بخطة عمل منقحة لمراعاة إعادة تخصيص شريحة 2020، على أساس </w:t>
            </w:r>
            <w:r>
              <w:rPr>
                <w:rFonts w:hint="cs"/>
                <w:rtl/>
                <w:lang w:bidi="ar-AE"/>
              </w:rPr>
              <w:t xml:space="preserve">تفهم </w:t>
            </w:r>
            <w:r w:rsidRPr="00F31BAE">
              <w:rPr>
                <w:rtl/>
                <w:lang w:bidi="ar-AE"/>
              </w:rPr>
              <w:t>أن عتبة الصرف البالغة 20 في المائة لتمويل الشريحة السابقة قد تحققت.</w:t>
            </w:r>
          </w:p>
        </w:tc>
      </w:tr>
      <w:tr w:rsidR="00CF43BC" w:rsidRPr="009E5AF2" w14:paraId="28F23EDF" w14:textId="77777777" w:rsidTr="00BB3817">
        <w:tc>
          <w:tcPr>
            <w:tcW w:w="1560" w:type="dxa"/>
            <w:tcMar>
              <w:left w:w="72" w:type="dxa"/>
              <w:right w:w="72" w:type="dxa"/>
            </w:tcMar>
          </w:tcPr>
          <w:p w14:paraId="068C5E18" w14:textId="2053D5E5" w:rsidR="00CF43BC" w:rsidRPr="009E5AF2" w:rsidRDefault="001036FA" w:rsidP="009E5AF2">
            <w:pPr>
              <w:widowControl w:val="0"/>
              <w:bidi/>
              <w:jc w:val="left"/>
              <w:rPr>
                <w:lang w:eastAsia="en-CA"/>
              </w:rPr>
            </w:pPr>
            <w:r w:rsidRPr="001036FA">
              <w:rPr>
                <w:rtl/>
                <w:lang w:eastAsia="en-CA"/>
              </w:rPr>
              <w:t>غينيا الاستوائية (المرحلة الأولى)</w:t>
            </w:r>
          </w:p>
        </w:tc>
        <w:tc>
          <w:tcPr>
            <w:tcW w:w="1276" w:type="dxa"/>
            <w:tcMar>
              <w:left w:w="72" w:type="dxa"/>
              <w:right w:w="72" w:type="dxa"/>
            </w:tcMar>
          </w:tcPr>
          <w:p w14:paraId="5202835A" w14:textId="655E6BBC" w:rsidR="00CF43BC" w:rsidRPr="009E5AF2" w:rsidRDefault="001036FA" w:rsidP="009E5AF2">
            <w:pPr>
              <w:keepNext/>
              <w:bidi/>
              <w:jc w:val="left"/>
              <w:rPr>
                <w:lang w:eastAsia="en-CA"/>
              </w:rPr>
            </w:pPr>
            <w:r w:rsidRPr="001036FA">
              <w:rPr>
                <w:rtl/>
                <w:lang w:eastAsia="en-CA"/>
              </w:rPr>
              <w:t>اليونيب</w:t>
            </w:r>
          </w:p>
        </w:tc>
        <w:tc>
          <w:tcPr>
            <w:tcW w:w="879" w:type="dxa"/>
            <w:tcMar>
              <w:left w:w="72" w:type="dxa"/>
              <w:right w:w="72" w:type="dxa"/>
            </w:tcMar>
          </w:tcPr>
          <w:p w14:paraId="4575FC38" w14:textId="1E0658B6" w:rsidR="00CF43BC" w:rsidRPr="009E5AF2" w:rsidRDefault="001036FA" w:rsidP="009E5AF2">
            <w:pPr>
              <w:keepNext/>
              <w:bidi/>
              <w:jc w:val="center"/>
              <w:rPr>
                <w:lang w:eastAsia="en-CA"/>
              </w:rPr>
            </w:pPr>
            <w:r>
              <w:rPr>
                <w:rFonts w:hint="cs"/>
                <w:rtl/>
                <w:lang w:eastAsia="en-CA"/>
              </w:rPr>
              <w:t>2020</w:t>
            </w:r>
          </w:p>
        </w:tc>
        <w:tc>
          <w:tcPr>
            <w:tcW w:w="1275" w:type="dxa"/>
            <w:tcMar>
              <w:left w:w="72" w:type="dxa"/>
              <w:right w:w="72" w:type="dxa"/>
            </w:tcMar>
          </w:tcPr>
          <w:p w14:paraId="5A59D918" w14:textId="2F9CB6AF" w:rsidR="001036FA" w:rsidRPr="001036FA" w:rsidRDefault="001036FA" w:rsidP="001036FA">
            <w:pPr>
              <w:keepNext/>
              <w:bidi/>
              <w:jc w:val="right"/>
              <w:rPr>
                <w:rtl/>
                <w:lang w:val="en-US" w:eastAsia="en-CA" w:bidi="ar-AE"/>
              </w:rPr>
            </w:pPr>
            <w:r>
              <w:rPr>
                <w:rFonts w:hint="cs"/>
                <w:rtl/>
                <w:lang w:val="en-US" w:eastAsia="en-CA" w:bidi="ar-AE"/>
              </w:rPr>
              <w:t>33,900</w:t>
            </w:r>
          </w:p>
        </w:tc>
        <w:tc>
          <w:tcPr>
            <w:tcW w:w="3220" w:type="dxa"/>
            <w:tcMar>
              <w:left w:w="72" w:type="dxa"/>
              <w:right w:w="72" w:type="dxa"/>
            </w:tcMar>
          </w:tcPr>
          <w:p w14:paraId="43EA4503" w14:textId="78A4055E" w:rsidR="001036FA" w:rsidRPr="009E5AF2" w:rsidRDefault="001036FA" w:rsidP="001036FA">
            <w:pPr>
              <w:keepNext/>
              <w:bidi/>
              <w:jc w:val="left"/>
              <w:rPr>
                <w:rtl/>
                <w:lang w:eastAsia="en-CA" w:bidi="ar-AE"/>
              </w:rPr>
            </w:pPr>
            <w:r w:rsidRPr="001036FA">
              <w:rPr>
                <w:rtl/>
                <w:lang w:eastAsia="en-CA" w:bidi="ar-AE"/>
              </w:rPr>
              <w:t>تفشي جائحة كوفيد-19/ عدم وجود تقرير التحقق</w:t>
            </w:r>
          </w:p>
        </w:tc>
        <w:tc>
          <w:tcPr>
            <w:tcW w:w="6095" w:type="dxa"/>
            <w:tcMar>
              <w:left w:w="72" w:type="dxa"/>
              <w:right w:w="72" w:type="dxa"/>
            </w:tcMar>
          </w:tcPr>
          <w:p w14:paraId="0D664F06" w14:textId="17F35D85" w:rsidR="001036FA" w:rsidRPr="009E5AF2" w:rsidRDefault="001036FA" w:rsidP="001036FA">
            <w:pPr>
              <w:widowControl w:val="0"/>
              <w:bidi/>
              <w:rPr>
                <w:rtl/>
                <w:lang w:bidi="ar-AE"/>
              </w:rPr>
            </w:pPr>
            <w:r>
              <w:rPr>
                <w:rFonts w:hint="cs"/>
                <w:rtl/>
                <w:lang w:bidi="ar-AE"/>
              </w:rPr>
              <w:t>ملاحظة</w:t>
            </w:r>
            <w:r w:rsidRPr="001036FA">
              <w:rPr>
                <w:rtl/>
                <w:lang w:bidi="ar-AE"/>
              </w:rPr>
              <w:t xml:space="preserve"> أن التأخيرات ناجمة عن القيود التي فرضتها جائحة كوفيد-19</w:t>
            </w:r>
            <w:r>
              <w:rPr>
                <w:rFonts w:hint="cs"/>
                <w:rtl/>
                <w:lang w:bidi="ar-AE"/>
              </w:rPr>
              <w:t>،</w:t>
            </w:r>
            <w:r w:rsidRPr="001036FA">
              <w:rPr>
                <w:rtl/>
                <w:lang w:bidi="ar-AE"/>
              </w:rPr>
              <w:t xml:space="preserve"> وأن التحقق الإلزامي من أهداف المواد الهيدروكلوروفلوروكربونية لم يكتمل، وحث حكومة غينيا الاستوائية على العمل مع اليونيب لإكمال التحقق بحيث يمكن تقديم الشريحة الرابعة (2020) من المرحلة الأولى من خطة إدارة إزالة المواد الهيدروكلوروفلوروكربونية إلى الاجتماع التسعين مشفوعةً بخطة عمل منقحة لمراعاة إعادة تخصيص شريحة 2020.</w:t>
            </w:r>
          </w:p>
        </w:tc>
      </w:tr>
      <w:tr w:rsidR="0025108B" w:rsidRPr="009E5AF2" w14:paraId="4AD7BC93" w14:textId="77777777" w:rsidTr="00BB3817">
        <w:tc>
          <w:tcPr>
            <w:tcW w:w="1560" w:type="dxa"/>
            <w:tcMar>
              <w:left w:w="72" w:type="dxa"/>
              <w:right w:w="72" w:type="dxa"/>
            </w:tcMar>
          </w:tcPr>
          <w:p w14:paraId="647146DB" w14:textId="77777777" w:rsidR="00405008" w:rsidRDefault="00405008" w:rsidP="00405008">
            <w:pPr>
              <w:keepNext/>
              <w:bidi/>
              <w:jc w:val="left"/>
              <w:rPr>
                <w:rtl/>
                <w:lang w:eastAsia="en-CA" w:bidi="ar-AE"/>
              </w:rPr>
            </w:pPr>
            <w:r w:rsidRPr="00405008">
              <w:rPr>
                <w:rtl/>
                <w:lang w:eastAsia="en-CA" w:bidi="ar-AE"/>
              </w:rPr>
              <w:lastRenderedPageBreak/>
              <w:t>غرينادا</w:t>
            </w:r>
          </w:p>
          <w:p w14:paraId="7062B27F" w14:textId="68B81FB0" w:rsidR="00405008" w:rsidRPr="009E5AF2" w:rsidRDefault="00405008" w:rsidP="00405008">
            <w:pPr>
              <w:keepNext/>
              <w:bidi/>
              <w:jc w:val="left"/>
              <w:rPr>
                <w:rtl/>
                <w:lang w:eastAsia="en-CA" w:bidi="ar-AE"/>
              </w:rPr>
            </w:pPr>
            <w:r w:rsidRPr="00405008">
              <w:rPr>
                <w:rtl/>
                <w:lang w:eastAsia="en-CA" w:bidi="ar-AE"/>
              </w:rPr>
              <w:t>(المرحلة الأولى)</w:t>
            </w:r>
          </w:p>
        </w:tc>
        <w:tc>
          <w:tcPr>
            <w:tcW w:w="1276" w:type="dxa"/>
            <w:tcMar>
              <w:left w:w="72" w:type="dxa"/>
              <w:right w:w="72" w:type="dxa"/>
            </w:tcMar>
          </w:tcPr>
          <w:p w14:paraId="1566A8E7" w14:textId="28F65D06" w:rsidR="0025108B" w:rsidRPr="009E5AF2" w:rsidRDefault="00405008" w:rsidP="009E5AF2">
            <w:pPr>
              <w:keepNext/>
              <w:bidi/>
              <w:jc w:val="left"/>
              <w:rPr>
                <w:lang w:eastAsia="en-CA"/>
              </w:rPr>
            </w:pPr>
            <w:r w:rsidRPr="00405008">
              <w:rPr>
                <w:rtl/>
                <w:lang w:eastAsia="en-CA"/>
              </w:rPr>
              <w:t>اليونيب</w:t>
            </w:r>
          </w:p>
        </w:tc>
        <w:tc>
          <w:tcPr>
            <w:tcW w:w="879" w:type="dxa"/>
            <w:tcMar>
              <w:left w:w="72" w:type="dxa"/>
              <w:right w:w="72" w:type="dxa"/>
            </w:tcMar>
          </w:tcPr>
          <w:p w14:paraId="1E6A55A6" w14:textId="5B9ABE78" w:rsidR="0025108B" w:rsidRPr="009E5AF2" w:rsidRDefault="00405008" w:rsidP="009E5AF2">
            <w:pPr>
              <w:keepNext/>
              <w:bidi/>
              <w:jc w:val="center"/>
              <w:rPr>
                <w:lang w:eastAsia="en-CA"/>
              </w:rPr>
            </w:pPr>
            <w:r>
              <w:rPr>
                <w:rFonts w:hint="cs"/>
                <w:rtl/>
                <w:lang w:eastAsia="en-CA"/>
              </w:rPr>
              <w:t>2020</w:t>
            </w:r>
          </w:p>
        </w:tc>
        <w:tc>
          <w:tcPr>
            <w:tcW w:w="1275" w:type="dxa"/>
            <w:tcMar>
              <w:left w:w="72" w:type="dxa"/>
              <w:right w:w="72" w:type="dxa"/>
            </w:tcMar>
          </w:tcPr>
          <w:p w14:paraId="70648FD4" w14:textId="01C8CC09" w:rsidR="00405008" w:rsidRPr="00405008" w:rsidRDefault="00405008" w:rsidP="00405008">
            <w:pPr>
              <w:keepNext/>
              <w:bidi/>
              <w:jc w:val="right"/>
              <w:rPr>
                <w:rtl/>
                <w:lang w:val="en-US" w:eastAsia="en-CA" w:bidi="ar-AE"/>
              </w:rPr>
            </w:pPr>
            <w:r>
              <w:rPr>
                <w:rFonts w:hint="cs"/>
                <w:rtl/>
                <w:lang w:val="en-US" w:eastAsia="en-CA" w:bidi="ar-AE"/>
              </w:rPr>
              <w:t>23,730</w:t>
            </w:r>
          </w:p>
        </w:tc>
        <w:tc>
          <w:tcPr>
            <w:tcW w:w="3220" w:type="dxa"/>
            <w:tcMar>
              <w:left w:w="72" w:type="dxa"/>
              <w:right w:w="72" w:type="dxa"/>
            </w:tcMar>
          </w:tcPr>
          <w:p w14:paraId="5CEE9FA4" w14:textId="4395E2A7" w:rsidR="0025108B" w:rsidRPr="009E5AF2" w:rsidRDefault="009912FB" w:rsidP="009E5AF2">
            <w:pPr>
              <w:keepNext/>
              <w:bidi/>
              <w:jc w:val="left"/>
              <w:rPr>
                <w:lang w:eastAsia="en-CA"/>
              </w:rPr>
            </w:pPr>
            <w:r w:rsidRPr="009912FB">
              <w:rPr>
                <w:rtl/>
                <w:lang w:eastAsia="en-CA"/>
              </w:rPr>
              <w:t>تفشي جائحة كوفيد-19/ عدم وجود تقرير التحقق</w:t>
            </w:r>
          </w:p>
        </w:tc>
        <w:tc>
          <w:tcPr>
            <w:tcW w:w="6095" w:type="dxa"/>
            <w:tcMar>
              <w:left w:w="72" w:type="dxa"/>
              <w:right w:w="72" w:type="dxa"/>
            </w:tcMar>
          </w:tcPr>
          <w:p w14:paraId="496F3882" w14:textId="680B22EB" w:rsidR="007E7B51" w:rsidRPr="009E5AF2" w:rsidRDefault="007E7B51" w:rsidP="007E7B51">
            <w:pPr>
              <w:keepNext/>
              <w:bidi/>
            </w:pPr>
            <w:r>
              <w:rPr>
                <w:rFonts w:hint="cs"/>
                <w:rtl/>
              </w:rPr>
              <w:t>ملاحظة</w:t>
            </w:r>
            <w:r w:rsidRPr="007E7B51">
              <w:rPr>
                <w:rtl/>
              </w:rPr>
              <w:t xml:space="preserve"> أن التأخيرات ناجمة عن القيود التي فرضتها جائحة كوفيد-19</w:t>
            </w:r>
            <w:r>
              <w:rPr>
                <w:rFonts w:hint="cs"/>
                <w:rtl/>
              </w:rPr>
              <w:t>،</w:t>
            </w:r>
            <w:r w:rsidRPr="007E7B51">
              <w:rPr>
                <w:rtl/>
              </w:rPr>
              <w:t xml:space="preserve"> وأن التحقق الإلزامي من أهداف استهلاك المواد الهيدروكلوروفلوروكربونية لم يكتمل، وحث حكومة غرينادا على العمل مع اليونيب لإكمال عملية التحقق بحيث يمكن تقديم الشريحة الثالثة (2020) من المرحلة الأولى من خطة إدارة إزالة المواد الهيدروكلوروفلوروكربونية إلى الاجتماع التسعين مشفوعة بخطة عمل منقحة لمراعاة إعادة تخصيص شريحة 2020.</w:t>
            </w:r>
          </w:p>
        </w:tc>
      </w:tr>
      <w:tr w:rsidR="009276F1" w:rsidRPr="009E5AF2" w14:paraId="0282C217" w14:textId="77777777" w:rsidTr="00BB3817">
        <w:tc>
          <w:tcPr>
            <w:tcW w:w="1560" w:type="dxa"/>
            <w:vMerge w:val="restart"/>
            <w:tcMar>
              <w:left w:w="72" w:type="dxa"/>
              <w:right w:w="72" w:type="dxa"/>
            </w:tcMar>
          </w:tcPr>
          <w:p w14:paraId="6D63034E" w14:textId="0A82C405" w:rsidR="004674F7" w:rsidRDefault="004674F7" w:rsidP="009E5AF2">
            <w:pPr>
              <w:keepNext/>
              <w:bidi/>
              <w:jc w:val="left"/>
              <w:rPr>
                <w:rtl/>
                <w:lang w:eastAsia="en-CA"/>
              </w:rPr>
            </w:pPr>
            <w:r w:rsidRPr="004674F7">
              <w:rPr>
                <w:rtl/>
                <w:lang w:eastAsia="en-CA"/>
              </w:rPr>
              <w:t>غويانا</w:t>
            </w:r>
          </w:p>
          <w:p w14:paraId="516A3C14" w14:textId="0CE2A1BA" w:rsidR="009276F1" w:rsidRPr="009E5AF2" w:rsidRDefault="004674F7" w:rsidP="004674F7">
            <w:pPr>
              <w:keepNext/>
              <w:bidi/>
              <w:jc w:val="left"/>
              <w:rPr>
                <w:lang w:eastAsia="en-CA"/>
              </w:rPr>
            </w:pPr>
            <w:r w:rsidRPr="004674F7">
              <w:rPr>
                <w:rtl/>
                <w:lang w:eastAsia="en-CA"/>
              </w:rPr>
              <w:t>(المرحلة الثانية)</w:t>
            </w:r>
          </w:p>
        </w:tc>
        <w:tc>
          <w:tcPr>
            <w:tcW w:w="1276" w:type="dxa"/>
            <w:tcMar>
              <w:left w:w="72" w:type="dxa"/>
              <w:right w:w="72" w:type="dxa"/>
            </w:tcMar>
          </w:tcPr>
          <w:p w14:paraId="738F9B96" w14:textId="1C2C95CC" w:rsidR="009276F1" w:rsidRPr="009E5AF2" w:rsidRDefault="004674F7" w:rsidP="009E5AF2">
            <w:pPr>
              <w:keepNext/>
              <w:bidi/>
              <w:jc w:val="left"/>
              <w:rPr>
                <w:lang w:eastAsia="en-CA" w:bidi="ar-AE"/>
              </w:rPr>
            </w:pPr>
            <w:r w:rsidRPr="004674F7">
              <w:rPr>
                <w:rtl/>
                <w:lang w:eastAsia="en-CA"/>
              </w:rPr>
              <w:t>اليوئنديبي</w:t>
            </w:r>
          </w:p>
        </w:tc>
        <w:tc>
          <w:tcPr>
            <w:tcW w:w="879" w:type="dxa"/>
            <w:tcMar>
              <w:left w:w="72" w:type="dxa"/>
              <w:right w:w="72" w:type="dxa"/>
            </w:tcMar>
          </w:tcPr>
          <w:p w14:paraId="6750BEE7" w14:textId="3A407A8D" w:rsidR="009276F1" w:rsidRPr="009E5AF2" w:rsidRDefault="004674F7" w:rsidP="009E5AF2">
            <w:pPr>
              <w:keepNext/>
              <w:bidi/>
              <w:jc w:val="center"/>
              <w:rPr>
                <w:lang w:eastAsia="en-CA"/>
              </w:rPr>
            </w:pPr>
            <w:r>
              <w:rPr>
                <w:rFonts w:hint="cs"/>
                <w:rtl/>
                <w:lang w:eastAsia="en-CA"/>
              </w:rPr>
              <w:t>2021</w:t>
            </w:r>
          </w:p>
        </w:tc>
        <w:tc>
          <w:tcPr>
            <w:tcW w:w="1275" w:type="dxa"/>
            <w:tcMar>
              <w:left w:w="72" w:type="dxa"/>
              <w:right w:w="72" w:type="dxa"/>
            </w:tcMar>
          </w:tcPr>
          <w:p w14:paraId="1FB89609" w14:textId="3152C63A" w:rsidR="004674F7" w:rsidRPr="004674F7" w:rsidRDefault="004674F7" w:rsidP="004674F7">
            <w:pPr>
              <w:keepNext/>
              <w:bidi/>
              <w:jc w:val="right"/>
              <w:rPr>
                <w:rtl/>
                <w:lang w:val="en-US" w:eastAsia="en-CA" w:bidi="ar-AE"/>
              </w:rPr>
            </w:pPr>
            <w:r>
              <w:rPr>
                <w:rFonts w:hint="cs"/>
                <w:rtl/>
                <w:lang w:val="en-US" w:eastAsia="en-CA" w:bidi="ar-AE"/>
              </w:rPr>
              <w:t>133,750</w:t>
            </w:r>
          </w:p>
        </w:tc>
        <w:tc>
          <w:tcPr>
            <w:tcW w:w="3220" w:type="dxa"/>
            <w:tcMar>
              <w:left w:w="72" w:type="dxa"/>
              <w:right w:w="72" w:type="dxa"/>
            </w:tcMar>
          </w:tcPr>
          <w:p w14:paraId="0760A340" w14:textId="6CD4226A" w:rsidR="005B290D" w:rsidRPr="009E5AF2" w:rsidRDefault="005B290D" w:rsidP="005B290D">
            <w:pPr>
              <w:keepNext/>
              <w:bidi/>
              <w:jc w:val="left"/>
              <w:rPr>
                <w:rtl/>
                <w:lang w:eastAsia="en-CA" w:bidi="ar-AE"/>
              </w:rPr>
            </w:pPr>
            <w:r w:rsidRPr="005B290D">
              <w:rPr>
                <w:rtl/>
                <w:lang w:eastAsia="en-CA" w:bidi="ar-AE"/>
              </w:rPr>
              <w:t>عدم جاهزية الوكالة الرئيسية للتقديم</w:t>
            </w:r>
          </w:p>
        </w:tc>
        <w:tc>
          <w:tcPr>
            <w:tcW w:w="6095" w:type="dxa"/>
            <w:vMerge w:val="restart"/>
            <w:tcMar>
              <w:left w:w="72" w:type="dxa"/>
              <w:right w:w="72" w:type="dxa"/>
            </w:tcMar>
          </w:tcPr>
          <w:p w14:paraId="216388C5" w14:textId="6723CF8E" w:rsidR="00FD4E9F" w:rsidRPr="009E5AF2" w:rsidRDefault="00FD4E9F" w:rsidP="00FD4E9F">
            <w:pPr>
              <w:keepNext/>
              <w:bidi/>
              <w:rPr>
                <w:rtl/>
                <w:lang w:bidi="ar-AE"/>
              </w:rPr>
            </w:pPr>
            <w:r>
              <w:rPr>
                <w:rFonts w:hint="cs"/>
                <w:rtl/>
                <w:lang w:bidi="ar-AE"/>
              </w:rPr>
              <w:t xml:space="preserve">ملاحظة </w:t>
            </w:r>
            <w:r w:rsidRPr="00FD4E9F">
              <w:rPr>
                <w:rtl/>
                <w:lang w:bidi="ar-AE"/>
              </w:rPr>
              <w:t>أن التأخيرات ناجمة عن القيود التي فرضتها جائحة كوفيد-19</w:t>
            </w:r>
            <w:r>
              <w:rPr>
                <w:rFonts w:hint="cs"/>
                <w:rtl/>
                <w:lang w:bidi="ar-AE"/>
              </w:rPr>
              <w:t>،</w:t>
            </w:r>
            <w:r w:rsidRPr="00FD4E9F">
              <w:rPr>
                <w:rtl/>
                <w:lang w:bidi="ar-AE"/>
              </w:rPr>
              <w:t xml:space="preserve"> وأن التحقق الإلزامي من أهداف استهلاك المواد الهيدروكلوروفلوروكربونية لم يكتمل، وحث حكومة غويانا على العمل مع اليونيب لإكمال التحقق</w:t>
            </w:r>
            <w:r>
              <w:rPr>
                <w:rFonts w:hint="cs"/>
                <w:rtl/>
                <w:lang w:bidi="ar-AE"/>
              </w:rPr>
              <w:t>، وكذلك</w:t>
            </w:r>
            <w:r w:rsidRPr="00FD4E9F">
              <w:rPr>
                <w:rtl/>
                <w:lang w:bidi="ar-AE"/>
              </w:rPr>
              <w:t xml:space="preserve"> اليوئنديبي واليونيب بحيث يمكن تقديم الشريحة الثالثة (2021) من المرحلة الثانية من خطة إدارة إزالة المواد الهيدروكلوروفلوروكربونية إلى الاجتماع التسعين مشفوعةً بخطة عمل منقحة لمراعاةِ إعادة تخصيص شريحة 2021 والشرائح اللاحقة.</w:t>
            </w:r>
          </w:p>
        </w:tc>
      </w:tr>
      <w:tr w:rsidR="009276F1" w:rsidRPr="009E5AF2" w14:paraId="6E5DC90B" w14:textId="77777777" w:rsidTr="00BB3817">
        <w:tc>
          <w:tcPr>
            <w:tcW w:w="1560" w:type="dxa"/>
            <w:vMerge/>
            <w:tcMar>
              <w:left w:w="72" w:type="dxa"/>
              <w:right w:w="72" w:type="dxa"/>
            </w:tcMar>
          </w:tcPr>
          <w:p w14:paraId="6D5C9BA2" w14:textId="77777777" w:rsidR="009276F1" w:rsidRPr="009E5AF2" w:rsidRDefault="009276F1" w:rsidP="009E5AF2">
            <w:pPr>
              <w:keepNext/>
              <w:bidi/>
              <w:jc w:val="left"/>
              <w:rPr>
                <w:lang w:eastAsia="en-CA"/>
              </w:rPr>
            </w:pPr>
          </w:p>
        </w:tc>
        <w:tc>
          <w:tcPr>
            <w:tcW w:w="1276" w:type="dxa"/>
            <w:tcMar>
              <w:left w:w="72" w:type="dxa"/>
              <w:right w:w="72" w:type="dxa"/>
            </w:tcMar>
          </w:tcPr>
          <w:p w14:paraId="14CB874C" w14:textId="7CDEC5C2" w:rsidR="009276F1" w:rsidRPr="009E5AF2" w:rsidRDefault="004674F7" w:rsidP="009E5AF2">
            <w:pPr>
              <w:keepNext/>
              <w:bidi/>
              <w:jc w:val="left"/>
              <w:rPr>
                <w:lang w:eastAsia="en-CA"/>
              </w:rPr>
            </w:pPr>
            <w:r w:rsidRPr="004674F7">
              <w:rPr>
                <w:rtl/>
                <w:lang w:eastAsia="en-CA"/>
              </w:rPr>
              <w:t>اليونيب</w:t>
            </w:r>
          </w:p>
        </w:tc>
        <w:tc>
          <w:tcPr>
            <w:tcW w:w="879" w:type="dxa"/>
            <w:tcMar>
              <w:left w:w="72" w:type="dxa"/>
              <w:right w:w="72" w:type="dxa"/>
            </w:tcMar>
          </w:tcPr>
          <w:p w14:paraId="5F123950" w14:textId="6DE811B5" w:rsidR="009276F1" w:rsidRPr="009E5AF2" w:rsidRDefault="004674F7" w:rsidP="009E5AF2">
            <w:pPr>
              <w:keepNext/>
              <w:bidi/>
              <w:jc w:val="center"/>
              <w:rPr>
                <w:lang w:eastAsia="en-CA"/>
              </w:rPr>
            </w:pPr>
            <w:r>
              <w:rPr>
                <w:rFonts w:hint="cs"/>
                <w:rtl/>
                <w:lang w:eastAsia="en-CA"/>
              </w:rPr>
              <w:t>2021</w:t>
            </w:r>
          </w:p>
        </w:tc>
        <w:tc>
          <w:tcPr>
            <w:tcW w:w="1275" w:type="dxa"/>
            <w:tcMar>
              <w:left w:w="72" w:type="dxa"/>
              <w:right w:w="72" w:type="dxa"/>
            </w:tcMar>
          </w:tcPr>
          <w:p w14:paraId="592D8F92" w14:textId="10D434ED" w:rsidR="004674F7" w:rsidRPr="004674F7" w:rsidRDefault="004674F7" w:rsidP="004674F7">
            <w:pPr>
              <w:keepNext/>
              <w:bidi/>
              <w:jc w:val="right"/>
              <w:rPr>
                <w:rtl/>
                <w:lang w:val="en-US" w:eastAsia="en-CA" w:bidi="ar-AE"/>
              </w:rPr>
            </w:pPr>
            <w:r>
              <w:rPr>
                <w:rFonts w:hint="cs"/>
                <w:rtl/>
                <w:lang w:val="en-US" w:eastAsia="en-CA" w:bidi="ar-AE"/>
              </w:rPr>
              <w:t>51,415</w:t>
            </w:r>
          </w:p>
        </w:tc>
        <w:tc>
          <w:tcPr>
            <w:tcW w:w="3220" w:type="dxa"/>
            <w:tcMar>
              <w:left w:w="72" w:type="dxa"/>
              <w:right w:w="72" w:type="dxa"/>
            </w:tcMar>
          </w:tcPr>
          <w:p w14:paraId="43E9C841" w14:textId="3C12C71A" w:rsidR="009276F1" w:rsidRPr="009E5AF2" w:rsidRDefault="005B290D" w:rsidP="005B290D">
            <w:pPr>
              <w:keepNext/>
              <w:bidi/>
              <w:jc w:val="left"/>
              <w:rPr>
                <w:lang w:eastAsia="en-CA"/>
              </w:rPr>
            </w:pPr>
            <w:r w:rsidRPr="005B290D">
              <w:rPr>
                <w:rtl/>
                <w:lang w:eastAsia="en-CA"/>
              </w:rPr>
              <w:t>تفشي جائحة كوفيد-19/ عدم وجود تقرير تحقق/ قرارات حكومية/ مصادقات/ تغييرات</w:t>
            </w:r>
            <w:r>
              <w:rPr>
                <w:rFonts w:hint="cs"/>
                <w:rtl/>
                <w:lang w:eastAsia="en-CA"/>
              </w:rPr>
              <w:t xml:space="preserve"> </w:t>
            </w:r>
            <w:r w:rsidRPr="005B290D">
              <w:rPr>
                <w:rtl/>
                <w:lang w:eastAsia="en-CA"/>
              </w:rPr>
              <w:t>في وحدة الأوزون الوطنية</w:t>
            </w:r>
          </w:p>
        </w:tc>
        <w:tc>
          <w:tcPr>
            <w:tcW w:w="6095" w:type="dxa"/>
            <w:vMerge/>
            <w:tcMar>
              <w:left w:w="72" w:type="dxa"/>
              <w:right w:w="72" w:type="dxa"/>
            </w:tcMar>
          </w:tcPr>
          <w:p w14:paraId="7AB434E2" w14:textId="77777777" w:rsidR="009276F1" w:rsidRPr="009E5AF2" w:rsidRDefault="009276F1" w:rsidP="009E5AF2">
            <w:pPr>
              <w:keepNext/>
              <w:bidi/>
              <w:jc w:val="left"/>
            </w:pPr>
          </w:p>
        </w:tc>
      </w:tr>
      <w:tr w:rsidR="000C75AD" w:rsidRPr="009E5AF2" w14:paraId="256BD225" w14:textId="77777777" w:rsidTr="00BB3817">
        <w:trPr>
          <w:trHeight w:val="1283"/>
        </w:trPr>
        <w:tc>
          <w:tcPr>
            <w:tcW w:w="1560" w:type="dxa"/>
            <w:tcMar>
              <w:left w:w="72" w:type="dxa"/>
              <w:right w:w="72" w:type="dxa"/>
            </w:tcMar>
          </w:tcPr>
          <w:p w14:paraId="36A54A4E" w14:textId="7E2075B0" w:rsidR="001444B5" w:rsidRDefault="001444B5" w:rsidP="009E5AF2">
            <w:pPr>
              <w:bidi/>
              <w:jc w:val="left"/>
              <w:rPr>
                <w:rtl/>
                <w:lang w:eastAsia="en-CA" w:bidi="ar-AE"/>
              </w:rPr>
            </w:pPr>
            <w:r w:rsidRPr="001444B5">
              <w:rPr>
                <w:rtl/>
                <w:lang w:eastAsia="en-CA"/>
              </w:rPr>
              <w:t>هايتي</w:t>
            </w:r>
          </w:p>
          <w:p w14:paraId="1EF6B072" w14:textId="5A3B7932" w:rsidR="000C75AD" w:rsidRPr="009E5AF2" w:rsidRDefault="001444B5" w:rsidP="001444B5">
            <w:pPr>
              <w:bidi/>
              <w:jc w:val="left"/>
              <w:rPr>
                <w:lang w:eastAsia="en-CA"/>
              </w:rPr>
            </w:pPr>
            <w:r w:rsidRPr="001444B5">
              <w:rPr>
                <w:rtl/>
                <w:lang w:eastAsia="en-CA"/>
              </w:rPr>
              <w:t>(المرحلة الأولى)</w:t>
            </w:r>
          </w:p>
        </w:tc>
        <w:tc>
          <w:tcPr>
            <w:tcW w:w="1276" w:type="dxa"/>
            <w:tcMar>
              <w:left w:w="72" w:type="dxa"/>
              <w:right w:w="72" w:type="dxa"/>
            </w:tcMar>
          </w:tcPr>
          <w:p w14:paraId="78DBCC38" w14:textId="7ED6FD10" w:rsidR="000C75AD" w:rsidRPr="009E5AF2" w:rsidRDefault="001444B5" w:rsidP="009E5AF2">
            <w:pPr>
              <w:bidi/>
              <w:jc w:val="left"/>
              <w:rPr>
                <w:lang w:eastAsia="en-CA"/>
              </w:rPr>
            </w:pPr>
            <w:r w:rsidRPr="001444B5">
              <w:rPr>
                <w:rtl/>
                <w:lang w:eastAsia="en-CA"/>
              </w:rPr>
              <w:t>اليونيب</w:t>
            </w:r>
          </w:p>
        </w:tc>
        <w:tc>
          <w:tcPr>
            <w:tcW w:w="879" w:type="dxa"/>
            <w:tcMar>
              <w:left w:w="72" w:type="dxa"/>
              <w:right w:w="72" w:type="dxa"/>
            </w:tcMar>
          </w:tcPr>
          <w:p w14:paraId="23367323" w14:textId="3E17CDE8" w:rsidR="001444B5" w:rsidRPr="009E5AF2" w:rsidRDefault="001444B5" w:rsidP="001444B5">
            <w:pPr>
              <w:keepNext/>
              <w:bidi/>
              <w:jc w:val="center"/>
              <w:rPr>
                <w:rtl/>
                <w:lang w:eastAsia="en-CA" w:bidi="ar-AE"/>
              </w:rPr>
            </w:pPr>
            <w:r>
              <w:rPr>
                <w:rFonts w:hint="cs"/>
                <w:rtl/>
                <w:lang w:eastAsia="en-CA" w:bidi="ar-AE"/>
              </w:rPr>
              <w:t>2018 و2020</w:t>
            </w:r>
          </w:p>
        </w:tc>
        <w:tc>
          <w:tcPr>
            <w:tcW w:w="1275" w:type="dxa"/>
            <w:tcMar>
              <w:left w:w="72" w:type="dxa"/>
              <w:right w:w="72" w:type="dxa"/>
            </w:tcMar>
          </w:tcPr>
          <w:p w14:paraId="7AEBC3AD" w14:textId="6FC28A33" w:rsidR="001444B5" w:rsidRPr="001444B5" w:rsidRDefault="001444B5" w:rsidP="001444B5">
            <w:pPr>
              <w:keepNext/>
              <w:bidi/>
              <w:jc w:val="right"/>
              <w:rPr>
                <w:rtl/>
                <w:lang w:val="en-US" w:eastAsia="en-CA" w:bidi="ar-AE"/>
              </w:rPr>
            </w:pPr>
            <w:r>
              <w:rPr>
                <w:rFonts w:hint="cs"/>
                <w:rtl/>
                <w:lang w:val="en-US" w:eastAsia="en-CA" w:bidi="ar-AE"/>
              </w:rPr>
              <w:t>127,556</w:t>
            </w:r>
          </w:p>
        </w:tc>
        <w:tc>
          <w:tcPr>
            <w:tcW w:w="3220" w:type="dxa"/>
            <w:tcMar>
              <w:left w:w="72" w:type="dxa"/>
              <w:right w:w="72" w:type="dxa"/>
            </w:tcMar>
          </w:tcPr>
          <w:p w14:paraId="4FB30A30" w14:textId="3B3A779B" w:rsidR="001444B5" w:rsidRPr="009E5AF2" w:rsidRDefault="006B7D31" w:rsidP="001444B5">
            <w:pPr>
              <w:keepNext/>
              <w:bidi/>
              <w:jc w:val="left"/>
              <w:rPr>
                <w:rtl/>
                <w:lang w:eastAsia="en-CA" w:bidi="ar-AE"/>
              </w:rPr>
            </w:pPr>
            <w:r w:rsidRPr="006B7D31">
              <w:rPr>
                <w:rtl/>
                <w:lang w:eastAsia="en-CA" w:bidi="ar-AE"/>
              </w:rPr>
              <w:t>تفشي جائحة كوفيد-19/ عدم وجود تقرير تحقق/ قرارات حكومية/ مصادقات/ تغييرات في وحدة الأوزون الوطنية/ صعوبات داخلية أو خارجية</w:t>
            </w:r>
          </w:p>
        </w:tc>
        <w:tc>
          <w:tcPr>
            <w:tcW w:w="6095" w:type="dxa"/>
            <w:tcMar>
              <w:left w:w="72" w:type="dxa"/>
              <w:right w:w="72" w:type="dxa"/>
            </w:tcMar>
          </w:tcPr>
          <w:p w14:paraId="229ABDB0" w14:textId="4B1382FA" w:rsidR="009D6E86" w:rsidRPr="009D6E86" w:rsidRDefault="009D6E86" w:rsidP="009D6E86">
            <w:pPr>
              <w:keepNext/>
              <w:bidi/>
              <w:rPr>
                <w:lang w:val="en-US"/>
              </w:rPr>
            </w:pPr>
            <w:r>
              <w:rPr>
                <w:rFonts w:hint="cs"/>
                <w:rtl/>
                <w:lang w:val="en-US"/>
              </w:rPr>
              <w:t xml:space="preserve">ملاحظة </w:t>
            </w:r>
            <w:r w:rsidRPr="009D6E86">
              <w:rPr>
                <w:rtl/>
                <w:lang w:val="en-US"/>
              </w:rPr>
              <w:t>أن التأخيرات ناجمة عن القيود التي فرضتها جائحة كوفيد-19</w:t>
            </w:r>
            <w:r>
              <w:rPr>
                <w:rFonts w:hint="cs"/>
                <w:rtl/>
                <w:lang w:val="en-US"/>
              </w:rPr>
              <w:t>،</w:t>
            </w:r>
            <w:r w:rsidRPr="009D6E86">
              <w:rPr>
                <w:rtl/>
                <w:lang w:val="en-US"/>
              </w:rPr>
              <w:t xml:space="preserve"> وأن التحقق الإلزامي من أهداف استهلاك المواد الهيدروكلوروفلوروكربونية لم يكتمل، وحث حكومة هايتي على العمل مع اليونيب لإكمال التحقق بحيث يمكن تقديم الشريحتين الثالثة (2018) والرابعة (2020) من المرحلة الأولى من خطة إدارة إزالة المواد</w:t>
            </w:r>
            <w:r>
              <w:rPr>
                <w:rFonts w:hint="cs"/>
                <w:rtl/>
                <w:lang w:val="en-US"/>
              </w:rPr>
              <w:t xml:space="preserve"> </w:t>
            </w:r>
            <w:r w:rsidRPr="009D6E86">
              <w:rPr>
                <w:rtl/>
                <w:lang w:val="en-US"/>
              </w:rPr>
              <w:t>الهيدروكلوروفلوروكربونية إلى الاجتماع التسعين مشفوعةً بخطة عمل منقحة لمراعاة إعادة تخصيص شريحة 2018 والشرائح اللاحقة.</w:t>
            </w:r>
          </w:p>
        </w:tc>
      </w:tr>
      <w:tr w:rsidR="005A088D" w:rsidRPr="009E5AF2" w14:paraId="61AD3BCD" w14:textId="77777777" w:rsidTr="00BB3817">
        <w:tc>
          <w:tcPr>
            <w:tcW w:w="1560" w:type="dxa"/>
            <w:vMerge w:val="restart"/>
            <w:tcMar>
              <w:left w:w="72" w:type="dxa"/>
              <w:right w:w="72" w:type="dxa"/>
            </w:tcMar>
          </w:tcPr>
          <w:p w14:paraId="6638E049" w14:textId="77777777" w:rsidR="005A088D" w:rsidRDefault="00DD6086" w:rsidP="009E5AF2">
            <w:pPr>
              <w:bidi/>
              <w:jc w:val="left"/>
              <w:rPr>
                <w:rtl/>
                <w:lang w:eastAsia="en-CA" w:bidi="ar-AE"/>
              </w:rPr>
            </w:pPr>
            <w:r w:rsidRPr="00DD6086">
              <w:rPr>
                <w:rtl/>
                <w:lang w:eastAsia="en-CA" w:bidi="ar-AE"/>
              </w:rPr>
              <w:t>جمهورية إيران الإسلامية</w:t>
            </w:r>
          </w:p>
          <w:p w14:paraId="34699AAD" w14:textId="7C3925CE" w:rsidR="00DD6086" w:rsidRPr="009E5AF2" w:rsidRDefault="00DD6086" w:rsidP="00DD6086">
            <w:pPr>
              <w:bidi/>
              <w:jc w:val="left"/>
              <w:rPr>
                <w:lang w:eastAsia="en-CA" w:bidi="ar-AE"/>
              </w:rPr>
            </w:pPr>
            <w:r>
              <w:rPr>
                <w:rFonts w:hint="cs"/>
                <w:rtl/>
                <w:lang w:eastAsia="en-CA" w:bidi="ar-AE"/>
              </w:rPr>
              <w:t>(المرحلة الثانية)</w:t>
            </w:r>
          </w:p>
        </w:tc>
        <w:tc>
          <w:tcPr>
            <w:tcW w:w="1276" w:type="dxa"/>
            <w:tcMar>
              <w:left w:w="72" w:type="dxa"/>
              <w:right w:w="72" w:type="dxa"/>
            </w:tcMar>
          </w:tcPr>
          <w:p w14:paraId="525FB264" w14:textId="18C4B59E" w:rsidR="005A088D" w:rsidRPr="009E5AF2" w:rsidRDefault="00DD6086" w:rsidP="009E5AF2">
            <w:pPr>
              <w:bidi/>
              <w:jc w:val="left"/>
              <w:rPr>
                <w:lang w:eastAsia="en-CA"/>
              </w:rPr>
            </w:pPr>
            <w:r>
              <w:rPr>
                <w:rFonts w:hint="cs"/>
                <w:rtl/>
                <w:lang w:eastAsia="en-CA"/>
              </w:rPr>
              <w:t>ألمانيا</w:t>
            </w:r>
          </w:p>
        </w:tc>
        <w:tc>
          <w:tcPr>
            <w:tcW w:w="879" w:type="dxa"/>
            <w:tcMar>
              <w:left w:w="72" w:type="dxa"/>
              <w:right w:w="72" w:type="dxa"/>
            </w:tcMar>
          </w:tcPr>
          <w:p w14:paraId="3C4B9479" w14:textId="1755B9CC" w:rsidR="00DD6086" w:rsidRPr="00DD6086" w:rsidRDefault="00DD6086" w:rsidP="00DD6086">
            <w:pPr>
              <w:keepNext/>
              <w:bidi/>
              <w:jc w:val="center"/>
              <w:rPr>
                <w:rtl/>
                <w:lang w:val="en-US" w:eastAsia="en-CA" w:bidi="ar-AE"/>
              </w:rPr>
            </w:pPr>
            <w:r>
              <w:rPr>
                <w:rFonts w:hint="cs"/>
                <w:rtl/>
                <w:lang w:val="en-US" w:eastAsia="en-CA" w:bidi="ar-AE"/>
              </w:rPr>
              <w:t>2021</w:t>
            </w:r>
          </w:p>
        </w:tc>
        <w:tc>
          <w:tcPr>
            <w:tcW w:w="1275" w:type="dxa"/>
            <w:tcMar>
              <w:left w:w="72" w:type="dxa"/>
              <w:right w:w="72" w:type="dxa"/>
            </w:tcMar>
          </w:tcPr>
          <w:p w14:paraId="3A8BC03F" w14:textId="348B8620" w:rsidR="00DD6086" w:rsidRPr="00DD6086" w:rsidRDefault="00DD6086" w:rsidP="00DD6086">
            <w:pPr>
              <w:keepNext/>
              <w:bidi/>
              <w:jc w:val="right"/>
              <w:rPr>
                <w:rtl/>
                <w:lang w:val="en-US" w:eastAsia="en-CA" w:bidi="ar-AE"/>
              </w:rPr>
            </w:pPr>
            <w:r>
              <w:rPr>
                <w:rFonts w:hint="cs"/>
                <w:rtl/>
                <w:lang w:val="en-US" w:eastAsia="en-CA" w:bidi="ar-AE"/>
              </w:rPr>
              <w:t>666,018</w:t>
            </w:r>
          </w:p>
        </w:tc>
        <w:tc>
          <w:tcPr>
            <w:tcW w:w="3220" w:type="dxa"/>
            <w:tcMar>
              <w:left w:w="72" w:type="dxa"/>
              <w:right w:w="72" w:type="dxa"/>
            </w:tcMar>
          </w:tcPr>
          <w:p w14:paraId="1E5B0602" w14:textId="48CC5A7E" w:rsidR="005A088D" w:rsidRPr="009E5AF2" w:rsidRDefault="00C47BBA" w:rsidP="009E5AF2">
            <w:pPr>
              <w:keepNext/>
              <w:bidi/>
              <w:jc w:val="left"/>
              <w:rPr>
                <w:rtl/>
                <w:lang w:eastAsia="en-CA" w:bidi="ar-AE"/>
              </w:rPr>
            </w:pPr>
            <w:r w:rsidRPr="00C47BBA">
              <w:rPr>
                <w:rtl/>
                <w:lang w:eastAsia="en-CA"/>
              </w:rPr>
              <w:t>تفشي جائحة كوفيد-19</w:t>
            </w:r>
          </w:p>
        </w:tc>
        <w:tc>
          <w:tcPr>
            <w:tcW w:w="6095" w:type="dxa"/>
            <w:vMerge w:val="restart"/>
            <w:tcMar>
              <w:left w:w="72" w:type="dxa"/>
              <w:right w:w="72" w:type="dxa"/>
            </w:tcMar>
          </w:tcPr>
          <w:p w14:paraId="25023B64" w14:textId="2CDA047A" w:rsidR="00FE3D25" w:rsidRPr="00FE3D25" w:rsidRDefault="00A8766C" w:rsidP="00FE3D25">
            <w:pPr>
              <w:keepNext/>
              <w:bidi/>
              <w:rPr>
                <w:lang w:val="en-US"/>
              </w:rPr>
            </w:pPr>
            <w:r w:rsidRPr="00A8766C">
              <w:rPr>
                <w:rtl/>
                <w:lang w:val="en-US"/>
              </w:rPr>
              <w:t xml:space="preserve">ملاحظة أن التأخيرات ناجمةٌ </w:t>
            </w:r>
            <w:r w:rsidR="006F5732" w:rsidRPr="006F5732">
              <w:rPr>
                <w:rtl/>
                <w:lang w:val="en-US"/>
              </w:rPr>
              <w:t>عن القيود التي فرضتها جائحة كوفيد-19</w:t>
            </w:r>
            <w:r w:rsidR="006F5732">
              <w:rPr>
                <w:rFonts w:hint="cs"/>
                <w:rtl/>
                <w:lang w:val="en-US"/>
              </w:rPr>
              <w:t>،</w:t>
            </w:r>
            <w:r w:rsidR="006F5732" w:rsidRPr="006F5732">
              <w:rPr>
                <w:rtl/>
                <w:lang w:val="en-US"/>
              </w:rPr>
              <w:t xml:space="preserve"> وأن معدل الصرف الإجمالي للشريحة الثالثة (2020) من خطة إدارة إزالة المواد الهيدروكلوروفلوروكربونية كان أقل من عتبة الصرف البالغة 20 في المائة، وحث حكومة جمهورية إيران الإسلامية</w:t>
            </w:r>
            <w:r w:rsidR="006F5732">
              <w:rPr>
                <w:rFonts w:hint="cs"/>
                <w:rtl/>
                <w:lang w:val="en-US"/>
              </w:rPr>
              <w:t xml:space="preserve"> </w:t>
            </w:r>
            <w:r w:rsidR="006F5732" w:rsidRPr="006F5732">
              <w:rPr>
                <w:rtl/>
                <w:lang w:val="en-US"/>
              </w:rPr>
              <w:t xml:space="preserve">على العمل مع حكومة ألمانيا، واليوئنديبي، واليونيدو بحيث يمكن تقديم الشريحة الرابعة (2021) من المرحلة الثانية من خطة إدارة إزالة المواد الهيدروكلوروفلوروكربونية إلى الاجتماع التسعين مشفوعةً بخطة عمل منقحة لمراعاة إعادة تخصيص شريحة 2021 والشرائح اللاحقة، على أساس </w:t>
            </w:r>
            <w:r w:rsidR="006F5732">
              <w:rPr>
                <w:rFonts w:hint="cs"/>
                <w:rtl/>
                <w:lang w:val="en-US"/>
              </w:rPr>
              <w:t>تفهم</w:t>
            </w:r>
            <w:r w:rsidR="006F5732" w:rsidRPr="006F5732">
              <w:rPr>
                <w:rtl/>
                <w:lang w:val="en-US"/>
              </w:rPr>
              <w:t xml:space="preserve"> أن عتبة الصرف البالغة 20 في المائة لتمويل الشريحة السابقة قد تحققت.</w:t>
            </w:r>
          </w:p>
        </w:tc>
      </w:tr>
      <w:tr w:rsidR="005A088D" w:rsidRPr="009E5AF2" w14:paraId="2757AF8C" w14:textId="77777777" w:rsidTr="00BB3817">
        <w:tc>
          <w:tcPr>
            <w:tcW w:w="1560" w:type="dxa"/>
            <w:vMerge/>
            <w:tcMar>
              <w:left w:w="72" w:type="dxa"/>
              <w:right w:w="72" w:type="dxa"/>
            </w:tcMar>
          </w:tcPr>
          <w:p w14:paraId="4DDC0475" w14:textId="77777777" w:rsidR="005A088D" w:rsidRPr="009E5AF2" w:rsidRDefault="005A088D" w:rsidP="009E5AF2">
            <w:pPr>
              <w:bidi/>
              <w:jc w:val="left"/>
              <w:rPr>
                <w:lang w:eastAsia="en-CA"/>
              </w:rPr>
            </w:pPr>
          </w:p>
        </w:tc>
        <w:tc>
          <w:tcPr>
            <w:tcW w:w="1276" w:type="dxa"/>
            <w:tcMar>
              <w:left w:w="72" w:type="dxa"/>
              <w:right w:w="72" w:type="dxa"/>
            </w:tcMar>
          </w:tcPr>
          <w:p w14:paraId="0CA3E64E" w14:textId="50D6DC9C" w:rsidR="005A088D" w:rsidRPr="009E5AF2" w:rsidRDefault="00DD6086" w:rsidP="009E5AF2">
            <w:pPr>
              <w:bidi/>
              <w:jc w:val="left"/>
              <w:rPr>
                <w:lang w:eastAsia="en-CA"/>
              </w:rPr>
            </w:pPr>
            <w:r w:rsidRPr="00DD6086">
              <w:rPr>
                <w:rtl/>
                <w:lang w:eastAsia="en-CA"/>
              </w:rPr>
              <w:t>اليوئنديبي</w:t>
            </w:r>
          </w:p>
        </w:tc>
        <w:tc>
          <w:tcPr>
            <w:tcW w:w="879" w:type="dxa"/>
            <w:tcMar>
              <w:left w:w="72" w:type="dxa"/>
              <w:right w:w="72" w:type="dxa"/>
            </w:tcMar>
          </w:tcPr>
          <w:p w14:paraId="06C70419" w14:textId="32C8106E" w:rsidR="00DD6086" w:rsidRPr="00DD6086" w:rsidRDefault="00DD6086" w:rsidP="00DD6086">
            <w:pPr>
              <w:keepNext/>
              <w:bidi/>
              <w:jc w:val="center"/>
              <w:rPr>
                <w:rtl/>
                <w:lang w:val="en-US" w:eastAsia="en-CA" w:bidi="ar-AE"/>
              </w:rPr>
            </w:pPr>
            <w:r>
              <w:rPr>
                <w:rFonts w:hint="cs"/>
                <w:rtl/>
                <w:lang w:val="en-US" w:eastAsia="en-CA" w:bidi="ar-AE"/>
              </w:rPr>
              <w:t>2021</w:t>
            </w:r>
          </w:p>
        </w:tc>
        <w:tc>
          <w:tcPr>
            <w:tcW w:w="1275" w:type="dxa"/>
            <w:tcMar>
              <w:left w:w="72" w:type="dxa"/>
              <w:right w:w="72" w:type="dxa"/>
            </w:tcMar>
          </w:tcPr>
          <w:p w14:paraId="1BF4EAAE" w14:textId="15D3DDB3" w:rsidR="00DD6086" w:rsidRPr="00DD6086" w:rsidRDefault="00DD6086" w:rsidP="00DD6086">
            <w:pPr>
              <w:keepNext/>
              <w:bidi/>
              <w:jc w:val="right"/>
              <w:rPr>
                <w:rtl/>
                <w:lang w:val="en-US" w:eastAsia="en-CA" w:bidi="ar-AE"/>
              </w:rPr>
            </w:pPr>
            <w:r>
              <w:rPr>
                <w:rFonts w:hint="cs"/>
                <w:rtl/>
                <w:lang w:val="en-US" w:eastAsia="en-CA" w:bidi="ar-AE"/>
              </w:rPr>
              <w:t>496,727</w:t>
            </w:r>
          </w:p>
        </w:tc>
        <w:tc>
          <w:tcPr>
            <w:tcW w:w="3220" w:type="dxa"/>
            <w:tcMar>
              <w:left w:w="72" w:type="dxa"/>
              <w:right w:w="72" w:type="dxa"/>
            </w:tcMar>
          </w:tcPr>
          <w:p w14:paraId="1DDBE683" w14:textId="78E6DE28" w:rsidR="00C47BBA" w:rsidRPr="00C47BBA" w:rsidRDefault="00C47BBA" w:rsidP="00C47BBA">
            <w:pPr>
              <w:keepNext/>
              <w:bidi/>
              <w:jc w:val="left"/>
              <w:rPr>
                <w:lang w:val="en-US" w:eastAsia="en-CA"/>
              </w:rPr>
            </w:pPr>
            <w:r w:rsidRPr="00C47BBA">
              <w:rPr>
                <w:rtl/>
                <w:lang w:val="en-US" w:eastAsia="en-CA"/>
              </w:rPr>
              <w:t>تفشي جائحة كوفيد-19/ صعوبات داخلية أو خارجية/ 20 في المائة من عتبة الصرف</w:t>
            </w:r>
          </w:p>
        </w:tc>
        <w:tc>
          <w:tcPr>
            <w:tcW w:w="6095" w:type="dxa"/>
            <w:vMerge/>
            <w:tcMar>
              <w:left w:w="72" w:type="dxa"/>
              <w:right w:w="72" w:type="dxa"/>
            </w:tcMar>
          </w:tcPr>
          <w:p w14:paraId="1826E624" w14:textId="77777777" w:rsidR="005A088D" w:rsidRPr="009E5AF2" w:rsidRDefault="005A088D" w:rsidP="009E5AF2">
            <w:pPr>
              <w:keepNext/>
              <w:bidi/>
              <w:jc w:val="left"/>
            </w:pPr>
          </w:p>
        </w:tc>
      </w:tr>
      <w:tr w:rsidR="005A088D" w:rsidRPr="009E5AF2" w14:paraId="54DFB7D3" w14:textId="77777777" w:rsidTr="00BB3817">
        <w:tc>
          <w:tcPr>
            <w:tcW w:w="1560" w:type="dxa"/>
            <w:vMerge/>
            <w:tcMar>
              <w:left w:w="72" w:type="dxa"/>
              <w:right w:w="72" w:type="dxa"/>
            </w:tcMar>
          </w:tcPr>
          <w:p w14:paraId="69F657BD" w14:textId="77777777" w:rsidR="005A088D" w:rsidRPr="009E5AF2" w:rsidRDefault="005A088D" w:rsidP="009E5AF2">
            <w:pPr>
              <w:bidi/>
              <w:jc w:val="left"/>
              <w:rPr>
                <w:lang w:eastAsia="en-CA"/>
              </w:rPr>
            </w:pPr>
          </w:p>
        </w:tc>
        <w:tc>
          <w:tcPr>
            <w:tcW w:w="1276" w:type="dxa"/>
            <w:tcMar>
              <w:left w:w="72" w:type="dxa"/>
              <w:right w:w="72" w:type="dxa"/>
            </w:tcMar>
          </w:tcPr>
          <w:p w14:paraId="2A90CB3F" w14:textId="625E285F" w:rsidR="005A088D" w:rsidRPr="009E5AF2" w:rsidRDefault="00DD6086" w:rsidP="009E5AF2">
            <w:pPr>
              <w:bidi/>
              <w:jc w:val="left"/>
              <w:rPr>
                <w:lang w:eastAsia="en-CA" w:bidi="ar-AE"/>
              </w:rPr>
            </w:pPr>
            <w:r w:rsidRPr="00DD6086">
              <w:rPr>
                <w:rtl/>
                <w:lang w:eastAsia="en-CA"/>
              </w:rPr>
              <w:t>اليونيدو</w:t>
            </w:r>
          </w:p>
        </w:tc>
        <w:tc>
          <w:tcPr>
            <w:tcW w:w="879" w:type="dxa"/>
            <w:tcMar>
              <w:left w:w="72" w:type="dxa"/>
              <w:right w:w="72" w:type="dxa"/>
            </w:tcMar>
          </w:tcPr>
          <w:p w14:paraId="0FD204B5" w14:textId="47EF6C16" w:rsidR="00DD6086" w:rsidRPr="00DD6086" w:rsidRDefault="00DD6086" w:rsidP="00DD6086">
            <w:pPr>
              <w:keepNext/>
              <w:bidi/>
              <w:jc w:val="center"/>
              <w:rPr>
                <w:rtl/>
                <w:lang w:val="en-US" w:eastAsia="en-CA" w:bidi="ar-AE"/>
              </w:rPr>
            </w:pPr>
            <w:r>
              <w:rPr>
                <w:rFonts w:hint="cs"/>
                <w:rtl/>
                <w:lang w:val="en-US" w:eastAsia="en-CA" w:bidi="ar-AE"/>
              </w:rPr>
              <w:t>2021</w:t>
            </w:r>
          </w:p>
        </w:tc>
        <w:tc>
          <w:tcPr>
            <w:tcW w:w="1275" w:type="dxa"/>
            <w:tcMar>
              <w:left w:w="72" w:type="dxa"/>
              <w:right w:w="72" w:type="dxa"/>
            </w:tcMar>
          </w:tcPr>
          <w:p w14:paraId="070B5EE9" w14:textId="315BE17B" w:rsidR="00DD6086" w:rsidRPr="00DD6086" w:rsidRDefault="00DD6086" w:rsidP="00DD6086">
            <w:pPr>
              <w:keepNext/>
              <w:bidi/>
              <w:jc w:val="right"/>
              <w:rPr>
                <w:rtl/>
                <w:lang w:val="en-US" w:eastAsia="en-CA" w:bidi="ar-AE"/>
              </w:rPr>
            </w:pPr>
            <w:r>
              <w:rPr>
                <w:rFonts w:hint="cs"/>
                <w:rtl/>
                <w:lang w:val="en-US" w:eastAsia="en-CA" w:bidi="ar-AE"/>
              </w:rPr>
              <w:t>478,973</w:t>
            </w:r>
          </w:p>
        </w:tc>
        <w:tc>
          <w:tcPr>
            <w:tcW w:w="3220" w:type="dxa"/>
            <w:tcMar>
              <w:left w:w="72" w:type="dxa"/>
              <w:right w:w="72" w:type="dxa"/>
            </w:tcMar>
          </w:tcPr>
          <w:p w14:paraId="5A44CB3D" w14:textId="0E92A1C8" w:rsidR="00C47BBA" w:rsidRPr="00C47BBA" w:rsidRDefault="00C47BBA" w:rsidP="00C47BBA">
            <w:pPr>
              <w:bidi/>
              <w:rPr>
                <w:lang w:val="en-US"/>
              </w:rPr>
            </w:pPr>
            <w:r w:rsidRPr="00C47BBA">
              <w:rPr>
                <w:rtl/>
                <w:lang w:val="en-US"/>
              </w:rPr>
              <w:t>تفشي جائحة كوفيد-19/ 20 في المائة من عتبة الصرف</w:t>
            </w:r>
          </w:p>
        </w:tc>
        <w:tc>
          <w:tcPr>
            <w:tcW w:w="6095" w:type="dxa"/>
            <w:vMerge/>
            <w:tcMar>
              <w:left w:w="72" w:type="dxa"/>
              <w:right w:w="72" w:type="dxa"/>
            </w:tcMar>
          </w:tcPr>
          <w:p w14:paraId="1C35BEA6" w14:textId="77777777" w:rsidR="005A088D" w:rsidRPr="009E5AF2" w:rsidRDefault="005A088D" w:rsidP="009E5AF2">
            <w:pPr>
              <w:keepNext/>
              <w:bidi/>
              <w:jc w:val="left"/>
            </w:pPr>
          </w:p>
        </w:tc>
      </w:tr>
      <w:tr w:rsidR="00747D2E" w:rsidRPr="009E5AF2" w14:paraId="41DD1B12" w14:textId="77777777" w:rsidTr="00BB3817">
        <w:tc>
          <w:tcPr>
            <w:tcW w:w="1560" w:type="dxa"/>
            <w:vMerge w:val="restart"/>
            <w:tcMar>
              <w:left w:w="72" w:type="dxa"/>
              <w:right w:w="72" w:type="dxa"/>
            </w:tcMar>
          </w:tcPr>
          <w:p w14:paraId="036EAADB" w14:textId="77777777" w:rsidR="00747D2E" w:rsidRDefault="003852CA" w:rsidP="009E5AF2">
            <w:pPr>
              <w:bidi/>
              <w:jc w:val="left"/>
              <w:rPr>
                <w:rtl/>
                <w:lang w:eastAsia="en-CA"/>
              </w:rPr>
            </w:pPr>
            <w:r>
              <w:rPr>
                <w:rFonts w:hint="cs"/>
                <w:rtl/>
                <w:lang w:eastAsia="en-CA"/>
              </w:rPr>
              <w:t>الأردن</w:t>
            </w:r>
          </w:p>
          <w:p w14:paraId="259C0B78" w14:textId="22318250" w:rsidR="003852CA" w:rsidRPr="009E5AF2" w:rsidRDefault="003852CA" w:rsidP="003852CA">
            <w:pPr>
              <w:bidi/>
              <w:jc w:val="left"/>
              <w:rPr>
                <w:lang w:eastAsia="en-CA"/>
              </w:rPr>
            </w:pPr>
            <w:r>
              <w:rPr>
                <w:rFonts w:hint="cs"/>
                <w:rtl/>
                <w:lang w:eastAsia="en-CA"/>
              </w:rPr>
              <w:t>(المرحلة الثانية)</w:t>
            </w:r>
          </w:p>
        </w:tc>
        <w:tc>
          <w:tcPr>
            <w:tcW w:w="1276" w:type="dxa"/>
            <w:tcMar>
              <w:left w:w="72" w:type="dxa"/>
              <w:right w:w="72" w:type="dxa"/>
            </w:tcMar>
          </w:tcPr>
          <w:p w14:paraId="6E70D10F" w14:textId="1F2EA230" w:rsidR="00747D2E" w:rsidRPr="009E5AF2" w:rsidRDefault="003852CA" w:rsidP="009E5AF2">
            <w:pPr>
              <w:bidi/>
              <w:jc w:val="left"/>
              <w:rPr>
                <w:lang w:eastAsia="en-CA"/>
              </w:rPr>
            </w:pPr>
            <w:r>
              <w:rPr>
                <w:rFonts w:hint="cs"/>
                <w:rtl/>
                <w:lang w:eastAsia="en-CA"/>
              </w:rPr>
              <w:t>البنك الدولي</w:t>
            </w:r>
          </w:p>
        </w:tc>
        <w:tc>
          <w:tcPr>
            <w:tcW w:w="879" w:type="dxa"/>
            <w:tcMar>
              <w:left w:w="72" w:type="dxa"/>
              <w:right w:w="72" w:type="dxa"/>
            </w:tcMar>
          </w:tcPr>
          <w:p w14:paraId="79111DD0" w14:textId="507D705F" w:rsidR="003852CA" w:rsidRPr="003852CA" w:rsidRDefault="003852CA" w:rsidP="003852CA">
            <w:pPr>
              <w:bidi/>
              <w:jc w:val="center"/>
              <w:rPr>
                <w:rtl/>
                <w:lang w:val="en-US" w:eastAsia="en-CA" w:bidi="ar-AE"/>
              </w:rPr>
            </w:pPr>
            <w:r>
              <w:rPr>
                <w:rFonts w:hint="cs"/>
                <w:rtl/>
                <w:lang w:val="en-US" w:eastAsia="en-CA" w:bidi="ar-AE"/>
              </w:rPr>
              <w:t>2021</w:t>
            </w:r>
          </w:p>
        </w:tc>
        <w:tc>
          <w:tcPr>
            <w:tcW w:w="1275" w:type="dxa"/>
            <w:tcMar>
              <w:left w:w="72" w:type="dxa"/>
              <w:right w:w="72" w:type="dxa"/>
            </w:tcMar>
          </w:tcPr>
          <w:p w14:paraId="20B1AE06" w14:textId="17B91D36" w:rsidR="003852CA" w:rsidRPr="003852CA" w:rsidRDefault="003852CA" w:rsidP="003852CA">
            <w:pPr>
              <w:bidi/>
              <w:jc w:val="right"/>
              <w:rPr>
                <w:rtl/>
                <w:lang w:val="en-US" w:eastAsia="en-CA" w:bidi="ar-AE"/>
              </w:rPr>
            </w:pPr>
            <w:r>
              <w:rPr>
                <w:rFonts w:hint="cs"/>
                <w:rtl/>
                <w:lang w:val="en-US" w:eastAsia="en-CA" w:bidi="ar-AE"/>
              </w:rPr>
              <w:t>572,157</w:t>
            </w:r>
          </w:p>
        </w:tc>
        <w:tc>
          <w:tcPr>
            <w:tcW w:w="3220" w:type="dxa"/>
            <w:tcMar>
              <w:left w:w="72" w:type="dxa"/>
              <w:right w:w="72" w:type="dxa"/>
            </w:tcMar>
          </w:tcPr>
          <w:p w14:paraId="5B6DE096" w14:textId="70ABA948" w:rsidR="003852CA" w:rsidRPr="009E5AF2" w:rsidRDefault="003852CA" w:rsidP="003852CA">
            <w:pPr>
              <w:bidi/>
              <w:jc w:val="left"/>
              <w:rPr>
                <w:rtl/>
                <w:lang w:eastAsia="en-CA" w:bidi="ar-AE"/>
              </w:rPr>
            </w:pPr>
            <w:r w:rsidRPr="003852CA">
              <w:rPr>
                <w:rtl/>
                <w:lang w:eastAsia="en-CA" w:bidi="ar-AE"/>
              </w:rPr>
              <w:t>تفشي جائحة كوفيد-19/ 20 في المائة من عتبة الصرف</w:t>
            </w:r>
          </w:p>
        </w:tc>
        <w:tc>
          <w:tcPr>
            <w:tcW w:w="6095" w:type="dxa"/>
            <w:vMerge w:val="restart"/>
            <w:tcMar>
              <w:left w:w="72" w:type="dxa"/>
              <w:right w:w="72" w:type="dxa"/>
            </w:tcMar>
          </w:tcPr>
          <w:p w14:paraId="214DD47A" w14:textId="4E949498" w:rsidR="003852CA" w:rsidRPr="003852CA" w:rsidRDefault="00CF086F" w:rsidP="003852CA">
            <w:pPr>
              <w:keepNext/>
              <w:bidi/>
              <w:rPr>
                <w:lang w:val="en-US"/>
              </w:rPr>
            </w:pPr>
            <w:r w:rsidRPr="00CF086F">
              <w:rPr>
                <w:rtl/>
                <w:lang w:val="en-US"/>
              </w:rPr>
              <w:t xml:space="preserve">ملاحظة أن التأخيرات ناجمةٌ </w:t>
            </w:r>
            <w:r w:rsidR="003852CA" w:rsidRPr="003852CA">
              <w:rPr>
                <w:rtl/>
                <w:lang w:val="en-US"/>
              </w:rPr>
              <w:t>عن القيود التي فرضتها جائحة كوفيد-19</w:t>
            </w:r>
            <w:r w:rsidR="003852CA">
              <w:rPr>
                <w:rFonts w:hint="cs"/>
                <w:rtl/>
                <w:lang w:val="en-US"/>
              </w:rPr>
              <w:t>،</w:t>
            </w:r>
            <w:r w:rsidR="003852CA" w:rsidRPr="003852CA">
              <w:rPr>
                <w:rtl/>
                <w:lang w:val="en-US"/>
              </w:rPr>
              <w:t xml:space="preserve"> وأن معدل الصرف الإجمالي للشريحة الثانية (2018) من خطة إدارة إزالة المواد الهيدروكلوروفلوروكربونية كان أقل من عتبة الصرف البالغة 20 في المائة، وحث حكومة الأردن على العمل مع اليونيدو والبنك الدولي بحيث يمكن تقديم الشريحة الثالثة (2021) من المرحلة الثانية من خطة إدارة إزالة المواد الهيدروكلوروفلوروكربونية إلى الاجتماع التسعين مشفوعةً بخطة عمل منقحة لمراعاة إعادة تخصيص شريحة عام 2021، على أساس أن عتبة الصرف البالغة 20 في المائة لتمويل الشريحة السابقة قد تحققت.</w:t>
            </w:r>
          </w:p>
        </w:tc>
      </w:tr>
      <w:tr w:rsidR="00747D2E" w:rsidRPr="009E5AF2" w14:paraId="404AFD26" w14:textId="77777777" w:rsidTr="00BB3817">
        <w:tc>
          <w:tcPr>
            <w:tcW w:w="1560" w:type="dxa"/>
            <w:vMerge/>
            <w:tcMar>
              <w:left w:w="72" w:type="dxa"/>
              <w:right w:w="72" w:type="dxa"/>
            </w:tcMar>
          </w:tcPr>
          <w:p w14:paraId="5A6457B5" w14:textId="77777777" w:rsidR="00747D2E" w:rsidRPr="009E5AF2" w:rsidRDefault="00747D2E" w:rsidP="009E5AF2">
            <w:pPr>
              <w:bidi/>
              <w:jc w:val="left"/>
              <w:rPr>
                <w:lang w:eastAsia="en-CA"/>
              </w:rPr>
            </w:pPr>
          </w:p>
        </w:tc>
        <w:tc>
          <w:tcPr>
            <w:tcW w:w="1276" w:type="dxa"/>
            <w:tcMar>
              <w:left w:w="72" w:type="dxa"/>
              <w:right w:w="72" w:type="dxa"/>
            </w:tcMar>
          </w:tcPr>
          <w:p w14:paraId="5685903F" w14:textId="290075CA" w:rsidR="00747D2E" w:rsidRPr="009E5AF2" w:rsidRDefault="003852CA" w:rsidP="009E5AF2">
            <w:pPr>
              <w:bidi/>
              <w:jc w:val="left"/>
              <w:rPr>
                <w:lang w:eastAsia="en-CA"/>
              </w:rPr>
            </w:pPr>
            <w:r w:rsidRPr="003852CA">
              <w:rPr>
                <w:rtl/>
                <w:lang w:eastAsia="en-CA"/>
              </w:rPr>
              <w:t>اليونيدو</w:t>
            </w:r>
          </w:p>
        </w:tc>
        <w:tc>
          <w:tcPr>
            <w:tcW w:w="879" w:type="dxa"/>
            <w:tcMar>
              <w:left w:w="72" w:type="dxa"/>
              <w:right w:w="72" w:type="dxa"/>
            </w:tcMar>
          </w:tcPr>
          <w:p w14:paraId="5CFBA464" w14:textId="008F0EFE" w:rsidR="003852CA" w:rsidRPr="009E5AF2" w:rsidRDefault="003852CA" w:rsidP="003852CA">
            <w:pPr>
              <w:bidi/>
              <w:jc w:val="center"/>
              <w:rPr>
                <w:rtl/>
                <w:lang w:eastAsia="en-CA" w:bidi="ar-AE"/>
              </w:rPr>
            </w:pPr>
            <w:r>
              <w:rPr>
                <w:rFonts w:hint="cs"/>
                <w:rtl/>
                <w:lang w:eastAsia="en-CA" w:bidi="ar-AE"/>
              </w:rPr>
              <w:t>2021</w:t>
            </w:r>
          </w:p>
        </w:tc>
        <w:tc>
          <w:tcPr>
            <w:tcW w:w="1275" w:type="dxa"/>
            <w:tcMar>
              <w:left w:w="72" w:type="dxa"/>
              <w:right w:w="72" w:type="dxa"/>
            </w:tcMar>
          </w:tcPr>
          <w:p w14:paraId="3CDE728F" w14:textId="37C3DA01" w:rsidR="003852CA" w:rsidRPr="003852CA" w:rsidRDefault="003852CA" w:rsidP="003852CA">
            <w:pPr>
              <w:bidi/>
              <w:jc w:val="right"/>
              <w:rPr>
                <w:rtl/>
                <w:lang w:val="en-US" w:eastAsia="en-CA" w:bidi="ar-AE"/>
              </w:rPr>
            </w:pPr>
            <w:r>
              <w:rPr>
                <w:rFonts w:hint="cs"/>
                <w:rtl/>
                <w:lang w:val="en-US" w:eastAsia="en-CA" w:bidi="ar-AE"/>
              </w:rPr>
              <w:t>71,085</w:t>
            </w:r>
          </w:p>
        </w:tc>
        <w:tc>
          <w:tcPr>
            <w:tcW w:w="3220" w:type="dxa"/>
            <w:tcMar>
              <w:left w:w="72" w:type="dxa"/>
              <w:right w:w="72" w:type="dxa"/>
            </w:tcMar>
          </w:tcPr>
          <w:p w14:paraId="3CDDB6CF" w14:textId="68E1DCD8" w:rsidR="003852CA" w:rsidRPr="009E5AF2" w:rsidRDefault="003852CA" w:rsidP="003852CA">
            <w:pPr>
              <w:bidi/>
              <w:rPr>
                <w:lang w:eastAsia="en-CA" w:bidi="ar-AE"/>
              </w:rPr>
            </w:pPr>
            <w:r w:rsidRPr="003852CA">
              <w:rPr>
                <w:rtl/>
                <w:lang w:eastAsia="en-CA" w:bidi="ar-AE"/>
              </w:rPr>
              <w:t>تفشي جائحة كوفيد-19/ 20 في المائة من عتبة الصرف</w:t>
            </w:r>
          </w:p>
        </w:tc>
        <w:tc>
          <w:tcPr>
            <w:tcW w:w="6095" w:type="dxa"/>
            <w:vMerge/>
            <w:tcMar>
              <w:left w:w="72" w:type="dxa"/>
              <w:right w:w="72" w:type="dxa"/>
            </w:tcMar>
          </w:tcPr>
          <w:p w14:paraId="20BAFB64" w14:textId="77777777" w:rsidR="00747D2E" w:rsidRPr="009E5AF2" w:rsidRDefault="00747D2E" w:rsidP="009E5AF2">
            <w:pPr>
              <w:bidi/>
              <w:jc w:val="left"/>
            </w:pPr>
          </w:p>
        </w:tc>
      </w:tr>
      <w:tr w:rsidR="00D24450" w:rsidRPr="009E5AF2" w14:paraId="7BB44019" w14:textId="77777777" w:rsidTr="00BB3817">
        <w:tc>
          <w:tcPr>
            <w:tcW w:w="1560" w:type="dxa"/>
            <w:vMerge w:val="restart"/>
            <w:tcMar>
              <w:left w:w="72" w:type="dxa"/>
              <w:right w:w="72" w:type="dxa"/>
            </w:tcMar>
            <w:hideMark/>
          </w:tcPr>
          <w:p w14:paraId="17DE8222" w14:textId="6AABD584" w:rsidR="00D24450" w:rsidRDefault="00031CAB" w:rsidP="009E5AF2">
            <w:pPr>
              <w:bidi/>
              <w:jc w:val="left"/>
              <w:rPr>
                <w:rtl/>
                <w:lang w:eastAsia="en-CA"/>
              </w:rPr>
            </w:pPr>
            <w:r>
              <w:rPr>
                <w:rFonts w:hint="cs"/>
                <w:rtl/>
                <w:lang w:eastAsia="en-CA"/>
              </w:rPr>
              <w:lastRenderedPageBreak/>
              <w:t>مالي</w:t>
            </w:r>
          </w:p>
          <w:p w14:paraId="5D2B1812" w14:textId="32D981F7" w:rsidR="00031CAB" w:rsidRPr="009E5AF2" w:rsidRDefault="00031CAB" w:rsidP="00031CAB">
            <w:pPr>
              <w:bidi/>
              <w:jc w:val="left"/>
              <w:rPr>
                <w:lang w:eastAsia="en-CA"/>
              </w:rPr>
            </w:pPr>
            <w:r>
              <w:rPr>
                <w:rFonts w:hint="cs"/>
                <w:rtl/>
                <w:lang w:eastAsia="en-CA"/>
              </w:rPr>
              <w:t>(المرحلة الأولى)</w:t>
            </w:r>
          </w:p>
          <w:p w14:paraId="4E331856" w14:textId="77777777" w:rsidR="00D24450" w:rsidRPr="009E5AF2" w:rsidRDefault="00D24450" w:rsidP="009E5AF2">
            <w:pPr>
              <w:bidi/>
              <w:jc w:val="left"/>
              <w:rPr>
                <w:lang w:eastAsia="en-CA"/>
              </w:rPr>
            </w:pPr>
          </w:p>
        </w:tc>
        <w:tc>
          <w:tcPr>
            <w:tcW w:w="1276" w:type="dxa"/>
            <w:tcMar>
              <w:left w:w="72" w:type="dxa"/>
              <w:right w:w="72" w:type="dxa"/>
            </w:tcMar>
            <w:hideMark/>
          </w:tcPr>
          <w:p w14:paraId="193967BF" w14:textId="6B1A1834" w:rsidR="00D24450" w:rsidRPr="009E5AF2" w:rsidRDefault="00E43DB8" w:rsidP="009E5AF2">
            <w:pPr>
              <w:bidi/>
              <w:jc w:val="left"/>
              <w:rPr>
                <w:rtl/>
                <w:lang w:eastAsia="en-CA" w:bidi="ar-AE"/>
              </w:rPr>
            </w:pPr>
            <w:r w:rsidRPr="00E43DB8">
              <w:rPr>
                <w:rtl/>
                <w:lang w:eastAsia="en-CA"/>
              </w:rPr>
              <w:t>اليوئنديبي</w:t>
            </w:r>
          </w:p>
        </w:tc>
        <w:tc>
          <w:tcPr>
            <w:tcW w:w="879" w:type="dxa"/>
            <w:tcMar>
              <w:left w:w="72" w:type="dxa"/>
              <w:right w:w="72" w:type="dxa"/>
            </w:tcMar>
            <w:hideMark/>
          </w:tcPr>
          <w:p w14:paraId="4A4DCF52" w14:textId="2A1C3806" w:rsidR="003B6C29" w:rsidRPr="003B6C29" w:rsidRDefault="003B6C29" w:rsidP="003B6C29">
            <w:pPr>
              <w:bidi/>
              <w:jc w:val="center"/>
              <w:rPr>
                <w:rtl/>
                <w:lang w:val="en-US" w:eastAsia="en-CA" w:bidi="ar-AE"/>
              </w:rPr>
            </w:pPr>
            <w:r>
              <w:rPr>
                <w:rFonts w:hint="cs"/>
                <w:rtl/>
                <w:lang w:val="en-US" w:eastAsia="en-CA" w:bidi="ar-AE"/>
              </w:rPr>
              <w:t>2020</w:t>
            </w:r>
          </w:p>
        </w:tc>
        <w:tc>
          <w:tcPr>
            <w:tcW w:w="1275" w:type="dxa"/>
            <w:tcMar>
              <w:left w:w="72" w:type="dxa"/>
              <w:right w:w="72" w:type="dxa"/>
            </w:tcMar>
            <w:hideMark/>
          </w:tcPr>
          <w:p w14:paraId="26175AD3" w14:textId="1C99B083" w:rsidR="003B6C29" w:rsidRPr="003B6C29" w:rsidRDefault="003B6C29" w:rsidP="003B6C29">
            <w:pPr>
              <w:bidi/>
              <w:jc w:val="right"/>
              <w:rPr>
                <w:rtl/>
                <w:lang w:val="en-US" w:eastAsia="en-CA" w:bidi="ar-AE"/>
              </w:rPr>
            </w:pPr>
            <w:r>
              <w:rPr>
                <w:rFonts w:hint="cs"/>
                <w:rtl/>
                <w:lang w:val="en-US" w:eastAsia="en-CA" w:bidi="ar-AE"/>
              </w:rPr>
              <w:t>30,100</w:t>
            </w:r>
          </w:p>
        </w:tc>
        <w:tc>
          <w:tcPr>
            <w:tcW w:w="3220" w:type="dxa"/>
            <w:tcMar>
              <w:left w:w="72" w:type="dxa"/>
              <w:right w:w="72" w:type="dxa"/>
            </w:tcMar>
            <w:hideMark/>
          </w:tcPr>
          <w:p w14:paraId="690428EA" w14:textId="5477758E" w:rsidR="00600E2F" w:rsidRPr="009E5AF2" w:rsidRDefault="00600E2F" w:rsidP="00600E2F">
            <w:pPr>
              <w:bidi/>
              <w:jc w:val="left"/>
              <w:rPr>
                <w:rtl/>
                <w:lang w:eastAsia="en-CA" w:bidi="ar-AE"/>
              </w:rPr>
            </w:pPr>
            <w:r w:rsidRPr="00600E2F">
              <w:rPr>
                <w:rtl/>
                <w:lang w:eastAsia="en-CA" w:bidi="ar-AE"/>
              </w:rPr>
              <w:t>تفشي جائحة كوفيد-19/ صعوبات داخلية أو خارجية/ الوضع السياسي أو القضايا الأمنية</w:t>
            </w:r>
          </w:p>
        </w:tc>
        <w:tc>
          <w:tcPr>
            <w:tcW w:w="6095" w:type="dxa"/>
            <w:vMerge w:val="restart"/>
            <w:tcMar>
              <w:left w:w="72" w:type="dxa"/>
              <w:right w:w="72" w:type="dxa"/>
            </w:tcMar>
          </w:tcPr>
          <w:p w14:paraId="5FA29829" w14:textId="7696523F" w:rsidR="00600E2F" w:rsidRPr="00600E2F" w:rsidRDefault="00CF086F" w:rsidP="008162C9">
            <w:pPr>
              <w:bidi/>
              <w:rPr>
                <w:lang w:val="en-US" w:eastAsia="en-CA"/>
              </w:rPr>
            </w:pPr>
            <w:r w:rsidRPr="00CF086F">
              <w:rPr>
                <w:rtl/>
                <w:lang w:val="en-US" w:eastAsia="en-CA"/>
              </w:rPr>
              <w:t xml:space="preserve">ملاحظة أن التأخيرات ناجمةٌ </w:t>
            </w:r>
            <w:r w:rsidR="008162C9" w:rsidRPr="008162C9">
              <w:rPr>
                <w:rtl/>
                <w:lang w:val="en-US" w:eastAsia="en-CA"/>
              </w:rPr>
              <w:t>عن القيود التي فرضتها جائحة كوفيد-19</w:t>
            </w:r>
            <w:r w:rsidR="008162C9">
              <w:rPr>
                <w:rFonts w:hint="cs"/>
                <w:rtl/>
                <w:lang w:val="en-US" w:eastAsia="en-CA"/>
              </w:rPr>
              <w:t>،</w:t>
            </w:r>
            <w:r w:rsidR="008162C9" w:rsidRPr="008162C9">
              <w:rPr>
                <w:rtl/>
                <w:lang w:val="en-US" w:eastAsia="en-CA"/>
              </w:rPr>
              <w:t xml:space="preserve"> وعدم تقديم التقارير المرحلية والمالية، وحث حكومة مالي على العمل مع اليونيب لتقديم التقارير المرحلية والمالية المطلوبة، ومع اليوئنديبي واليونيب بحيث يمكن تقديم الشريحة الخامسة (2020) إلى الاجتماع التسعين مشفوعةً بخطة عمل منقحة لمراعاةِ إعادة تخصيص شريحة 2020.</w:t>
            </w:r>
          </w:p>
        </w:tc>
      </w:tr>
      <w:tr w:rsidR="00D24450" w:rsidRPr="009E5AF2" w14:paraId="05AA6120" w14:textId="77777777" w:rsidTr="00BB3817">
        <w:tc>
          <w:tcPr>
            <w:tcW w:w="1560" w:type="dxa"/>
            <w:vMerge/>
            <w:tcMar>
              <w:left w:w="72" w:type="dxa"/>
              <w:right w:w="72" w:type="dxa"/>
            </w:tcMar>
            <w:hideMark/>
          </w:tcPr>
          <w:p w14:paraId="4D0BEBCD" w14:textId="77777777" w:rsidR="00D24450" w:rsidRPr="009E5AF2" w:rsidRDefault="00D24450" w:rsidP="009E5AF2">
            <w:pPr>
              <w:bidi/>
              <w:jc w:val="left"/>
              <w:rPr>
                <w:lang w:eastAsia="en-CA"/>
              </w:rPr>
            </w:pPr>
          </w:p>
        </w:tc>
        <w:tc>
          <w:tcPr>
            <w:tcW w:w="1276" w:type="dxa"/>
            <w:tcMar>
              <w:left w:w="72" w:type="dxa"/>
              <w:right w:w="72" w:type="dxa"/>
            </w:tcMar>
            <w:hideMark/>
          </w:tcPr>
          <w:p w14:paraId="5D6206E4" w14:textId="4CFA11F5" w:rsidR="00D24450" w:rsidRPr="009E5AF2" w:rsidRDefault="00E43DB8" w:rsidP="009E5AF2">
            <w:pPr>
              <w:bidi/>
              <w:jc w:val="left"/>
              <w:rPr>
                <w:rtl/>
                <w:lang w:eastAsia="en-CA" w:bidi="ar-AE"/>
              </w:rPr>
            </w:pPr>
            <w:r w:rsidRPr="00E43DB8">
              <w:rPr>
                <w:rtl/>
                <w:lang w:eastAsia="en-CA"/>
              </w:rPr>
              <w:t>اليونيب</w:t>
            </w:r>
          </w:p>
        </w:tc>
        <w:tc>
          <w:tcPr>
            <w:tcW w:w="879" w:type="dxa"/>
            <w:tcMar>
              <w:left w:w="72" w:type="dxa"/>
              <w:right w:w="72" w:type="dxa"/>
            </w:tcMar>
            <w:hideMark/>
          </w:tcPr>
          <w:p w14:paraId="14AF367E" w14:textId="17933DB9" w:rsidR="003B6C29" w:rsidRPr="003B6C29" w:rsidRDefault="003B6C29" w:rsidP="003B6C29">
            <w:pPr>
              <w:bidi/>
              <w:jc w:val="center"/>
              <w:rPr>
                <w:rtl/>
                <w:lang w:val="en-US" w:eastAsia="en-CA" w:bidi="ar-AE"/>
              </w:rPr>
            </w:pPr>
            <w:r>
              <w:rPr>
                <w:rFonts w:hint="cs"/>
                <w:rtl/>
                <w:lang w:val="en-US" w:eastAsia="en-CA" w:bidi="ar-AE"/>
              </w:rPr>
              <w:t>2020</w:t>
            </w:r>
          </w:p>
        </w:tc>
        <w:tc>
          <w:tcPr>
            <w:tcW w:w="1275" w:type="dxa"/>
            <w:tcMar>
              <w:left w:w="72" w:type="dxa"/>
              <w:right w:w="72" w:type="dxa"/>
            </w:tcMar>
            <w:hideMark/>
          </w:tcPr>
          <w:p w14:paraId="20CA3533" w14:textId="51A8C50B" w:rsidR="003B6C29" w:rsidRPr="003B6C29" w:rsidRDefault="003B6C29" w:rsidP="003B6C29">
            <w:pPr>
              <w:bidi/>
              <w:jc w:val="right"/>
              <w:rPr>
                <w:rtl/>
                <w:lang w:val="en-US" w:eastAsia="en-CA" w:bidi="ar-AE"/>
              </w:rPr>
            </w:pPr>
            <w:r>
              <w:rPr>
                <w:rFonts w:hint="cs"/>
                <w:rtl/>
                <w:lang w:val="en-US" w:eastAsia="en-CA" w:bidi="ar-AE"/>
              </w:rPr>
              <w:t>31,640</w:t>
            </w:r>
          </w:p>
        </w:tc>
        <w:tc>
          <w:tcPr>
            <w:tcW w:w="3220" w:type="dxa"/>
            <w:tcMar>
              <w:left w:w="72" w:type="dxa"/>
              <w:right w:w="72" w:type="dxa"/>
            </w:tcMar>
            <w:hideMark/>
          </w:tcPr>
          <w:p w14:paraId="0867AC90" w14:textId="1CDA90C1" w:rsidR="00600E2F" w:rsidRPr="00600E2F" w:rsidRDefault="00600E2F" w:rsidP="00600E2F">
            <w:pPr>
              <w:bidi/>
              <w:jc w:val="left"/>
              <w:rPr>
                <w:lang w:val="en-US" w:eastAsia="en-CA"/>
              </w:rPr>
            </w:pPr>
            <w:r w:rsidRPr="00600E2F">
              <w:rPr>
                <w:rtl/>
                <w:lang w:val="en-US" w:eastAsia="en-CA"/>
              </w:rPr>
              <w:t>تفشي جائحة كوفيد-19/ صعوبات داخلية أو خارجية/ تقديم تقارير مرحلية ومالية/ قرارات حكومية/ مصادقات/ تغييرات في وحدة الأوزون الوطنية</w:t>
            </w:r>
          </w:p>
        </w:tc>
        <w:tc>
          <w:tcPr>
            <w:tcW w:w="6095" w:type="dxa"/>
            <w:vMerge/>
            <w:tcMar>
              <w:left w:w="72" w:type="dxa"/>
              <w:right w:w="72" w:type="dxa"/>
            </w:tcMar>
          </w:tcPr>
          <w:p w14:paraId="0C53CB49" w14:textId="77777777" w:rsidR="00D24450" w:rsidRPr="009E5AF2" w:rsidRDefault="00D24450" w:rsidP="009E5AF2">
            <w:pPr>
              <w:bidi/>
              <w:jc w:val="left"/>
              <w:rPr>
                <w:lang w:eastAsia="en-CA"/>
              </w:rPr>
            </w:pPr>
          </w:p>
        </w:tc>
      </w:tr>
      <w:tr w:rsidR="003E0AEA" w:rsidRPr="009E5AF2" w14:paraId="6771FA1D" w14:textId="77777777" w:rsidTr="00BB3817">
        <w:tc>
          <w:tcPr>
            <w:tcW w:w="1560" w:type="dxa"/>
            <w:vMerge w:val="restart"/>
            <w:tcMar>
              <w:left w:w="72" w:type="dxa"/>
              <w:right w:w="72" w:type="dxa"/>
            </w:tcMar>
          </w:tcPr>
          <w:p w14:paraId="4D4E4499" w14:textId="77777777" w:rsidR="003E0AEA" w:rsidRDefault="004C32BF" w:rsidP="009E5AF2">
            <w:pPr>
              <w:bidi/>
              <w:ind w:right="-131"/>
              <w:jc w:val="left"/>
              <w:rPr>
                <w:rtl/>
                <w:lang w:eastAsia="en-CA"/>
              </w:rPr>
            </w:pPr>
            <w:r>
              <w:rPr>
                <w:rFonts w:hint="cs"/>
                <w:rtl/>
                <w:lang w:eastAsia="en-CA"/>
              </w:rPr>
              <w:t>المكسيك</w:t>
            </w:r>
          </w:p>
          <w:p w14:paraId="745CC58A" w14:textId="1E02F02C" w:rsidR="004C32BF" w:rsidRPr="009E5AF2" w:rsidRDefault="004C32BF" w:rsidP="004C32BF">
            <w:pPr>
              <w:bidi/>
              <w:ind w:right="-131"/>
              <w:jc w:val="left"/>
              <w:rPr>
                <w:lang w:eastAsia="en-CA"/>
              </w:rPr>
            </w:pPr>
            <w:r>
              <w:rPr>
                <w:rFonts w:hint="cs"/>
                <w:rtl/>
                <w:lang w:eastAsia="en-CA"/>
              </w:rPr>
              <w:t>(المرحلة الثانية)</w:t>
            </w:r>
          </w:p>
        </w:tc>
        <w:tc>
          <w:tcPr>
            <w:tcW w:w="1276" w:type="dxa"/>
            <w:tcMar>
              <w:left w:w="72" w:type="dxa"/>
              <w:right w:w="72" w:type="dxa"/>
            </w:tcMar>
          </w:tcPr>
          <w:p w14:paraId="261332D3" w14:textId="736AB689" w:rsidR="003E0AEA" w:rsidRPr="009E5AF2" w:rsidRDefault="004C32BF" w:rsidP="009E5AF2">
            <w:pPr>
              <w:bidi/>
              <w:jc w:val="left"/>
              <w:rPr>
                <w:lang w:eastAsia="en-CA"/>
              </w:rPr>
            </w:pPr>
            <w:r w:rsidRPr="004C32BF">
              <w:rPr>
                <w:rtl/>
                <w:lang w:eastAsia="en-CA"/>
              </w:rPr>
              <w:t>اليونيب</w:t>
            </w:r>
          </w:p>
        </w:tc>
        <w:tc>
          <w:tcPr>
            <w:tcW w:w="879" w:type="dxa"/>
            <w:tcMar>
              <w:left w:w="72" w:type="dxa"/>
              <w:right w:w="72" w:type="dxa"/>
            </w:tcMar>
          </w:tcPr>
          <w:p w14:paraId="49918D83" w14:textId="0D827EDE" w:rsidR="004C32BF" w:rsidRPr="009E5AF2" w:rsidRDefault="004C32BF" w:rsidP="004C32BF">
            <w:pPr>
              <w:bidi/>
              <w:jc w:val="center"/>
              <w:rPr>
                <w:rtl/>
                <w:lang w:eastAsia="en-CA" w:bidi="ar-AE"/>
              </w:rPr>
            </w:pPr>
            <w:r>
              <w:rPr>
                <w:rFonts w:hint="cs"/>
                <w:rtl/>
                <w:lang w:eastAsia="en-CA" w:bidi="ar-AE"/>
              </w:rPr>
              <w:t>2020</w:t>
            </w:r>
          </w:p>
        </w:tc>
        <w:tc>
          <w:tcPr>
            <w:tcW w:w="1275" w:type="dxa"/>
            <w:tcMar>
              <w:left w:w="72" w:type="dxa"/>
              <w:right w:w="72" w:type="dxa"/>
            </w:tcMar>
          </w:tcPr>
          <w:p w14:paraId="6FEEB1A7" w14:textId="56E356B0" w:rsidR="004C32BF" w:rsidRPr="004C32BF" w:rsidRDefault="004C32BF" w:rsidP="004C32BF">
            <w:pPr>
              <w:bidi/>
              <w:jc w:val="right"/>
              <w:rPr>
                <w:rtl/>
                <w:lang w:val="en-US" w:eastAsia="en-CA" w:bidi="ar-AE"/>
              </w:rPr>
            </w:pPr>
            <w:r>
              <w:rPr>
                <w:rFonts w:hint="cs"/>
                <w:rtl/>
                <w:lang w:val="en-US" w:eastAsia="en-CA" w:bidi="ar-AE"/>
              </w:rPr>
              <w:t>45,200</w:t>
            </w:r>
          </w:p>
        </w:tc>
        <w:tc>
          <w:tcPr>
            <w:tcW w:w="3220" w:type="dxa"/>
            <w:tcMar>
              <w:left w:w="72" w:type="dxa"/>
              <w:right w:w="72" w:type="dxa"/>
            </w:tcMar>
          </w:tcPr>
          <w:p w14:paraId="3322566B" w14:textId="2EA793A3" w:rsidR="004C32BF" w:rsidRPr="009E5AF2" w:rsidRDefault="004C32BF" w:rsidP="004C32BF">
            <w:pPr>
              <w:bidi/>
              <w:rPr>
                <w:rtl/>
                <w:lang w:bidi="ar-AE"/>
              </w:rPr>
            </w:pPr>
            <w:r w:rsidRPr="004C32BF">
              <w:rPr>
                <w:rtl/>
                <w:lang w:bidi="ar-AE"/>
              </w:rPr>
              <w:t>20 في المائة من عتبة الصرف</w:t>
            </w:r>
          </w:p>
        </w:tc>
        <w:tc>
          <w:tcPr>
            <w:tcW w:w="6095" w:type="dxa"/>
            <w:vMerge w:val="restart"/>
            <w:tcMar>
              <w:left w:w="72" w:type="dxa"/>
              <w:right w:w="72" w:type="dxa"/>
            </w:tcMar>
          </w:tcPr>
          <w:p w14:paraId="475A1F5C" w14:textId="3EFE389D" w:rsidR="00FF2AFB" w:rsidRPr="009E5AF2" w:rsidRDefault="00FF2AFB" w:rsidP="00FF2AFB">
            <w:pPr>
              <w:bidi/>
              <w:rPr>
                <w:rtl/>
                <w:lang w:bidi="ar-AE"/>
              </w:rPr>
            </w:pPr>
            <w:r>
              <w:rPr>
                <w:rFonts w:hint="cs"/>
                <w:rtl/>
                <w:lang w:bidi="ar-AE"/>
              </w:rPr>
              <w:t xml:space="preserve">ملاحظة </w:t>
            </w:r>
            <w:r w:rsidRPr="00FF2AFB">
              <w:rPr>
                <w:rtl/>
                <w:lang w:bidi="ar-AE"/>
              </w:rPr>
              <w:t xml:space="preserve">أن الشريحة الرابعة (2020) من المرحلة الثانية من خطة إدارة إزالة المواد الهيدروكلوروفلوروكربونية المقدمة إلى الاجتماع الثامن والثمانين قد تم سحبها لأن معدل الصرف الإجمالي للشريحة الثالثة (2018) من خطة إدارة إزالة المواد الهيدروكلوروفلوروكربونية كان أقل من عتبة الصرف البالغة 20 في المائة، وحث حكومة المكسيك على العمل مع اليونيدو للإسراع بتنفيذ الشريحة الثالثة (2018) من المرحلة الثانية ومع اليونيب واليونيدو بحيث يمكن تقديم الشريحة الرابعة (2020) من المرحلة الثانية إلى الاجتماع التسعين مشفوعةً بخطة عمل منقحة لمراعاة إعادة تخصيص شريحة 2020 والشرائح اللاحقة، على أساس </w:t>
            </w:r>
            <w:r>
              <w:rPr>
                <w:rFonts w:hint="cs"/>
                <w:rtl/>
                <w:lang w:bidi="ar-AE"/>
              </w:rPr>
              <w:t>تفهم</w:t>
            </w:r>
            <w:r w:rsidRPr="00FF2AFB">
              <w:rPr>
                <w:rtl/>
                <w:lang w:bidi="ar-AE"/>
              </w:rPr>
              <w:t xml:space="preserve"> أن عتبة الصرف البالغة 20 في المائة لتمويل الشريحة السابقة قد تحققت وأن مسألة تطبيق الإعفاء الضريبي على جميع المعدات المقدمة في إطار الصندوق المتعدد الأطراف قد تم حلها.</w:t>
            </w:r>
          </w:p>
        </w:tc>
      </w:tr>
      <w:tr w:rsidR="003E0AEA" w:rsidRPr="009E5AF2" w14:paraId="0C139E66" w14:textId="77777777" w:rsidTr="00BB3817">
        <w:tc>
          <w:tcPr>
            <w:tcW w:w="1560" w:type="dxa"/>
            <w:vMerge/>
            <w:tcMar>
              <w:left w:w="72" w:type="dxa"/>
              <w:right w:w="72" w:type="dxa"/>
            </w:tcMar>
          </w:tcPr>
          <w:p w14:paraId="1A9527BE" w14:textId="77777777" w:rsidR="003E0AEA" w:rsidRPr="009E5AF2" w:rsidRDefault="003E0AEA" w:rsidP="009E5AF2">
            <w:pPr>
              <w:bidi/>
              <w:ind w:right="-131"/>
              <w:jc w:val="left"/>
              <w:rPr>
                <w:lang w:eastAsia="en-CA"/>
              </w:rPr>
            </w:pPr>
          </w:p>
        </w:tc>
        <w:tc>
          <w:tcPr>
            <w:tcW w:w="1276" w:type="dxa"/>
            <w:tcMar>
              <w:left w:w="72" w:type="dxa"/>
              <w:right w:w="72" w:type="dxa"/>
            </w:tcMar>
          </w:tcPr>
          <w:p w14:paraId="67226B81" w14:textId="627314E7" w:rsidR="003E0AEA" w:rsidRPr="009E5AF2" w:rsidRDefault="00E43DB8" w:rsidP="009E5AF2">
            <w:pPr>
              <w:bidi/>
              <w:jc w:val="left"/>
              <w:rPr>
                <w:lang w:eastAsia="en-CA" w:bidi="ar-AE"/>
              </w:rPr>
            </w:pPr>
            <w:r w:rsidRPr="00E43DB8">
              <w:rPr>
                <w:rtl/>
                <w:lang w:eastAsia="en-CA"/>
              </w:rPr>
              <w:t>اليونيدو</w:t>
            </w:r>
          </w:p>
        </w:tc>
        <w:tc>
          <w:tcPr>
            <w:tcW w:w="879" w:type="dxa"/>
            <w:tcMar>
              <w:left w:w="72" w:type="dxa"/>
              <w:right w:w="72" w:type="dxa"/>
            </w:tcMar>
          </w:tcPr>
          <w:p w14:paraId="2E8318A5" w14:textId="530C41BB" w:rsidR="004C32BF" w:rsidRPr="004C32BF" w:rsidRDefault="004C32BF" w:rsidP="004C32BF">
            <w:pPr>
              <w:bidi/>
              <w:jc w:val="center"/>
              <w:rPr>
                <w:rtl/>
                <w:lang w:val="en-US" w:eastAsia="en-CA" w:bidi="ar-AE"/>
              </w:rPr>
            </w:pPr>
            <w:r>
              <w:rPr>
                <w:rFonts w:hint="cs"/>
                <w:rtl/>
                <w:lang w:val="en-US" w:eastAsia="en-CA" w:bidi="ar-AE"/>
              </w:rPr>
              <w:t>2020</w:t>
            </w:r>
          </w:p>
        </w:tc>
        <w:tc>
          <w:tcPr>
            <w:tcW w:w="1275" w:type="dxa"/>
            <w:tcMar>
              <w:left w:w="72" w:type="dxa"/>
              <w:right w:w="72" w:type="dxa"/>
            </w:tcMar>
          </w:tcPr>
          <w:p w14:paraId="7655312E" w14:textId="3AFAA876" w:rsidR="004C32BF" w:rsidRPr="004C32BF" w:rsidRDefault="004C32BF" w:rsidP="004C32BF">
            <w:pPr>
              <w:bidi/>
              <w:jc w:val="right"/>
              <w:rPr>
                <w:rtl/>
                <w:lang w:val="en-US" w:eastAsia="en-CA" w:bidi="ar-AE"/>
              </w:rPr>
            </w:pPr>
            <w:r>
              <w:rPr>
                <w:rFonts w:hint="cs"/>
                <w:rtl/>
                <w:lang w:val="en-US" w:eastAsia="en-CA" w:bidi="ar-AE"/>
              </w:rPr>
              <w:t>1,725,215</w:t>
            </w:r>
          </w:p>
        </w:tc>
        <w:tc>
          <w:tcPr>
            <w:tcW w:w="3220" w:type="dxa"/>
            <w:tcMar>
              <w:left w:w="72" w:type="dxa"/>
              <w:right w:w="72" w:type="dxa"/>
            </w:tcMar>
          </w:tcPr>
          <w:p w14:paraId="3D4C973D" w14:textId="137EFDDA" w:rsidR="004C32BF" w:rsidRPr="004C32BF" w:rsidRDefault="004C32BF" w:rsidP="004C32BF">
            <w:pPr>
              <w:bidi/>
              <w:jc w:val="left"/>
              <w:rPr>
                <w:lang w:val="en-US"/>
              </w:rPr>
            </w:pPr>
            <w:r w:rsidRPr="004C32BF">
              <w:rPr>
                <w:rtl/>
                <w:lang w:val="en-US"/>
              </w:rPr>
              <w:t>20 في المائة من عتبة الصرف ناجمة عن التأخير في الحصول على إعفاء من رسوم الاستيراد على المعدات المشتراة</w:t>
            </w:r>
            <w:r>
              <w:rPr>
                <w:rFonts w:hint="cs"/>
                <w:rtl/>
                <w:lang w:val="en-US"/>
              </w:rPr>
              <w:t xml:space="preserve"> </w:t>
            </w:r>
          </w:p>
        </w:tc>
        <w:tc>
          <w:tcPr>
            <w:tcW w:w="6095" w:type="dxa"/>
            <w:vMerge/>
            <w:tcMar>
              <w:left w:w="72" w:type="dxa"/>
              <w:right w:w="72" w:type="dxa"/>
            </w:tcMar>
          </w:tcPr>
          <w:p w14:paraId="3E52DDCC" w14:textId="77777777" w:rsidR="003E0AEA" w:rsidRPr="009E5AF2" w:rsidRDefault="003E0AEA" w:rsidP="009E5AF2">
            <w:pPr>
              <w:bidi/>
              <w:jc w:val="left"/>
            </w:pPr>
          </w:p>
        </w:tc>
      </w:tr>
      <w:tr w:rsidR="00715B76" w:rsidRPr="009E5AF2" w14:paraId="3A8B1341" w14:textId="77777777" w:rsidTr="00BB3817">
        <w:tc>
          <w:tcPr>
            <w:tcW w:w="1560" w:type="dxa"/>
            <w:tcMar>
              <w:left w:w="72" w:type="dxa"/>
              <w:right w:w="72" w:type="dxa"/>
            </w:tcMar>
          </w:tcPr>
          <w:p w14:paraId="67B066E0" w14:textId="34934773" w:rsidR="00715B76" w:rsidRPr="009E5AF2" w:rsidRDefault="00F20FB6" w:rsidP="009E5AF2">
            <w:pPr>
              <w:bidi/>
              <w:ind w:right="-131"/>
              <w:jc w:val="left"/>
              <w:rPr>
                <w:rtl/>
                <w:lang w:eastAsia="en-CA" w:bidi="ar-AE"/>
              </w:rPr>
            </w:pPr>
            <w:r w:rsidRPr="00F20FB6">
              <w:rPr>
                <w:rtl/>
                <w:lang w:eastAsia="en-CA"/>
              </w:rPr>
              <w:t>موزامبيق</w:t>
            </w:r>
          </w:p>
        </w:tc>
        <w:tc>
          <w:tcPr>
            <w:tcW w:w="1276" w:type="dxa"/>
            <w:tcMar>
              <w:left w:w="72" w:type="dxa"/>
              <w:right w:w="72" w:type="dxa"/>
            </w:tcMar>
          </w:tcPr>
          <w:p w14:paraId="75678593" w14:textId="52765A11" w:rsidR="00715B76" w:rsidRPr="009E5AF2" w:rsidRDefault="00F20FB6" w:rsidP="009E5AF2">
            <w:pPr>
              <w:bidi/>
              <w:jc w:val="left"/>
              <w:rPr>
                <w:lang w:eastAsia="en-CA"/>
              </w:rPr>
            </w:pPr>
            <w:r w:rsidRPr="00F20FB6">
              <w:rPr>
                <w:rtl/>
                <w:lang w:eastAsia="en-CA"/>
              </w:rPr>
              <w:t>اليونيب</w:t>
            </w:r>
          </w:p>
        </w:tc>
        <w:tc>
          <w:tcPr>
            <w:tcW w:w="879" w:type="dxa"/>
            <w:tcMar>
              <w:left w:w="72" w:type="dxa"/>
              <w:right w:w="72" w:type="dxa"/>
            </w:tcMar>
          </w:tcPr>
          <w:p w14:paraId="1F7C4F51" w14:textId="6C8617EE" w:rsidR="00F20FB6" w:rsidRPr="009E5AF2" w:rsidRDefault="00F20FB6" w:rsidP="00F20FB6">
            <w:pPr>
              <w:bidi/>
              <w:jc w:val="center"/>
              <w:rPr>
                <w:rtl/>
                <w:lang w:eastAsia="en-CA" w:bidi="ar-AE"/>
              </w:rPr>
            </w:pPr>
            <w:r>
              <w:rPr>
                <w:rFonts w:hint="cs"/>
                <w:rtl/>
                <w:lang w:eastAsia="en-CA" w:bidi="ar-AE"/>
              </w:rPr>
              <w:t>2020</w:t>
            </w:r>
          </w:p>
        </w:tc>
        <w:tc>
          <w:tcPr>
            <w:tcW w:w="1275" w:type="dxa"/>
            <w:tcMar>
              <w:left w:w="72" w:type="dxa"/>
              <w:right w:w="72" w:type="dxa"/>
            </w:tcMar>
          </w:tcPr>
          <w:p w14:paraId="7EFB9417" w14:textId="31037253" w:rsidR="00F20FB6" w:rsidRPr="00F20FB6" w:rsidRDefault="00F20FB6" w:rsidP="00F20FB6">
            <w:pPr>
              <w:bidi/>
              <w:jc w:val="right"/>
              <w:rPr>
                <w:rtl/>
                <w:lang w:val="en-US" w:eastAsia="en-CA" w:bidi="ar-AE"/>
              </w:rPr>
            </w:pPr>
            <w:r>
              <w:rPr>
                <w:rFonts w:hint="cs"/>
                <w:rtl/>
                <w:lang w:val="en-US" w:eastAsia="en-CA" w:bidi="ar-AE"/>
              </w:rPr>
              <w:t>33,900</w:t>
            </w:r>
          </w:p>
        </w:tc>
        <w:tc>
          <w:tcPr>
            <w:tcW w:w="3220" w:type="dxa"/>
            <w:tcMar>
              <w:left w:w="72" w:type="dxa"/>
              <w:right w:w="72" w:type="dxa"/>
            </w:tcMar>
          </w:tcPr>
          <w:p w14:paraId="39E49F87" w14:textId="3B5E7556" w:rsidR="00715B76" w:rsidRPr="009E5AF2" w:rsidRDefault="00F20FB6" w:rsidP="009E5AF2">
            <w:pPr>
              <w:bidi/>
              <w:jc w:val="left"/>
              <w:rPr>
                <w:lang w:eastAsia="en-CA" w:bidi="ar-AE"/>
              </w:rPr>
            </w:pPr>
            <w:r>
              <w:rPr>
                <w:rFonts w:hint="cs"/>
                <w:rtl/>
              </w:rPr>
              <w:t>20</w:t>
            </w:r>
            <w:r w:rsidRPr="00F20FB6">
              <w:rPr>
                <w:rtl/>
              </w:rPr>
              <w:t xml:space="preserve"> في المائة من عتبة الصرف</w:t>
            </w:r>
          </w:p>
        </w:tc>
        <w:tc>
          <w:tcPr>
            <w:tcW w:w="6095" w:type="dxa"/>
            <w:tcMar>
              <w:left w:w="72" w:type="dxa"/>
              <w:right w:w="72" w:type="dxa"/>
            </w:tcMar>
          </w:tcPr>
          <w:p w14:paraId="12C8C06F" w14:textId="7FB65CDE" w:rsidR="001E1558" w:rsidRPr="009E5AF2" w:rsidRDefault="001E1558" w:rsidP="001E1558">
            <w:pPr>
              <w:bidi/>
              <w:rPr>
                <w:rtl/>
                <w:lang w:bidi="ar-AE"/>
              </w:rPr>
            </w:pPr>
            <w:r>
              <w:rPr>
                <w:rFonts w:hint="cs"/>
                <w:rtl/>
                <w:lang w:bidi="ar-AE"/>
              </w:rPr>
              <w:t xml:space="preserve">ملاحظة </w:t>
            </w:r>
            <w:r w:rsidRPr="001E1558">
              <w:rPr>
                <w:rtl/>
                <w:lang w:bidi="ar-AE"/>
              </w:rPr>
              <w:t xml:space="preserve">أن الشريحة الخامسة (2020) من المرحلة الأولى من خطة إدارة إزالة المواد الهيدروكلوروفلوروكربونية المقدمة إلى الاجتماع الثامن والثمانين قد تم سحبها لأن معدلات الصرف للشريحتين الثالثة (2016) والرابعة (2018) كانت أقل من عتبة الصرف البالغة 20 في المائة، وحث حكومة موزمبيق على العمل مع اليونيب للإسراع بتنفيذ الشريحتين الثالثة (2016) والرابعة (2018) من المرحلة الأولى بحيث يمكن تقديم الشريحة الخامسة (2020) إلى الاجتماع التسعين مشفوعةً بخطة عمل منقحة لمراعاةِ إعادة تخصيص شريحة 2020، على أساس </w:t>
            </w:r>
            <w:r>
              <w:rPr>
                <w:rFonts w:hint="cs"/>
                <w:rtl/>
                <w:lang w:bidi="ar-AE"/>
              </w:rPr>
              <w:t>تفهم</w:t>
            </w:r>
            <w:r w:rsidRPr="001E1558">
              <w:rPr>
                <w:rtl/>
                <w:lang w:bidi="ar-AE"/>
              </w:rPr>
              <w:t xml:space="preserve"> أن عتبة الصرف البالغة 20 في المائة لتمويل الشرائح السابقة قد تحققت.</w:t>
            </w:r>
          </w:p>
        </w:tc>
      </w:tr>
      <w:tr w:rsidR="00747D2E" w:rsidRPr="009E5AF2" w14:paraId="729DF37F" w14:textId="77777777" w:rsidTr="00BB3817">
        <w:tc>
          <w:tcPr>
            <w:tcW w:w="1560" w:type="dxa"/>
            <w:tcMar>
              <w:left w:w="72" w:type="dxa"/>
              <w:right w:w="72" w:type="dxa"/>
            </w:tcMar>
          </w:tcPr>
          <w:p w14:paraId="1A72DAEB" w14:textId="77777777" w:rsidR="00A14682" w:rsidRDefault="00A14682" w:rsidP="009E5AF2">
            <w:pPr>
              <w:bidi/>
              <w:ind w:right="-131"/>
              <w:jc w:val="left"/>
              <w:rPr>
                <w:rtl/>
                <w:lang w:eastAsia="en-CA"/>
              </w:rPr>
            </w:pPr>
            <w:r w:rsidRPr="00A14682">
              <w:rPr>
                <w:rtl/>
                <w:lang w:eastAsia="en-CA"/>
              </w:rPr>
              <w:t>سانت كيتس ونيفس</w:t>
            </w:r>
          </w:p>
          <w:p w14:paraId="046E6F8C" w14:textId="527B0402" w:rsidR="00747D2E" w:rsidRPr="009E5AF2" w:rsidRDefault="00A14682" w:rsidP="00A14682">
            <w:pPr>
              <w:bidi/>
              <w:ind w:right="-131"/>
              <w:jc w:val="left"/>
              <w:rPr>
                <w:rtl/>
                <w:lang w:eastAsia="en-CA" w:bidi="ar-AE"/>
              </w:rPr>
            </w:pPr>
            <w:r>
              <w:rPr>
                <w:rFonts w:hint="cs"/>
                <w:rtl/>
                <w:lang w:eastAsia="en-CA"/>
              </w:rPr>
              <w:t>(المرحلة الأولى)</w:t>
            </w:r>
          </w:p>
        </w:tc>
        <w:tc>
          <w:tcPr>
            <w:tcW w:w="1276" w:type="dxa"/>
            <w:tcMar>
              <w:left w:w="72" w:type="dxa"/>
              <w:right w:w="72" w:type="dxa"/>
            </w:tcMar>
          </w:tcPr>
          <w:p w14:paraId="47C129B6" w14:textId="22D68D97" w:rsidR="00747D2E" w:rsidRPr="009E5AF2" w:rsidRDefault="00A14682" w:rsidP="009E5AF2">
            <w:pPr>
              <w:bidi/>
              <w:jc w:val="left"/>
              <w:rPr>
                <w:rtl/>
                <w:lang w:eastAsia="en-CA" w:bidi="ar-AE"/>
              </w:rPr>
            </w:pPr>
            <w:r w:rsidRPr="00A14682">
              <w:rPr>
                <w:rtl/>
                <w:lang w:eastAsia="en-CA"/>
              </w:rPr>
              <w:t xml:space="preserve">اليونيب </w:t>
            </w:r>
          </w:p>
        </w:tc>
        <w:tc>
          <w:tcPr>
            <w:tcW w:w="879" w:type="dxa"/>
            <w:tcMar>
              <w:left w:w="72" w:type="dxa"/>
              <w:right w:w="72" w:type="dxa"/>
            </w:tcMar>
          </w:tcPr>
          <w:p w14:paraId="5869FB84" w14:textId="72E5E93A" w:rsidR="00A14682" w:rsidRPr="00A14682" w:rsidRDefault="00A14682" w:rsidP="00A14682">
            <w:pPr>
              <w:bidi/>
              <w:jc w:val="center"/>
              <w:rPr>
                <w:rtl/>
                <w:lang w:val="en-US" w:eastAsia="en-CA" w:bidi="ar-AE"/>
              </w:rPr>
            </w:pPr>
            <w:r>
              <w:rPr>
                <w:rFonts w:hint="cs"/>
                <w:rtl/>
                <w:lang w:val="en-US" w:eastAsia="en-CA" w:bidi="ar-AE"/>
              </w:rPr>
              <w:t>2020</w:t>
            </w:r>
          </w:p>
        </w:tc>
        <w:tc>
          <w:tcPr>
            <w:tcW w:w="1275" w:type="dxa"/>
            <w:tcMar>
              <w:left w:w="72" w:type="dxa"/>
              <w:right w:w="72" w:type="dxa"/>
            </w:tcMar>
          </w:tcPr>
          <w:p w14:paraId="74E2CCF8" w14:textId="182AB136" w:rsidR="00A14682" w:rsidRPr="00A14682" w:rsidRDefault="00A14682" w:rsidP="00A14682">
            <w:pPr>
              <w:bidi/>
              <w:jc w:val="right"/>
              <w:rPr>
                <w:rtl/>
                <w:lang w:val="en-US" w:eastAsia="en-CA" w:bidi="ar-AE"/>
              </w:rPr>
            </w:pPr>
            <w:r>
              <w:rPr>
                <w:rFonts w:hint="cs"/>
                <w:rtl/>
                <w:lang w:val="en-US" w:eastAsia="en-CA" w:bidi="ar-AE"/>
              </w:rPr>
              <w:t>19,097</w:t>
            </w:r>
          </w:p>
        </w:tc>
        <w:tc>
          <w:tcPr>
            <w:tcW w:w="3220" w:type="dxa"/>
            <w:tcMar>
              <w:left w:w="72" w:type="dxa"/>
              <w:right w:w="72" w:type="dxa"/>
            </w:tcMar>
          </w:tcPr>
          <w:p w14:paraId="567E42E9" w14:textId="08AE015D" w:rsidR="008700A9" w:rsidRPr="009E5AF2" w:rsidRDefault="008700A9" w:rsidP="008700A9">
            <w:pPr>
              <w:bidi/>
              <w:jc w:val="left"/>
            </w:pPr>
            <w:r w:rsidRPr="008700A9">
              <w:rPr>
                <w:rtl/>
              </w:rPr>
              <w:t>تفشي جائحة كوفيد-19/ عدم وجود تقرير التحقق/ توفر أموال كافية من الشريحة السابقة المعتمدة/ تقديم تقارير مرحلية ومالية/ قرارات حكومية/ مصادقات/ تغييرات في وحدة الأوزون الوطنية</w:t>
            </w:r>
          </w:p>
        </w:tc>
        <w:tc>
          <w:tcPr>
            <w:tcW w:w="6095" w:type="dxa"/>
            <w:tcMar>
              <w:left w:w="72" w:type="dxa"/>
              <w:right w:w="72" w:type="dxa"/>
            </w:tcMar>
          </w:tcPr>
          <w:p w14:paraId="44D9CD18" w14:textId="067114BA" w:rsidR="00B11C77" w:rsidRPr="00B11C77" w:rsidRDefault="00CF086F" w:rsidP="00B11C77">
            <w:pPr>
              <w:bidi/>
              <w:rPr>
                <w:lang w:val="en-US"/>
              </w:rPr>
            </w:pPr>
            <w:r w:rsidRPr="00CF086F">
              <w:rPr>
                <w:rtl/>
                <w:lang w:val="en-US"/>
              </w:rPr>
              <w:t xml:space="preserve">ملاحظة أن التأخيرات ناجمةٌ </w:t>
            </w:r>
            <w:r w:rsidR="00B11C77" w:rsidRPr="00B11C77">
              <w:rPr>
                <w:rtl/>
                <w:lang w:val="en-US"/>
              </w:rPr>
              <w:t>عن عدم تقديم التقارير المرحلية والمالية وعدم اكتمال التحقق الإلزامي من أهداف استهلاك المواد الهيدروكلوروفلوروكربونية، حث حكومة سانت كيتس ونيفيس على تقديم التقارير المرحلية والمالية المطلوبة والعمل مع اليونيب لإكمال التحقق بحيث يمكن تقديم الشريحة الثالثة (2020) من المرحلة الأولى من خطة إدارة إزالة المواد الهيدروكلوروفلوروكربونية إلى الاجتماع التسعين مشفوعةً بخطة عمل منقحة لمراعاة إعادة تخصيص شريحة 2020.</w:t>
            </w:r>
          </w:p>
        </w:tc>
      </w:tr>
      <w:tr w:rsidR="00747D2E" w:rsidRPr="009E5AF2" w14:paraId="0E4AB815" w14:textId="77777777" w:rsidTr="00BB3817">
        <w:tc>
          <w:tcPr>
            <w:tcW w:w="1560" w:type="dxa"/>
            <w:tcMar>
              <w:left w:w="72" w:type="dxa"/>
              <w:right w:w="72" w:type="dxa"/>
            </w:tcMar>
          </w:tcPr>
          <w:p w14:paraId="551021E8" w14:textId="77777777" w:rsidR="00747D2E" w:rsidRDefault="008975B0" w:rsidP="009E5AF2">
            <w:pPr>
              <w:bidi/>
              <w:ind w:right="-131"/>
              <w:jc w:val="left"/>
              <w:rPr>
                <w:rtl/>
                <w:lang w:eastAsia="en-CA"/>
              </w:rPr>
            </w:pPr>
            <w:r>
              <w:rPr>
                <w:rFonts w:hint="cs"/>
                <w:rtl/>
                <w:lang w:eastAsia="en-CA"/>
              </w:rPr>
              <w:t>جنوب افريقيا</w:t>
            </w:r>
          </w:p>
          <w:p w14:paraId="309350EA" w14:textId="589FC91C" w:rsidR="008975B0" w:rsidRPr="009E5AF2" w:rsidRDefault="008975B0" w:rsidP="008975B0">
            <w:pPr>
              <w:bidi/>
              <w:ind w:right="-131"/>
              <w:jc w:val="left"/>
              <w:rPr>
                <w:lang w:eastAsia="en-CA"/>
              </w:rPr>
            </w:pPr>
            <w:r>
              <w:rPr>
                <w:rFonts w:hint="cs"/>
                <w:rtl/>
                <w:lang w:eastAsia="en-CA"/>
              </w:rPr>
              <w:t>(المرحلة الأولى)</w:t>
            </w:r>
          </w:p>
        </w:tc>
        <w:tc>
          <w:tcPr>
            <w:tcW w:w="1276" w:type="dxa"/>
            <w:tcMar>
              <w:left w:w="72" w:type="dxa"/>
              <w:right w:w="72" w:type="dxa"/>
            </w:tcMar>
          </w:tcPr>
          <w:p w14:paraId="1E93EB90" w14:textId="7682A784" w:rsidR="00747D2E" w:rsidRPr="009E5AF2" w:rsidRDefault="008975B0" w:rsidP="009E5AF2">
            <w:pPr>
              <w:bidi/>
              <w:ind w:right="-131"/>
              <w:jc w:val="left"/>
              <w:rPr>
                <w:lang w:eastAsia="en-CA"/>
              </w:rPr>
            </w:pPr>
            <w:r>
              <w:rPr>
                <w:rFonts w:hint="cs"/>
                <w:rtl/>
                <w:lang w:eastAsia="en-CA"/>
              </w:rPr>
              <w:t>اليونيدو</w:t>
            </w:r>
          </w:p>
        </w:tc>
        <w:tc>
          <w:tcPr>
            <w:tcW w:w="879" w:type="dxa"/>
            <w:tcMar>
              <w:left w:w="72" w:type="dxa"/>
              <w:right w:w="72" w:type="dxa"/>
            </w:tcMar>
          </w:tcPr>
          <w:p w14:paraId="2BC0C2E3" w14:textId="2BD240B8" w:rsidR="008975B0" w:rsidRPr="008975B0" w:rsidRDefault="008975B0" w:rsidP="008975B0">
            <w:pPr>
              <w:bidi/>
              <w:jc w:val="center"/>
              <w:rPr>
                <w:rtl/>
                <w:lang w:val="en-US" w:eastAsia="en-CA" w:bidi="ar-AE"/>
              </w:rPr>
            </w:pPr>
            <w:r>
              <w:rPr>
                <w:rFonts w:hint="cs"/>
                <w:rtl/>
                <w:lang w:val="en-US" w:eastAsia="en-CA" w:bidi="ar-AE"/>
              </w:rPr>
              <w:t>2018</w:t>
            </w:r>
          </w:p>
        </w:tc>
        <w:tc>
          <w:tcPr>
            <w:tcW w:w="1275" w:type="dxa"/>
            <w:tcMar>
              <w:left w:w="72" w:type="dxa"/>
              <w:right w:w="72" w:type="dxa"/>
            </w:tcMar>
          </w:tcPr>
          <w:p w14:paraId="1D01548F" w14:textId="3095B73B" w:rsidR="008975B0" w:rsidRPr="008975B0" w:rsidRDefault="008975B0" w:rsidP="008975B0">
            <w:pPr>
              <w:bidi/>
              <w:jc w:val="right"/>
              <w:rPr>
                <w:rtl/>
                <w:lang w:val="en-US" w:eastAsia="en-CA" w:bidi="ar-AE"/>
              </w:rPr>
            </w:pPr>
            <w:r>
              <w:rPr>
                <w:rFonts w:hint="cs"/>
                <w:rtl/>
                <w:lang w:val="en-US" w:eastAsia="en-CA" w:bidi="ar-AE"/>
              </w:rPr>
              <w:t>191,273</w:t>
            </w:r>
          </w:p>
        </w:tc>
        <w:tc>
          <w:tcPr>
            <w:tcW w:w="3220" w:type="dxa"/>
            <w:tcMar>
              <w:left w:w="72" w:type="dxa"/>
              <w:right w:w="72" w:type="dxa"/>
            </w:tcMar>
          </w:tcPr>
          <w:p w14:paraId="7885C994" w14:textId="76218F7F" w:rsidR="00D21BC5" w:rsidRPr="009E5AF2" w:rsidRDefault="00D21BC5" w:rsidP="00D21BC5">
            <w:pPr>
              <w:bidi/>
              <w:jc w:val="left"/>
              <w:rPr>
                <w:rtl/>
                <w:lang w:bidi="ar-AE"/>
              </w:rPr>
            </w:pPr>
            <w:r w:rsidRPr="00D21BC5">
              <w:rPr>
                <w:rtl/>
                <w:lang w:bidi="ar-AE"/>
              </w:rPr>
              <w:t>تفشي جائحة كوفيد-19/ صعوبات داخلية أو خارجية/ 20 في المائة من عتبة الصرف</w:t>
            </w:r>
          </w:p>
        </w:tc>
        <w:tc>
          <w:tcPr>
            <w:tcW w:w="6095" w:type="dxa"/>
            <w:tcMar>
              <w:left w:w="72" w:type="dxa"/>
              <w:right w:w="72" w:type="dxa"/>
            </w:tcMar>
          </w:tcPr>
          <w:p w14:paraId="3F933AFC" w14:textId="3AAE7850" w:rsidR="00D21BC5" w:rsidRPr="00D21BC5" w:rsidRDefault="00CF086F" w:rsidP="00D733F9">
            <w:pPr>
              <w:bidi/>
              <w:rPr>
                <w:lang w:val="en-US"/>
              </w:rPr>
            </w:pPr>
            <w:r w:rsidRPr="00CF086F">
              <w:rPr>
                <w:rtl/>
                <w:lang w:val="en-US"/>
              </w:rPr>
              <w:t xml:space="preserve">ملاحظة أن التأخيرات ناجمةٌ </w:t>
            </w:r>
            <w:r w:rsidR="00D733F9" w:rsidRPr="00D733F9">
              <w:rPr>
                <w:rtl/>
                <w:lang w:val="en-US"/>
              </w:rPr>
              <w:t>عن القيود التي فرضتها جائحة كوفيد-19</w:t>
            </w:r>
            <w:r w:rsidR="00D733F9">
              <w:rPr>
                <w:rFonts w:hint="cs"/>
                <w:rtl/>
                <w:lang w:val="en-US"/>
              </w:rPr>
              <w:t>،</w:t>
            </w:r>
            <w:r w:rsidR="00D733F9" w:rsidRPr="00D733F9">
              <w:rPr>
                <w:rtl/>
                <w:lang w:val="en-US"/>
              </w:rPr>
              <w:t xml:space="preserve"> وأن معدل الصرف الإجمالي للشريحة الرابعة (2016) من المرحلة الأولى من خطة إدارة إزالة المواد الهيدروكلوروفلوروكربونية كان أقل من عتبة الصرف البالغة 20 في المائة، وحث </w:t>
            </w:r>
            <w:r w:rsidR="00D733F9" w:rsidRPr="00D733F9">
              <w:rPr>
                <w:rtl/>
                <w:lang w:val="en-US"/>
              </w:rPr>
              <w:lastRenderedPageBreak/>
              <w:t xml:space="preserve">حكومة جنوب أفريقيا على العمل مع اليونيدو بحيث يمكن تقديم الشريحة الخامسة (2018) من المرحلة الأولى إلى الاجتماع التسعين مشفوعةً بخطة عمل منقحة لمراعاة إعادة تخصيص شريحة 2018، على أساس </w:t>
            </w:r>
            <w:r w:rsidR="00D733F9">
              <w:rPr>
                <w:rFonts w:hint="cs"/>
                <w:rtl/>
                <w:lang w:val="en-US"/>
              </w:rPr>
              <w:t>تفهم</w:t>
            </w:r>
            <w:r w:rsidR="00D733F9" w:rsidRPr="00D733F9">
              <w:rPr>
                <w:rtl/>
                <w:lang w:val="en-US"/>
              </w:rPr>
              <w:t xml:space="preserve"> أن عتبة الصرف البالغة 20 في المائة لتمويل الشريحة السابقة قد تحققت.</w:t>
            </w:r>
          </w:p>
        </w:tc>
      </w:tr>
      <w:tr w:rsidR="00F22052" w:rsidRPr="009E5AF2" w14:paraId="21CA789C" w14:textId="77777777" w:rsidTr="00BB3817">
        <w:tc>
          <w:tcPr>
            <w:tcW w:w="1560" w:type="dxa"/>
            <w:vMerge w:val="restart"/>
            <w:tcMar>
              <w:left w:w="72" w:type="dxa"/>
              <w:right w:w="72" w:type="dxa"/>
            </w:tcMar>
          </w:tcPr>
          <w:p w14:paraId="774AD09E" w14:textId="77777777" w:rsidR="00F22052" w:rsidRDefault="00A47104" w:rsidP="009E5AF2">
            <w:pPr>
              <w:bidi/>
              <w:jc w:val="left"/>
              <w:rPr>
                <w:rtl/>
                <w:lang w:eastAsia="en-CA"/>
              </w:rPr>
            </w:pPr>
            <w:r>
              <w:rPr>
                <w:rFonts w:hint="cs"/>
                <w:rtl/>
                <w:lang w:eastAsia="en-CA"/>
              </w:rPr>
              <w:lastRenderedPageBreak/>
              <w:t>جنوب السودان</w:t>
            </w:r>
          </w:p>
          <w:p w14:paraId="6384ABA2" w14:textId="04E59ABF" w:rsidR="00A47104" w:rsidRPr="009E5AF2" w:rsidRDefault="00A47104" w:rsidP="00A47104">
            <w:pPr>
              <w:bidi/>
              <w:jc w:val="left"/>
              <w:rPr>
                <w:lang w:eastAsia="en-CA"/>
              </w:rPr>
            </w:pPr>
            <w:r>
              <w:rPr>
                <w:rFonts w:hint="cs"/>
                <w:rtl/>
                <w:lang w:eastAsia="en-CA"/>
              </w:rPr>
              <w:t>(المرحلة الأولى)</w:t>
            </w:r>
          </w:p>
        </w:tc>
        <w:tc>
          <w:tcPr>
            <w:tcW w:w="1276" w:type="dxa"/>
            <w:tcMar>
              <w:left w:w="72" w:type="dxa"/>
              <w:right w:w="72" w:type="dxa"/>
            </w:tcMar>
          </w:tcPr>
          <w:p w14:paraId="73B953EB" w14:textId="402C897B" w:rsidR="00F22052" w:rsidRPr="009E5AF2" w:rsidRDefault="00A47104" w:rsidP="009E5AF2">
            <w:pPr>
              <w:bidi/>
              <w:rPr>
                <w:rtl/>
                <w:lang w:eastAsia="en-CA" w:bidi="ar-AE"/>
              </w:rPr>
            </w:pPr>
            <w:r>
              <w:rPr>
                <w:rFonts w:hint="cs"/>
                <w:rtl/>
                <w:lang w:eastAsia="en-CA" w:bidi="ar-AE"/>
              </w:rPr>
              <w:t>اليوئنديبي</w:t>
            </w:r>
          </w:p>
        </w:tc>
        <w:tc>
          <w:tcPr>
            <w:tcW w:w="879" w:type="dxa"/>
            <w:tcMar>
              <w:left w:w="72" w:type="dxa"/>
              <w:right w:w="72" w:type="dxa"/>
            </w:tcMar>
          </w:tcPr>
          <w:p w14:paraId="27D5580E" w14:textId="321806E4" w:rsidR="00A47104" w:rsidRPr="00A47104" w:rsidRDefault="00A47104" w:rsidP="00A47104">
            <w:pPr>
              <w:bidi/>
              <w:jc w:val="center"/>
              <w:rPr>
                <w:rtl/>
                <w:lang w:val="en-US" w:eastAsia="en-CA" w:bidi="ar-AE"/>
              </w:rPr>
            </w:pPr>
            <w:r>
              <w:rPr>
                <w:rFonts w:hint="cs"/>
                <w:rtl/>
                <w:lang w:val="en-US" w:eastAsia="en-CA" w:bidi="ar-AE"/>
              </w:rPr>
              <w:t>2018 و2020</w:t>
            </w:r>
          </w:p>
        </w:tc>
        <w:tc>
          <w:tcPr>
            <w:tcW w:w="1275" w:type="dxa"/>
            <w:tcMar>
              <w:left w:w="72" w:type="dxa"/>
              <w:right w:w="72" w:type="dxa"/>
            </w:tcMar>
          </w:tcPr>
          <w:p w14:paraId="3E9FEA53" w14:textId="3078DDB1" w:rsidR="00A47104" w:rsidRPr="00A47104" w:rsidRDefault="00A47104" w:rsidP="00A47104">
            <w:pPr>
              <w:bidi/>
              <w:jc w:val="right"/>
              <w:rPr>
                <w:rtl/>
                <w:lang w:val="en-US" w:eastAsia="en-CA" w:bidi="ar-AE"/>
              </w:rPr>
            </w:pPr>
            <w:r>
              <w:rPr>
                <w:rFonts w:hint="cs"/>
                <w:rtl/>
                <w:lang w:val="en-US" w:eastAsia="en-CA" w:bidi="ar-AE"/>
              </w:rPr>
              <w:t>98,100</w:t>
            </w:r>
          </w:p>
        </w:tc>
        <w:tc>
          <w:tcPr>
            <w:tcW w:w="3220" w:type="dxa"/>
            <w:tcMar>
              <w:left w:w="72" w:type="dxa"/>
              <w:right w:w="72" w:type="dxa"/>
            </w:tcMar>
          </w:tcPr>
          <w:p w14:paraId="17ED58CF" w14:textId="2E95F56D" w:rsidR="00A65B7B" w:rsidRPr="00A65B7B" w:rsidRDefault="004615EE" w:rsidP="00A65B7B">
            <w:pPr>
              <w:bidi/>
              <w:jc w:val="left"/>
              <w:rPr>
                <w:lang w:val="en-US"/>
              </w:rPr>
            </w:pPr>
            <w:r w:rsidRPr="004615EE">
              <w:rPr>
                <w:rtl/>
                <w:lang w:val="en-US"/>
              </w:rPr>
              <w:t>الوضع السياسي أو القضايا الأمنية</w:t>
            </w:r>
          </w:p>
        </w:tc>
        <w:tc>
          <w:tcPr>
            <w:tcW w:w="6095" w:type="dxa"/>
            <w:vMerge w:val="restart"/>
            <w:tcMar>
              <w:left w:w="72" w:type="dxa"/>
              <w:right w:w="72" w:type="dxa"/>
            </w:tcMar>
          </w:tcPr>
          <w:p w14:paraId="0774AAD6" w14:textId="5373F477" w:rsidR="003B5D11" w:rsidRPr="003B5D11" w:rsidRDefault="00CF086F" w:rsidP="001D7172">
            <w:pPr>
              <w:bidi/>
              <w:rPr>
                <w:lang w:val="en-US" w:bidi="ar-AE"/>
              </w:rPr>
            </w:pPr>
            <w:r w:rsidRPr="00CF086F">
              <w:rPr>
                <w:rtl/>
                <w:lang w:val="en-US" w:bidi="ar-AE"/>
              </w:rPr>
              <w:t xml:space="preserve">ملاحظة أن التأخيرات ناجمةٌ </w:t>
            </w:r>
            <w:r w:rsidR="001D7172" w:rsidRPr="001D7172">
              <w:rPr>
                <w:rtl/>
                <w:lang w:val="en-US" w:bidi="ar-AE"/>
              </w:rPr>
              <w:t xml:space="preserve">عن القيود التي فرضتها جائحة كوفيد-19، والتأخير في المصادقة على القرارات من قبل الحكومة بسبب عدم الاستقرار السياسي، وأن معدل الصرف الإجمالي للشريحة الأولى (2016) من المرحلة الأولى من خطة إدارة إزالة المواد الهيدروكلوروفلوروكربونية كان أقل من عتبةِ صرف 20 في المائة، وحث حكومة جنوب السودان على العمل مع اليوئنديبي واليونيب بحيث يمكن تقديم الشريحتين الثانية (2018) والثالثة (2020) من المرحلة الأولى إلى الاجتماع التسعين مشفوعتين بخطة عمل منقحة لمراعاة إعادة تخصيص شريحة 2018 والشرائح اللاحقة، على أساس </w:t>
            </w:r>
            <w:r w:rsidR="001D7172">
              <w:rPr>
                <w:rFonts w:hint="cs"/>
                <w:rtl/>
                <w:lang w:val="en-US" w:bidi="ar-AE"/>
              </w:rPr>
              <w:t>تفهم</w:t>
            </w:r>
            <w:r w:rsidR="001D7172" w:rsidRPr="001D7172">
              <w:rPr>
                <w:rtl/>
                <w:lang w:val="en-US" w:bidi="ar-AE"/>
              </w:rPr>
              <w:t xml:space="preserve"> أن عتبة الصرف البالغة 20 في المائة لتمويل الشريحة السابقة قد تحققت.</w:t>
            </w:r>
          </w:p>
        </w:tc>
      </w:tr>
      <w:tr w:rsidR="00F22052" w:rsidRPr="009E5AF2" w14:paraId="139883BC" w14:textId="77777777" w:rsidTr="00BB3817">
        <w:tc>
          <w:tcPr>
            <w:tcW w:w="1560" w:type="dxa"/>
            <w:vMerge/>
            <w:tcMar>
              <w:left w:w="72" w:type="dxa"/>
              <w:right w:w="72" w:type="dxa"/>
            </w:tcMar>
          </w:tcPr>
          <w:p w14:paraId="6F81BA3B" w14:textId="77777777" w:rsidR="00F22052" w:rsidRPr="009E5AF2" w:rsidRDefault="00F22052" w:rsidP="009E5AF2">
            <w:pPr>
              <w:bidi/>
              <w:jc w:val="left"/>
              <w:rPr>
                <w:lang w:eastAsia="en-CA"/>
              </w:rPr>
            </w:pPr>
          </w:p>
        </w:tc>
        <w:tc>
          <w:tcPr>
            <w:tcW w:w="1276" w:type="dxa"/>
            <w:shd w:val="clear" w:color="auto" w:fill="auto"/>
            <w:tcMar>
              <w:left w:w="72" w:type="dxa"/>
              <w:right w:w="72" w:type="dxa"/>
            </w:tcMar>
          </w:tcPr>
          <w:p w14:paraId="5ED26729" w14:textId="0089FEF7" w:rsidR="00F22052" w:rsidRPr="009E5AF2" w:rsidRDefault="00A47104" w:rsidP="009E5AF2">
            <w:pPr>
              <w:bidi/>
              <w:rPr>
                <w:lang w:eastAsia="en-CA"/>
              </w:rPr>
            </w:pPr>
            <w:r>
              <w:rPr>
                <w:rFonts w:hint="cs"/>
                <w:rtl/>
                <w:lang w:eastAsia="en-CA"/>
              </w:rPr>
              <w:t>اليونيب</w:t>
            </w:r>
          </w:p>
        </w:tc>
        <w:tc>
          <w:tcPr>
            <w:tcW w:w="879" w:type="dxa"/>
            <w:shd w:val="clear" w:color="auto" w:fill="auto"/>
            <w:tcMar>
              <w:left w:w="72" w:type="dxa"/>
              <w:right w:w="72" w:type="dxa"/>
            </w:tcMar>
          </w:tcPr>
          <w:p w14:paraId="48CC884E" w14:textId="0EAE0D81" w:rsidR="00A47104" w:rsidRPr="00A47104" w:rsidRDefault="00A47104" w:rsidP="00A47104">
            <w:pPr>
              <w:bidi/>
              <w:jc w:val="center"/>
              <w:rPr>
                <w:rtl/>
                <w:lang w:val="en-US" w:eastAsia="en-CA" w:bidi="ar-AE"/>
              </w:rPr>
            </w:pPr>
            <w:r>
              <w:rPr>
                <w:rFonts w:hint="cs"/>
                <w:rtl/>
                <w:lang w:val="en-US" w:eastAsia="en-CA" w:bidi="ar-AE"/>
              </w:rPr>
              <w:t>2018 و2020</w:t>
            </w:r>
          </w:p>
        </w:tc>
        <w:tc>
          <w:tcPr>
            <w:tcW w:w="1275" w:type="dxa"/>
            <w:shd w:val="clear" w:color="auto" w:fill="auto"/>
            <w:tcMar>
              <w:left w:w="72" w:type="dxa"/>
              <w:right w:w="72" w:type="dxa"/>
            </w:tcMar>
          </w:tcPr>
          <w:p w14:paraId="6995EE34" w14:textId="7CF11A90" w:rsidR="00A47104" w:rsidRPr="00A47104" w:rsidRDefault="00A47104" w:rsidP="00A47104">
            <w:pPr>
              <w:bidi/>
              <w:jc w:val="right"/>
              <w:rPr>
                <w:rtl/>
                <w:lang w:val="en-US" w:eastAsia="en-CA" w:bidi="ar-AE"/>
              </w:rPr>
            </w:pPr>
            <w:r>
              <w:rPr>
                <w:rFonts w:hint="cs"/>
                <w:rtl/>
                <w:lang w:val="en-US" w:eastAsia="en-CA" w:bidi="ar-AE"/>
              </w:rPr>
              <w:t>113,000</w:t>
            </w:r>
          </w:p>
        </w:tc>
        <w:tc>
          <w:tcPr>
            <w:tcW w:w="3220" w:type="dxa"/>
            <w:shd w:val="clear" w:color="auto" w:fill="auto"/>
            <w:tcMar>
              <w:left w:w="72" w:type="dxa"/>
              <w:right w:w="72" w:type="dxa"/>
            </w:tcMar>
          </w:tcPr>
          <w:p w14:paraId="37E020E0" w14:textId="2709DA75" w:rsidR="001463DA" w:rsidRPr="001463DA" w:rsidRDefault="001463DA" w:rsidP="001463DA">
            <w:pPr>
              <w:bidi/>
              <w:jc w:val="left"/>
              <w:rPr>
                <w:lang w:val="en-US"/>
              </w:rPr>
            </w:pPr>
            <w:r w:rsidRPr="001463DA">
              <w:rPr>
                <w:rtl/>
                <w:lang w:val="en-US"/>
              </w:rPr>
              <w:t xml:space="preserve">تفشي جائحة كوفيد-19/ قرارات </w:t>
            </w:r>
            <w:r>
              <w:rPr>
                <w:rFonts w:hint="cs"/>
                <w:rtl/>
                <w:lang w:val="en-US"/>
              </w:rPr>
              <w:t>حكومية</w:t>
            </w:r>
            <w:r w:rsidRPr="001463DA">
              <w:rPr>
                <w:rtl/>
                <w:lang w:val="en-US"/>
              </w:rPr>
              <w:t>/ مصادقات/ تغييرات في وحدة الأوزون الوطنية/ التغيير الهيكلي/ الوضع السياسي أو القضايا الأمنية/ 20 في المائة من عتبة الصرف</w:t>
            </w:r>
          </w:p>
        </w:tc>
        <w:tc>
          <w:tcPr>
            <w:tcW w:w="6095" w:type="dxa"/>
            <w:vMerge/>
            <w:shd w:val="clear" w:color="auto" w:fill="auto"/>
            <w:tcMar>
              <w:left w:w="72" w:type="dxa"/>
              <w:right w:w="72" w:type="dxa"/>
            </w:tcMar>
          </w:tcPr>
          <w:p w14:paraId="2C59FF01" w14:textId="77777777" w:rsidR="00F22052" w:rsidRPr="009E5AF2" w:rsidRDefault="00F22052" w:rsidP="009E5AF2">
            <w:pPr>
              <w:bidi/>
              <w:jc w:val="left"/>
            </w:pPr>
          </w:p>
        </w:tc>
      </w:tr>
      <w:tr w:rsidR="0033675E" w:rsidRPr="009E5AF2" w14:paraId="4C152007" w14:textId="77777777" w:rsidTr="00BB3817">
        <w:tc>
          <w:tcPr>
            <w:tcW w:w="1560" w:type="dxa"/>
            <w:vMerge w:val="restart"/>
            <w:tcMar>
              <w:left w:w="72" w:type="dxa"/>
              <w:right w:w="72" w:type="dxa"/>
            </w:tcMar>
          </w:tcPr>
          <w:p w14:paraId="47104021" w14:textId="77777777" w:rsidR="0033675E" w:rsidRDefault="00E71092" w:rsidP="009E5AF2">
            <w:pPr>
              <w:bidi/>
              <w:jc w:val="left"/>
              <w:rPr>
                <w:lang w:eastAsia="en-CA"/>
              </w:rPr>
            </w:pPr>
            <w:r w:rsidRPr="00E71092">
              <w:rPr>
                <w:rtl/>
                <w:lang w:eastAsia="en-CA"/>
              </w:rPr>
              <w:t>سورينام</w:t>
            </w:r>
          </w:p>
          <w:p w14:paraId="45705AA0" w14:textId="282EDC17" w:rsidR="00E71092" w:rsidRPr="009E5AF2" w:rsidRDefault="00E71092" w:rsidP="00E71092">
            <w:pPr>
              <w:bidi/>
              <w:jc w:val="left"/>
              <w:rPr>
                <w:rtl/>
                <w:lang w:eastAsia="en-CA" w:bidi="ar-AE"/>
              </w:rPr>
            </w:pPr>
            <w:r>
              <w:rPr>
                <w:rFonts w:hint="cs"/>
                <w:rtl/>
                <w:lang w:eastAsia="en-CA" w:bidi="ar-AE"/>
              </w:rPr>
              <w:t>(المرحلة الأولى)</w:t>
            </w:r>
          </w:p>
        </w:tc>
        <w:tc>
          <w:tcPr>
            <w:tcW w:w="1276" w:type="dxa"/>
            <w:shd w:val="clear" w:color="auto" w:fill="auto"/>
            <w:tcMar>
              <w:left w:w="72" w:type="dxa"/>
              <w:right w:w="72" w:type="dxa"/>
            </w:tcMar>
          </w:tcPr>
          <w:p w14:paraId="02517675" w14:textId="26944331" w:rsidR="0033675E" w:rsidRPr="009E5AF2" w:rsidRDefault="00E71092" w:rsidP="009E5AF2">
            <w:pPr>
              <w:bidi/>
              <w:rPr>
                <w:lang w:eastAsia="en-CA"/>
              </w:rPr>
            </w:pPr>
            <w:r w:rsidRPr="00E71092">
              <w:rPr>
                <w:rtl/>
                <w:lang w:eastAsia="en-CA"/>
              </w:rPr>
              <w:t>اليونيب</w:t>
            </w:r>
          </w:p>
        </w:tc>
        <w:tc>
          <w:tcPr>
            <w:tcW w:w="879" w:type="dxa"/>
            <w:shd w:val="clear" w:color="auto" w:fill="auto"/>
            <w:tcMar>
              <w:left w:w="72" w:type="dxa"/>
              <w:right w:w="72" w:type="dxa"/>
            </w:tcMar>
          </w:tcPr>
          <w:p w14:paraId="0A3A212D" w14:textId="23F58229" w:rsidR="00E71092" w:rsidRPr="009E5AF2" w:rsidRDefault="00E71092" w:rsidP="00E71092">
            <w:pPr>
              <w:bidi/>
              <w:jc w:val="center"/>
              <w:rPr>
                <w:rtl/>
                <w:lang w:eastAsia="en-CA" w:bidi="ar-AE"/>
              </w:rPr>
            </w:pPr>
            <w:r>
              <w:rPr>
                <w:rFonts w:hint="cs"/>
                <w:rtl/>
                <w:lang w:eastAsia="en-CA" w:bidi="ar-AE"/>
              </w:rPr>
              <w:t>2020</w:t>
            </w:r>
          </w:p>
        </w:tc>
        <w:tc>
          <w:tcPr>
            <w:tcW w:w="1275" w:type="dxa"/>
            <w:shd w:val="clear" w:color="auto" w:fill="auto"/>
            <w:tcMar>
              <w:left w:w="72" w:type="dxa"/>
              <w:right w:w="72" w:type="dxa"/>
            </w:tcMar>
          </w:tcPr>
          <w:p w14:paraId="73177771" w14:textId="0FD19492" w:rsidR="00E71092" w:rsidRPr="00E71092" w:rsidRDefault="00E71092" w:rsidP="00E71092">
            <w:pPr>
              <w:bidi/>
              <w:jc w:val="right"/>
              <w:rPr>
                <w:rtl/>
                <w:lang w:val="en-US" w:eastAsia="en-CA" w:bidi="ar-AE"/>
              </w:rPr>
            </w:pPr>
            <w:r>
              <w:rPr>
                <w:rFonts w:hint="cs"/>
                <w:rtl/>
                <w:lang w:val="en-US" w:eastAsia="en-CA" w:bidi="ar-AE"/>
              </w:rPr>
              <w:t>15,255</w:t>
            </w:r>
          </w:p>
        </w:tc>
        <w:tc>
          <w:tcPr>
            <w:tcW w:w="3220" w:type="dxa"/>
            <w:shd w:val="clear" w:color="auto" w:fill="auto"/>
            <w:tcMar>
              <w:left w:w="72" w:type="dxa"/>
              <w:right w:w="72" w:type="dxa"/>
            </w:tcMar>
          </w:tcPr>
          <w:p w14:paraId="664E0E71" w14:textId="5468FDA0" w:rsidR="00E71092" w:rsidRPr="009E5AF2" w:rsidRDefault="00E71092" w:rsidP="00E71092">
            <w:pPr>
              <w:bidi/>
              <w:jc w:val="left"/>
              <w:rPr>
                <w:rtl/>
                <w:lang w:bidi="ar-AE"/>
              </w:rPr>
            </w:pPr>
            <w:r w:rsidRPr="00E71092">
              <w:rPr>
                <w:rtl/>
                <w:lang w:bidi="ar-AE"/>
              </w:rPr>
              <w:t>تفشي جائحة كوفيد-19/ عدم وجود تقرير التحقق/ 20 في المائة عتبة الصرف</w:t>
            </w:r>
          </w:p>
        </w:tc>
        <w:tc>
          <w:tcPr>
            <w:tcW w:w="6095" w:type="dxa"/>
            <w:vMerge w:val="restart"/>
            <w:shd w:val="clear" w:color="auto" w:fill="auto"/>
            <w:tcMar>
              <w:left w:w="72" w:type="dxa"/>
              <w:right w:w="72" w:type="dxa"/>
            </w:tcMar>
          </w:tcPr>
          <w:p w14:paraId="5B8D0567" w14:textId="030C1CCB" w:rsidR="00E71092" w:rsidRPr="009E5AF2" w:rsidRDefault="00CF086F" w:rsidP="000D59F0">
            <w:pPr>
              <w:bidi/>
            </w:pPr>
            <w:r w:rsidRPr="00CF086F">
              <w:rPr>
                <w:rtl/>
              </w:rPr>
              <w:t xml:space="preserve">ملاحظة أن التأخيرات ناجمةٌ </w:t>
            </w:r>
            <w:r w:rsidR="000D59F0" w:rsidRPr="000D59F0">
              <w:rPr>
                <w:rtl/>
              </w:rPr>
              <w:t>عن القيود التي فرضتها جائحة كوفيد-19</w:t>
            </w:r>
            <w:r w:rsidR="000D59F0">
              <w:rPr>
                <w:rFonts w:hint="cs"/>
                <w:rtl/>
              </w:rPr>
              <w:t>،</w:t>
            </w:r>
            <w:r w:rsidR="000D59F0" w:rsidRPr="000D59F0">
              <w:rPr>
                <w:rtl/>
              </w:rPr>
              <w:t xml:space="preserve"> وأن التحقق الإلزامي من أهداف استهلاك المواد الهيدروكلوروفلوروكربونية لم يكتمل، وحث حكومة سورينام على العمل مع اليونيب لإكمال التحقق ومع اليونيب واليونيدو بحيث يمكن تقديم الشريحة الرابعة (2020) من المرحلة الأولى من خطة إدارة إزالة المواد الهيدروكلوروفلوروكربونية إلى الاجتماع التسعين مشفوعةً بخطة عمل منقحة </w:t>
            </w:r>
            <w:r w:rsidR="000D59F0">
              <w:rPr>
                <w:rFonts w:hint="cs"/>
                <w:rtl/>
              </w:rPr>
              <w:t>لمراعاة</w:t>
            </w:r>
            <w:r w:rsidR="000D59F0" w:rsidRPr="000D59F0">
              <w:rPr>
                <w:rtl/>
              </w:rPr>
              <w:t xml:space="preserve"> إعادة تخصيص شريحة 2020.</w:t>
            </w:r>
          </w:p>
        </w:tc>
      </w:tr>
      <w:tr w:rsidR="0033675E" w:rsidRPr="009E5AF2" w14:paraId="617CB5E6" w14:textId="77777777" w:rsidTr="00BB3817">
        <w:tc>
          <w:tcPr>
            <w:tcW w:w="1560" w:type="dxa"/>
            <w:vMerge/>
            <w:tcMar>
              <w:left w:w="72" w:type="dxa"/>
              <w:right w:w="72" w:type="dxa"/>
            </w:tcMar>
          </w:tcPr>
          <w:p w14:paraId="617A7DB0" w14:textId="77777777" w:rsidR="0033675E" w:rsidRPr="009E5AF2" w:rsidRDefault="0033675E" w:rsidP="009E5AF2">
            <w:pPr>
              <w:bidi/>
              <w:jc w:val="left"/>
              <w:rPr>
                <w:lang w:eastAsia="en-CA"/>
              </w:rPr>
            </w:pPr>
          </w:p>
        </w:tc>
        <w:tc>
          <w:tcPr>
            <w:tcW w:w="1276" w:type="dxa"/>
            <w:tcMar>
              <w:left w:w="72" w:type="dxa"/>
              <w:right w:w="72" w:type="dxa"/>
            </w:tcMar>
          </w:tcPr>
          <w:p w14:paraId="3334BE47" w14:textId="39B1C857" w:rsidR="0033675E" w:rsidRPr="009E5AF2" w:rsidRDefault="00E71092" w:rsidP="009E5AF2">
            <w:pPr>
              <w:bidi/>
              <w:rPr>
                <w:lang w:eastAsia="en-CA"/>
              </w:rPr>
            </w:pPr>
            <w:r w:rsidRPr="00E71092">
              <w:rPr>
                <w:rtl/>
                <w:lang w:eastAsia="en-CA"/>
              </w:rPr>
              <w:t>اليونيدو</w:t>
            </w:r>
          </w:p>
        </w:tc>
        <w:tc>
          <w:tcPr>
            <w:tcW w:w="879" w:type="dxa"/>
            <w:tcMar>
              <w:left w:w="72" w:type="dxa"/>
              <w:right w:w="72" w:type="dxa"/>
            </w:tcMar>
          </w:tcPr>
          <w:p w14:paraId="09746E82" w14:textId="2B74CB6B" w:rsidR="00E71092" w:rsidRPr="00E71092" w:rsidRDefault="00E71092" w:rsidP="00E71092">
            <w:pPr>
              <w:bidi/>
              <w:jc w:val="center"/>
              <w:rPr>
                <w:rtl/>
                <w:lang w:val="en-US" w:eastAsia="en-CA" w:bidi="ar-AE"/>
              </w:rPr>
            </w:pPr>
            <w:r>
              <w:rPr>
                <w:rFonts w:hint="cs"/>
                <w:rtl/>
                <w:lang w:val="en-US" w:eastAsia="en-CA" w:bidi="ar-AE"/>
              </w:rPr>
              <w:t>2020</w:t>
            </w:r>
          </w:p>
        </w:tc>
        <w:tc>
          <w:tcPr>
            <w:tcW w:w="1275" w:type="dxa"/>
            <w:tcMar>
              <w:left w:w="72" w:type="dxa"/>
              <w:right w:w="72" w:type="dxa"/>
            </w:tcMar>
          </w:tcPr>
          <w:p w14:paraId="52C013FE" w14:textId="45BFE1A9" w:rsidR="00E71092" w:rsidRPr="00E71092" w:rsidRDefault="00E71092" w:rsidP="00E71092">
            <w:pPr>
              <w:bidi/>
              <w:jc w:val="right"/>
              <w:rPr>
                <w:rtl/>
                <w:lang w:val="en-US" w:eastAsia="en-CA" w:bidi="ar-AE"/>
              </w:rPr>
            </w:pPr>
            <w:r>
              <w:rPr>
                <w:rFonts w:hint="cs"/>
                <w:rtl/>
                <w:lang w:val="en-US" w:eastAsia="en-CA" w:bidi="ar-AE"/>
              </w:rPr>
              <w:t>9,810</w:t>
            </w:r>
          </w:p>
        </w:tc>
        <w:tc>
          <w:tcPr>
            <w:tcW w:w="3220" w:type="dxa"/>
            <w:tcMar>
              <w:left w:w="72" w:type="dxa"/>
              <w:right w:w="72" w:type="dxa"/>
            </w:tcMar>
          </w:tcPr>
          <w:p w14:paraId="2DCBDBE7" w14:textId="20FFF880" w:rsidR="0033675E" w:rsidRPr="009E5AF2" w:rsidRDefault="00E71092" w:rsidP="009E5AF2">
            <w:pPr>
              <w:bidi/>
              <w:jc w:val="left"/>
            </w:pPr>
            <w:r w:rsidRPr="00E71092">
              <w:rPr>
                <w:rtl/>
              </w:rPr>
              <w:t>صعوبات داخلية أو خارجية</w:t>
            </w:r>
          </w:p>
        </w:tc>
        <w:tc>
          <w:tcPr>
            <w:tcW w:w="6095" w:type="dxa"/>
            <w:vMerge/>
            <w:tcMar>
              <w:left w:w="72" w:type="dxa"/>
              <w:right w:w="72" w:type="dxa"/>
            </w:tcMar>
          </w:tcPr>
          <w:p w14:paraId="00C00497" w14:textId="77777777" w:rsidR="0033675E" w:rsidRPr="009E5AF2" w:rsidRDefault="0033675E" w:rsidP="009E5AF2">
            <w:pPr>
              <w:bidi/>
              <w:jc w:val="left"/>
            </w:pPr>
          </w:p>
        </w:tc>
      </w:tr>
      <w:tr w:rsidR="00215181" w:rsidRPr="009E5AF2" w14:paraId="0E8D7A78" w14:textId="77777777" w:rsidTr="00BB3817">
        <w:tc>
          <w:tcPr>
            <w:tcW w:w="1560" w:type="dxa"/>
            <w:tcMar>
              <w:left w:w="72" w:type="dxa"/>
              <w:right w:w="72" w:type="dxa"/>
            </w:tcMar>
          </w:tcPr>
          <w:p w14:paraId="3622E7D0" w14:textId="77777777" w:rsidR="00215181" w:rsidRDefault="002137AE" w:rsidP="009E5AF2">
            <w:pPr>
              <w:bidi/>
              <w:jc w:val="left"/>
              <w:rPr>
                <w:rtl/>
                <w:lang w:eastAsia="en-CA"/>
              </w:rPr>
            </w:pPr>
            <w:r w:rsidRPr="002137AE">
              <w:rPr>
                <w:rtl/>
                <w:lang w:eastAsia="en-CA"/>
              </w:rPr>
              <w:t>تايلند</w:t>
            </w:r>
          </w:p>
          <w:p w14:paraId="2975E2FA" w14:textId="2016321B" w:rsidR="002137AE" w:rsidRPr="009E5AF2" w:rsidRDefault="002137AE" w:rsidP="002137AE">
            <w:pPr>
              <w:bidi/>
              <w:jc w:val="left"/>
              <w:rPr>
                <w:lang w:eastAsia="en-CA"/>
              </w:rPr>
            </w:pPr>
            <w:r>
              <w:rPr>
                <w:rFonts w:hint="cs"/>
                <w:rtl/>
                <w:lang w:eastAsia="en-CA"/>
              </w:rPr>
              <w:t>(المرحلة الثانية)</w:t>
            </w:r>
          </w:p>
        </w:tc>
        <w:tc>
          <w:tcPr>
            <w:tcW w:w="1276" w:type="dxa"/>
            <w:tcMar>
              <w:left w:w="72" w:type="dxa"/>
              <w:right w:w="72" w:type="dxa"/>
            </w:tcMar>
          </w:tcPr>
          <w:p w14:paraId="2A914798" w14:textId="4B72DFFF" w:rsidR="00215181" w:rsidRPr="009E5AF2" w:rsidRDefault="002137AE" w:rsidP="009E5AF2">
            <w:pPr>
              <w:bidi/>
              <w:jc w:val="left"/>
              <w:rPr>
                <w:lang w:eastAsia="en-CA"/>
              </w:rPr>
            </w:pPr>
            <w:r>
              <w:rPr>
                <w:rFonts w:hint="cs"/>
                <w:rtl/>
                <w:lang w:eastAsia="en-CA"/>
              </w:rPr>
              <w:t>البنك الدولي</w:t>
            </w:r>
          </w:p>
        </w:tc>
        <w:tc>
          <w:tcPr>
            <w:tcW w:w="879" w:type="dxa"/>
            <w:tcMar>
              <w:left w:w="72" w:type="dxa"/>
              <w:right w:w="72" w:type="dxa"/>
            </w:tcMar>
          </w:tcPr>
          <w:p w14:paraId="22746398" w14:textId="712949DE" w:rsidR="002137AE" w:rsidRPr="002137AE" w:rsidRDefault="002137AE" w:rsidP="002137AE">
            <w:pPr>
              <w:bidi/>
              <w:jc w:val="center"/>
              <w:rPr>
                <w:rtl/>
                <w:lang w:val="en-US" w:eastAsia="en-CA" w:bidi="ar-AE"/>
              </w:rPr>
            </w:pPr>
            <w:r>
              <w:rPr>
                <w:rFonts w:hint="cs"/>
                <w:rtl/>
                <w:lang w:val="en-US" w:eastAsia="en-CA" w:bidi="ar-AE"/>
              </w:rPr>
              <w:t>2020</w:t>
            </w:r>
          </w:p>
        </w:tc>
        <w:tc>
          <w:tcPr>
            <w:tcW w:w="1275" w:type="dxa"/>
            <w:tcMar>
              <w:left w:w="72" w:type="dxa"/>
              <w:right w:w="72" w:type="dxa"/>
            </w:tcMar>
          </w:tcPr>
          <w:p w14:paraId="661D7BBC" w14:textId="7CFACED5" w:rsidR="002137AE" w:rsidRPr="002137AE" w:rsidRDefault="002137AE" w:rsidP="002137AE">
            <w:pPr>
              <w:bidi/>
              <w:jc w:val="right"/>
              <w:rPr>
                <w:rtl/>
                <w:lang w:val="en-US" w:eastAsia="en-CA" w:bidi="ar-AE"/>
              </w:rPr>
            </w:pPr>
            <w:r>
              <w:rPr>
                <w:rFonts w:hint="cs"/>
                <w:rtl/>
                <w:lang w:val="en-US" w:eastAsia="en-CA" w:bidi="ar-AE"/>
              </w:rPr>
              <w:t>2,264,689</w:t>
            </w:r>
          </w:p>
        </w:tc>
        <w:tc>
          <w:tcPr>
            <w:tcW w:w="3220" w:type="dxa"/>
            <w:tcMar>
              <w:left w:w="72" w:type="dxa"/>
              <w:right w:w="72" w:type="dxa"/>
            </w:tcMar>
          </w:tcPr>
          <w:p w14:paraId="468CA8FB" w14:textId="72DF520C" w:rsidR="00215181" w:rsidRPr="009E5AF2" w:rsidRDefault="002137AE" w:rsidP="009E5AF2">
            <w:pPr>
              <w:bidi/>
              <w:jc w:val="left"/>
            </w:pPr>
            <w:r>
              <w:rPr>
                <w:rFonts w:hint="cs"/>
                <w:rtl/>
                <w:lang w:bidi="ar-AE"/>
              </w:rPr>
              <w:t>20</w:t>
            </w:r>
            <w:r w:rsidRPr="002137AE">
              <w:rPr>
                <w:rtl/>
              </w:rPr>
              <w:t xml:space="preserve"> في المائة عتبة الصرف</w:t>
            </w:r>
          </w:p>
        </w:tc>
        <w:tc>
          <w:tcPr>
            <w:tcW w:w="6095" w:type="dxa"/>
            <w:tcMar>
              <w:left w:w="72" w:type="dxa"/>
              <w:right w:w="72" w:type="dxa"/>
            </w:tcMar>
          </w:tcPr>
          <w:p w14:paraId="1D3B7F40" w14:textId="309F1171" w:rsidR="00E0177E" w:rsidRPr="00E0177E" w:rsidRDefault="00E0177E" w:rsidP="00E0177E">
            <w:pPr>
              <w:bidi/>
              <w:rPr>
                <w:lang w:val="en-US"/>
              </w:rPr>
            </w:pPr>
            <w:r>
              <w:rPr>
                <w:rFonts w:hint="cs"/>
                <w:rtl/>
                <w:lang w:val="en-US"/>
              </w:rPr>
              <w:t xml:space="preserve">ملاحظة </w:t>
            </w:r>
            <w:r w:rsidRPr="00E0177E">
              <w:rPr>
                <w:rtl/>
                <w:lang w:val="en-US"/>
              </w:rPr>
              <w:t xml:space="preserve">أن معدل الصرف الإجمالي للشريحة الأولى (2018) من المرحلة الثانية من خطة إدارة إزالة المواد الهيدروكلوروفلوروكربونية كان أقل من عتبة الصرف البالغة 20 في المائة، وحث حكومة تايلاند على العمل مع البنك الدولي بحيث يمكن تقديم الشريحة الثانية (2020) من المرحلة الثانية إلى الاجتماع التسعين مشفوعةً بخطة عمل منقحة لمراعاة إعادة تخصيص شريحة 2020، على أساس </w:t>
            </w:r>
            <w:r w:rsidR="00057D26">
              <w:rPr>
                <w:rFonts w:hint="cs"/>
                <w:rtl/>
                <w:lang w:val="en-US"/>
              </w:rPr>
              <w:t>تفهم</w:t>
            </w:r>
            <w:r w:rsidRPr="00E0177E">
              <w:rPr>
                <w:rtl/>
                <w:lang w:val="en-US"/>
              </w:rPr>
              <w:t xml:space="preserve"> أن عتبة الصرف البالغة 20 في المائة لتمويل الشريحة السابقة قد تحققت.</w:t>
            </w:r>
          </w:p>
        </w:tc>
      </w:tr>
      <w:tr w:rsidR="00747D2E" w:rsidRPr="009E5AF2" w14:paraId="4638A04F" w14:textId="77777777" w:rsidTr="00BB3817">
        <w:tc>
          <w:tcPr>
            <w:tcW w:w="1560" w:type="dxa"/>
            <w:tcMar>
              <w:left w:w="72" w:type="dxa"/>
              <w:right w:w="72" w:type="dxa"/>
            </w:tcMar>
          </w:tcPr>
          <w:p w14:paraId="676A5753" w14:textId="0A8BD6CF" w:rsidR="00747D2E" w:rsidRPr="009E5AF2" w:rsidRDefault="008A0344" w:rsidP="009E5AF2">
            <w:pPr>
              <w:bidi/>
              <w:jc w:val="left"/>
              <w:rPr>
                <w:lang w:eastAsia="en-CA"/>
              </w:rPr>
            </w:pPr>
            <w:r w:rsidRPr="008A0344">
              <w:rPr>
                <w:rtl/>
                <w:lang w:eastAsia="en-CA"/>
              </w:rPr>
              <w:t xml:space="preserve">فنزويلا (جمهورية - البوليفارية) </w:t>
            </w:r>
            <w:r>
              <w:rPr>
                <w:rFonts w:hint="cs"/>
                <w:rtl/>
                <w:lang w:eastAsia="en-CA"/>
              </w:rPr>
              <w:t>(المرحلة الثانية)</w:t>
            </w:r>
          </w:p>
        </w:tc>
        <w:tc>
          <w:tcPr>
            <w:tcW w:w="1276" w:type="dxa"/>
            <w:tcMar>
              <w:left w:w="72" w:type="dxa"/>
              <w:right w:w="72" w:type="dxa"/>
            </w:tcMar>
          </w:tcPr>
          <w:p w14:paraId="75A4F2B3" w14:textId="16C3C769" w:rsidR="00747D2E" w:rsidRPr="009E5AF2" w:rsidRDefault="008A0344" w:rsidP="009E5AF2">
            <w:pPr>
              <w:bidi/>
              <w:jc w:val="left"/>
              <w:rPr>
                <w:rtl/>
                <w:lang w:eastAsia="en-CA" w:bidi="ar-AE"/>
              </w:rPr>
            </w:pPr>
            <w:r w:rsidRPr="008A0344">
              <w:rPr>
                <w:rtl/>
                <w:lang w:eastAsia="en-CA"/>
              </w:rPr>
              <w:t>اليونيدو</w:t>
            </w:r>
          </w:p>
        </w:tc>
        <w:tc>
          <w:tcPr>
            <w:tcW w:w="879" w:type="dxa"/>
            <w:tcMar>
              <w:left w:w="72" w:type="dxa"/>
              <w:right w:w="72" w:type="dxa"/>
            </w:tcMar>
          </w:tcPr>
          <w:p w14:paraId="53FFBE47" w14:textId="6ECF7381" w:rsidR="008A0344" w:rsidRPr="008A0344" w:rsidRDefault="008A0344" w:rsidP="008A0344">
            <w:pPr>
              <w:bidi/>
              <w:jc w:val="center"/>
              <w:rPr>
                <w:rtl/>
                <w:lang w:val="en-US" w:eastAsia="en-CA" w:bidi="ar-AE"/>
              </w:rPr>
            </w:pPr>
            <w:r>
              <w:rPr>
                <w:rFonts w:hint="cs"/>
                <w:rtl/>
                <w:lang w:val="en-US" w:eastAsia="en-CA" w:bidi="ar-AE"/>
              </w:rPr>
              <w:t>2019</w:t>
            </w:r>
          </w:p>
        </w:tc>
        <w:tc>
          <w:tcPr>
            <w:tcW w:w="1275" w:type="dxa"/>
            <w:tcMar>
              <w:left w:w="72" w:type="dxa"/>
              <w:right w:w="72" w:type="dxa"/>
            </w:tcMar>
          </w:tcPr>
          <w:p w14:paraId="1533905F" w14:textId="252DDA2E" w:rsidR="008A0344" w:rsidRPr="008A0344" w:rsidRDefault="008A0344" w:rsidP="008A0344">
            <w:pPr>
              <w:bidi/>
              <w:jc w:val="right"/>
              <w:rPr>
                <w:rtl/>
                <w:lang w:val="en-US" w:bidi="ar-AE"/>
              </w:rPr>
            </w:pPr>
            <w:r>
              <w:rPr>
                <w:rFonts w:hint="cs"/>
                <w:rtl/>
                <w:lang w:val="en-US" w:bidi="ar-AE"/>
              </w:rPr>
              <w:t>615,250</w:t>
            </w:r>
          </w:p>
        </w:tc>
        <w:tc>
          <w:tcPr>
            <w:tcW w:w="3220" w:type="dxa"/>
            <w:tcMar>
              <w:left w:w="72" w:type="dxa"/>
              <w:right w:w="72" w:type="dxa"/>
            </w:tcMar>
          </w:tcPr>
          <w:p w14:paraId="76365989" w14:textId="5643E109" w:rsidR="008A0344" w:rsidRPr="008A0344" w:rsidRDefault="008A0344" w:rsidP="008A0344">
            <w:pPr>
              <w:bidi/>
              <w:jc w:val="left"/>
              <w:rPr>
                <w:lang w:val="en-US" w:bidi="ar-AE"/>
              </w:rPr>
            </w:pPr>
            <w:r w:rsidRPr="008A0344">
              <w:rPr>
                <w:rtl/>
                <w:lang w:val="en-US" w:bidi="ar-AE"/>
              </w:rPr>
              <w:t>تفشي جائحة كوفيد-19/ تدني مستوى تنفيذ الأنشطة التي بدأت في الشريحة الأولى وانخفاض مستوى الصرف على مدى العامين الماضيين</w:t>
            </w:r>
          </w:p>
        </w:tc>
        <w:tc>
          <w:tcPr>
            <w:tcW w:w="6095" w:type="dxa"/>
            <w:tcMar>
              <w:left w:w="72" w:type="dxa"/>
              <w:right w:w="72" w:type="dxa"/>
            </w:tcMar>
          </w:tcPr>
          <w:p w14:paraId="1E15D27C" w14:textId="44CDC374" w:rsidR="006263A3" w:rsidRPr="008A0344" w:rsidRDefault="009D2A2A" w:rsidP="008A0344">
            <w:pPr>
              <w:bidi/>
              <w:rPr>
                <w:lang w:val="en-US" w:eastAsia="en-CA" w:bidi="ar-AE"/>
              </w:rPr>
            </w:pPr>
            <w:r w:rsidRPr="008A0344">
              <w:t xml:space="preserve"> </w:t>
            </w:r>
            <w:r w:rsidR="008A0344">
              <w:rPr>
                <w:rFonts w:hint="cs"/>
                <w:rtl/>
              </w:rPr>
              <w:t xml:space="preserve">ملاحظة </w:t>
            </w:r>
            <w:r w:rsidR="008A0344" w:rsidRPr="008A0344">
              <w:rPr>
                <w:rtl/>
              </w:rPr>
              <w:t>أن الشريحة الثانية (2019) من المرحلة الثانية من خطة إدارة إزالة المواد الهيدروكلوروفلوروكربونية المقدمة إلى الاجتماع الثامن والثمانين قد تم سحبها بسبب انخفاض مستوى تنفيذ الأنشطة التي تم البدء فيها للشريحة الأولى، وحث حكومة جمهورية فنزويلا البوليفارية</w:t>
            </w:r>
            <w:r w:rsidR="008A0344">
              <w:rPr>
                <w:rFonts w:hint="cs"/>
                <w:rtl/>
              </w:rPr>
              <w:t xml:space="preserve"> </w:t>
            </w:r>
            <w:r w:rsidR="008A0344" w:rsidRPr="008A0344">
              <w:rPr>
                <w:rtl/>
              </w:rPr>
              <w:t xml:space="preserve">على العمل مع اليونيدو للإسراع بتنفيذ الشريحة الأولى (2016) من المرحلة الثانية بحيث يمكن تقديم الشريحة الثانية (2019) إلى الاجتماع الحادي والتسعين مشفوعةً بخطة عمل منقحة لمراعاة إعادة تخصيص شريحة 2019 والشرائح اللاحقة، على أساس </w:t>
            </w:r>
            <w:r w:rsidR="008A0344">
              <w:rPr>
                <w:rFonts w:hint="cs"/>
                <w:rtl/>
              </w:rPr>
              <w:t>تفهم</w:t>
            </w:r>
            <w:r w:rsidR="008A0344" w:rsidRPr="008A0344">
              <w:rPr>
                <w:rtl/>
              </w:rPr>
              <w:t xml:space="preserve"> أنه تم تحقيق مستوى كبير من تنفيذ الأنشطة الممولة في إطار الشريحة الأولى وصرف إضافي على رصيد الصندوق المتبقي.</w:t>
            </w:r>
          </w:p>
        </w:tc>
      </w:tr>
      <w:tr w:rsidR="00747D2E" w:rsidRPr="009E5AF2" w14:paraId="3E0FD640" w14:textId="77777777" w:rsidTr="00BB3817">
        <w:tc>
          <w:tcPr>
            <w:tcW w:w="1560" w:type="dxa"/>
            <w:tcMar>
              <w:left w:w="72" w:type="dxa"/>
              <w:right w:w="72" w:type="dxa"/>
            </w:tcMar>
            <w:hideMark/>
          </w:tcPr>
          <w:p w14:paraId="056AD88F" w14:textId="7450A133" w:rsidR="00747D2E" w:rsidRPr="009E777E" w:rsidRDefault="009E777E" w:rsidP="009E5AF2">
            <w:pPr>
              <w:bidi/>
              <w:jc w:val="left"/>
              <w:rPr>
                <w:bCs/>
                <w:lang w:eastAsia="en-CA"/>
              </w:rPr>
            </w:pPr>
            <w:r w:rsidRPr="009E777E">
              <w:rPr>
                <w:rFonts w:hint="cs"/>
                <w:bCs/>
                <w:rtl/>
                <w:lang w:eastAsia="en-CA"/>
              </w:rPr>
              <w:t>المجموع</w:t>
            </w:r>
          </w:p>
        </w:tc>
        <w:tc>
          <w:tcPr>
            <w:tcW w:w="1276" w:type="dxa"/>
            <w:tcMar>
              <w:left w:w="72" w:type="dxa"/>
              <w:right w:w="72" w:type="dxa"/>
            </w:tcMar>
          </w:tcPr>
          <w:p w14:paraId="6F02A1F7" w14:textId="77777777" w:rsidR="00747D2E" w:rsidRPr="009E5AF2" w:rsidRDefault="00747D2E" w:rsidP="009E5AF2">
            <w:pPr>
              <w:bidi/>
              <w:jc w:val="center"/>
              <w:rPr>
                <w:b/>
                <w:lang w:eastAsia="en-CA"/>
              </w:rPr>
            </w:pPr>
          </w:p>
        </w:tc>
        <w:tc>
          <w:tcPr>
            <w:tcW w:w="879" w:type="dxa"/>
            <w:tcMar>
              <w:left w:w="72" w:type="dxa"/>
              <w:right w:w="72" w:type="dxa"/>
            </w:tcMar>
          </w:tcPr>
          <w:p w14:paraId="530C6D87" w14:textId="77777777" w:rsidR="00747D2E" w:rsidRPr="009E5AF2" w:rsidRDefault="00747D2E" w:rsidP="009E5AF2">
            <w:pPr>
              <w:bidi/>
              <w:jc w:val="center"/>
              <w:rPr>
                <w:b/>
                <w:lang w:eastAsia="en-CA"/>
              </w:rPr>
            </w:pPr>
          </w:p>
        </w:tc>
        <w:tc>
          <w:tcPr>
            <w:tcW w:w="1275" w:type="dxa"/>
            <w:tcMar>
              <w:left w:w="72" w:type="dxa"/>
              <w:right w:w="72" w:type="dxa"/>
            </w:tcMar>
            <w:hideMark/>
          </w:tcPr>
          <w:p w14:paraId="1ED2A3FE" w14:textId="4C0E39CE" w:rsidR="009E777E" w:rsidRPr="009E777E" w:rsidRDefault="009E777E" w:rsidP="009E777E">
            <w:pPr>
              <w:bidi/>
              <w:jc w:val="right"/>
              <w:rPr>
                <w:bCs/>
                <w:rtl/>
                <w:lang w:val="en-US" w:bidi="ar-AE"/>
              </w:rPr>
            </w:pPr>
            <w:r w:rsidRPr="009E777E">
              <w:rPr>
                <w:rFonts w:hint="cs"/>
                <w:bCs/>
                <w:rtl/>
                <w:lang w:val="en-US" w:bidi="ar-AE"/>
              </w:rPr>
              <w:t>15,246,594</w:t>
            </w:r>
          </w:p>
        </w:tc>
        <w:tc>
          <w:tcPr>
            <w:tcW w:w="3220" w:type="dxa"/>
            <w:tcMar>
              <w:left w:w="72" w:type="dxa"/>
              <w:right w:w="72" w:type="dxa"/>
            </w:tcMar>
          </w:tcPr>
          <w:p w14:paraId="11EA19D9" w14:textId="77777777" w:rsidR="00747D2E" w:rsidRPr="009E5AF2" w:rsidRDefault="00747D2E" w:rsidP="009E5AF2">
            <w:pPr>
              <w:bidi/>
              <w:jc w:val="left"/>
              <w:rPr>
                <w:b/>
                <w:lang w:eastAsia="en-CA"/>
              </w:rPr>
            </w:pPr>
          </w:p>
        </w:tc>
        <w:tc>
          <w:tcPr>
            <w:tcW w:w="6095" w:type="dxa"/>
            <w:tcMar>
              <w:left w:w="72" w:type="dxa"/>
              <w:right w:w="72" w:type="dxa"/>
            </w:tcMar>
          </w:tcPr>
          <w:p w14:paraId="5CEE53C0" w14:textId="77777777" w:rsidR="00747D2E" w:rsidRPr="009E5AF2" w:rsidRDefault="00747D2E" w:rsidP="009E5AF2">
            <w:pPr>
              <w:bidi/>
              <w:jc w:val="left"/>
              <w:rPr>
                <w:b/>
                <w:lang w:eastAsia="en-CA"/>
              </w:rPr>
            </w:pPr>
          </w:p>
        </w:tc>
      </w:tr>
    </w:tbl>
    <w:p w14:paraId="7E0EA031" w14:textId="77777777" w:rsidR="005C0FF2" w:rsidRPr="00BB3817" w:rsidRDefault="005C0FF2" w:rsidP="00857077">
      <w:pPr>
        <w:jc w:val="left"/>
        <w:rPr>
          <w:lang w:val="en-US"/>
        </w:rPr>
        <w:sectPr w:rsidR="005C0FF2" w:rsidRPr="00BB3817" w:rsidSect="00F148F4">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862" w:bottom="1440" w:left="720" w:header="720" w:footer="476" w:gutter="0"/>
          <w:pgNumType w:start="1"/>
          <w:cols w:space="720"/>
          <w:titlePg/>
        </w:sectPr>
      </w:pPr>
    </w:p>
    <w:p w14:paraId="18819E95" w14:textId="77777777" w:rsidR="004E7F9C" w:rsidRPr="009B0D30" w:rsidRDefault="004E7F9C" w:rsidP="00BB3817">
      <w:pPr>
        <w:pStyle w:val="Title1"/>
        <w:jc w:val="both"/>
        <w:rPr>
          <w:lang w:val="en-CA"/>
        </w:rPr>
      </w:pPr>
    </w:p>
    <w:sectPr w:rsidR="004E7F9C" w:rsidRPr="009B0D30" w:rsidSect="0089623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1C4DE" w14:textId="77777777" w:rsidR="004C2FB2" w:rsidRDefault="004C2FB2" w:rsidP="004A504B">
      <w:r>
        <w:separator/>
      </w:r>
    </w:p>
  </w:endnote>
  <w:endnote w:type="continuationSeparator" w:id="0">
    <w:p w14:paraId="74167964" w14:textId="77777777" w:rsidR="004C2FB2" w:rsidRDefault="004C2FB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A855" w14:textId="44A5BFB9" w:rsidR="001C5E0F" w:rsidRPr="0033525D" w:rsidRDefault="001C5E0F">
    <w:pPr>
      <w:jc w:val="center"/>
    </w:pPr>
    <w:r>
      <w:fldChar w:fldCharType="begin"/>
    </w:r>
    <w:r>
      <w:instrText xml:space="preserve"> PAGE </w:instrText>
    </w:r>
    <w:r>
      <w:fldChar w:fldCharType="separate"/>
    </w:r>
    <w:r w:rsidR="00C96BC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24B2" w14:textId="6AFAE1B9" w:rsidR="001C5E0F" w:rsidRPr="0033525D" w:rsidRDefault="001C5E0F">
    <w:pPr>
      <w:jc w:val="center"/>
    </w:pPr>
    <w:r>
      <w:fldChar w:fldCharType="begin"/>
    </w:r>
    <w:r>
      <w:instrText xml:space="preserve"> PAGE </w:instrText>
    </w:r>
    <w:r>
      <w:fldChar w:fldCharType="separate"/>
    </w:r>
    <w:r w:rsidR="00C96BC1">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493A" w14:textId="701A3671" w:rsidR="002E7771" w:rsidRPr="002E7771" w:rsidRDefault="002E7771" w:rsidP="002E7771">
    <w:pPr>
      <w:pBdr>
        <w:top w:val="single" w:sz="4" w:space="1" w:color="auto"/>
        <w:left w:val="single" w:sz="4" w:space="4" w:color="auto"/>
        <w:bottom w:val="single" w:sz="4" w:space="1" w:color="auto"/>
        <w:right w:val="single" w:sz="4" w:space="4" w:color="auto"/>
      </w:pBdr>
      <w:bidi/>
      <w:jc w:val="center"/>
      <w:rPr>
        <w:sz w:val="18"/>
        <w:szCs w:val="18"/>
        <w:rtl/>
      </w:rPr>
    </w:pPr>
    <w:r w:rsidRPr="002E7771">
      <w:rPr>
        <w:sz w:val="18"/>
        <w:szCs w:val="18"/>
        <w:rtl/>
      </w:rPr>
      <w:t>إن وثائق ما قبل دورات اللجنة التنفيذية للصندوق المتعدد الأطراف لتنفيذ بروتوكول مونتريال</w:t>
    </w:r>
  </w:p>
  <w:p w14:paraId="3E91CF2A" w14:textId="7EB7E6B2" w:rsidR="001C5E0F" w:rsidRDefault="002E7771" w:rsidP="002E7771">
    <w:pPr>
      <w:pBdr>
        <w:top w:val="single" w:sz="4" w:space="1" w:color="auto"/>
        <w:left w:val="single" w:sz="4" w:space="4" w:color="auto"/>
        <w:bottom w:val="single" w:sz="4" w:space="1" w:color="auto"/>
        <w:right w:val="single" w:sz="4" w:space="4" w:color="auto"/>
      </w:pBdr>
      <w:bidi/>
      <w:jc w:val="center"/>
      <w:rPr>
        <w:sz w:val="18"/>
        <w:szCs w:val="18"/>
      </w:rPr>
    </w:pPr>
    <w:r w:rsidRPr="002E7771">
      <w:rPr>
        <w:sz w:val="18"/>
        <w:szCs w:val="18"/>
        <w:rtl/>
      </w:rPr>
      <w:t>قد تصدر دون إخلال بأي قرار تتخذه اللجنة التنفيذية بعد صدورها</w:t>
    </w:r>
    <w:r w:rsidRPr="002E7771">
      <w:rPr>
        <w:sz w:val="18"/>
        <w:szCs w:val="1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D81C" w14:textId="72E6928C" w:rsidR="001C5E0F" w:rsidRPr="0033525D" w:rsidRDefault="001C5E0F">
    <w:pPr>
      <w:jc w:val="center"/>
    </w:pPr>
    <w:r>
      <w:fldChar w:fldCharType="begin"/>
    </w:r>
    <w:r>
      <w:instrText xml:space="preserve"> PAGE </w:instrText>
    </w:r>
    <w:r>
      <w:fldChar w:fldCharType="separate"/>
    </w:r>
    <w:r w:rsidR="00C96BC1">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329C" w14:textId="5D880A7F" w:rsidR="001C5E0F" w:rsidRPr="0033525D" w:rsidRDefault="001C5E0F">
    <w:pPr>
      <w:jc w:val="center"/>
    </w:pPr>
    <w:r>
      <w:fldChar w:fldCharType="begin"/>
    </w:r>
    <w:r>
      <w:instrText xml:space="preserve"> PAGE </w:instrText>
    </w:r>
    <w:r>
      <w:fldChar w:fldCharType="separate"/>
    </w:r>
    <w:r w:rsidR="00C96BC1">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60997"/>
      <w:docPartObj>
        <w:docPartGallery w:val="Page Numbers (Bottom of Page)"/>
        <w:docPartUnique/>
      </w:docPartObj>
    </w:sdtPr>
    <w:sdtEndPr>
      <w:rPr>
        <w:noProof/>
      </w:rPr>
    </w:sdtEndPr>
    <w:sdtContent>
      <w:p w14:paraId="6622509E" w14:textId="1B4DC0D1" w:rsidR="0011712E" w:rsidRDefault="0011712E">
        <w:pPr>
          <w:pStyle w:val="Footer"/>
          <w:jc w:val="center"/>
        </w:pPr>
        <w:r>
          <w:fldChar w:fldCharType="begin"/>
        </w:r>
        <w:r>
          <w:instrText xml:space="preserve"> PAGE   \* MERGEFORMAT </w:instrText>
        </w:r>
        <w:r>
          <w:fldChar w:fldCharType="separate"/>
        </w:r>
        <w:r w:rsidR="00C96BC1">
          <w:rPr>
            <w:noProof/>
          </w:rPr>
          <w:t>1</w:t>
        </w:r>
        <w:r>
          <w:rPr>
            <w:noProof/>
          </w:rPr>
          <w:fldChar w:fldCharType="end"/>
        </w:r>
      </w:p>
    </w:sdtContent>
  </w:sdt>
  <w:p w14:paraId="4D7B9FDB" w14:textId="77777777" w:rsidR="0011712E" w:rsidRPr="0011712E" w:rsidRDefault="0011712E" w:rsidP="00F148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A157" w14:textId="77777777" w:rsidR="004C2FB2" w:rsidRDefault="004C2FB2" w:rsidP="004A504B">
      <w:r>
        <w:separator/>
      </w:r>
    </w:p>
  </w:footnote>
  <w:footnote w:type="continuationSeparator" w:id="0">
    <w:p w14:paraId="65DEDAF3" w14:textId="77777777" w:rsidR="004C2FB2" w:rsidRDefault="004C2FB2" w:rsidP="004A504B">
      <w:r>
        <w:continuationSeparator/>
      </w:r>
    </w:p>
  </w:footnote>
  <w:footnote w:id="1">
    <w:p w14:paraId="344509E2" w14:textId="725660C8" w:rsidR="00F81657" w:rsidRPr="00C0337B" w:rsidRDefault="00F81657" w:rsidP="00F81657">
      <w:pPr>
        <w:pStyle w:val="FootnoteText"/>
        <w:bidi/>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ستعقد اجتماعات عبر الانترنت وعملية الموافقة فيما بي</w:t>
      </w:r>
      <w:r>
        <w:rPr>
          <w:rFonts w:hint="cs"/>
          <w:rtl/>
          <w:lang w:val="en-US"/>
        </w:rPr>
        <w:t xml:space="preserve">ن الدورات في </w:t>
      </w:r>
      <w:r w:rsidRPr="007D141D">
        <w:rPr>
          <w:rFonts w:hint="cs"/>
          <w:rtl/>
          <w:lang w:val="en-US"/>
        </w:rPr>
        <w:t xml:space="preserve">نوفمبر/ </w:t>
      </w:r>
      <w:r w:rsidRPr="007D141D">
        <w:rPr>
          <w:rtl/>
          <w:lang w:val="en-US"/>
        </w:rPr>
        <w:t>تشرين الثاني</w:t>
      </w:r>
      <w:r w:rsidRPr="007D141D">
        <w:rPr>
          <w:rFonts w:hint="cs"/>
          <w:rtl/>
          <w:lang w:val="en-US"/>
        </w:rPr>
        <w:t xml:space="preserve"> وديسمبر/ كانو</w:t>
      </w:r>
      <w:r w:rsidRPr="007D141D">
        <w:rPr>
          <w:rtl/>
          <w:lang w:val="en-US"/>
        </w:rPr>
        <w:t>ن ا</w:t>
      </w:r>
      <w:r w:rsidRPr="007D141D">
        <w:rPr>
          <w:rFonts w:hint="cs"/>
          <w:rtl/>
          <w:lang w:val="en-US"/>
        </w:rPr>
        <w:t xml:space="preserve">لأول </w:t>
      </w:r>
      <w:r w:rsidR="008031F6">
        <w:rPr>
          <w:rFonts w:hint="cs"/>
          <w:rtl/>
          <w:lang w:val="en-US"/>
        </w:rPr>
        <w:t>بسبب فيروس كورونا (</w:t>
      </w:r>
      <w:r>
        <w:rPr>
          <w:rFonts w:hint="cs"/>
          <w:rtl/>
          <w:lang w:val="en-US"/>
        </w:rPr>
        <w:t>كوفيد</w:t>
      </w:r>
      <w:r>
        <w:rPr>
          <w:rtl/>
          <w:lang w:val="en-US"/>
        </w:rPr>
        <w:noBreakHyphen/>
      </w:r>
      <w:r>
        <w:rPr>
          <w:rFonts w:hint="cs"/>
          <w:rtl/>
          <w:lang w:val="en-US"/>
        </w:rPr>
        <w:t>19)</w:t>
      </w:r>
    </w:p>
  </w:footnote>
  <w:footnote w:id="2">
    <w:p w14:paraId="5FADDED6" w14:textId="2C528260" w:rsidR="00585690" w:rsidRPr="00585690" w:rsidRDefault="00585690" w:rsidP="00585690">
      <w:pPr>
        <w:pStyle w:val="FootnoteText"/>
        <w:bidi/>
        <w:rPr>
          <w:rtl/>
          <w:lang w:bidi="ar-AE"/>
        </w:rPr>
      </w:pPr>
      <w:r>
        <w:rPr>
          <w:rStyle w:val="FootnoteReference"/>
        </w:rPr>
        <w:footnoteRef/>
      </w:r>
      <w:r>
        <w:t xml:space="preserve"> </w:t>
      </w:r>
      <w:r w:rsidR="00686501" w:rsidRPr="00686501">
        <w:rPr>
          <w:rtl/>
          <w:lang w:bidi="ar-AE"/>
        </w:rPr>
        <w:t>قررت اللجنة التنفيذية إدراج بند منفصل ضمن جدول الأعمال يتعلق بالتأخيرات في تقديم الشرائح السنوية، وصرف الأموال للشرائح، والالتزامات المترتبة للاجتماعات القادمة.</w:t>
      </w:r>
    </w:p>
  </w:footnote>
  <w:footnote w:id="3">
    <w:p w14:paraId="1DE68BA9" w14:textId="5ECB4596" w:rsidR="00F652E8" w:rsidRPr="00F652E8" w:rsidRDefault="00F652E8" w:rsidP="00F652E8">
      <w:pPr>
        <w:pStyle w:val="FootnoteText"/>
        <w:bidi/>
        <w:rPr>
          <w:rtl/>
          <w:lang w:bidi="ar-AE"/>
        </w:rPr>
      </w:pPr>
      <w:r>
        <w:rPr>
          <w:rStyle w:val="FootnoteReference"/>
        </w:rPr>
        <w:footnoteRef/>
      </w:r>
      <w:r>
        <w:t xml:space="preserve"> </w:t>
      </w:r>
      <w:r w:rsidRPr="00F652E8">
        <w:rPr>
          <w:rtl/>
          <w:lang w:bidi="ar-AE"/>
        </w:rPr>
        <w:t>باستثناء دولتين (الجزائر وباكستان)، تم تقديم طلبيهما المتعلقين بشرائحهما إلى الاجتماع السابع والثمانين ولكن تم سحبهما لاحقاً.</w:t>
      </w:r>
    </w:p>
  </w:footnote>
  <w:footnote w:id="4">
    <w:p w14:paraId="20F527EB" w14:textId="2578E2F3" w:rsidR="00660324" w:rsidRDefault="00660324" w:rsidP="00660324">
      <w:pPr>
        <w:pStyle w:val="FootnoteText"/>
        <w:bidi/>
        <w:rPr>
          <w:lang w:bidi="ar-AE"/>
        </w:rPr>
      </w:pPr>
      <w:r>
        <w:rPr>
          <w:rStyle w:val="FootnoteReference"/>
        </w:rPr>
        <w:footnoteRef/>
      </w:r>
      <w:r>
        <w:t xml:space="preserve"> </w:t>
      </w:r>
      <w:r w:rsidR="00123615" w:rsidRPr="00123615">
        <w:rPr>
          <w:rtl/>
          <w:lang w:bidi="ar-AE"/>
        </w:rPr>
        <w:t xml:space="preserve">باستثناء ثلاثة بلدان (الكونغو </w:t>
      </w:r>
      <w:r w:rsidR="00E05440">
        <w:rPr>
          <w:rFonts w:hint="cs"/>
          <w:rtl/>
          <w:lang w:bidi="ar-AE"/>
        </w:rPr>
        <w:t>و</w:t>
      </w:r>
      <w:r w:rsidR="00E05440" w:rsidRPr="00E05440">
        <w:rPr>
          <w:rtl/>
          <w:lang w:bidi="ar-AE"/>
        </w:rPr>
        <w:t xml:space="preserve">كوت ديفوار </w:t>
      </w:r>
      <w:r w:rsidR="00123615" w:rsidRPr="00123615">
        <w:rPr>
          <w:rtl/>
          <w:lang w:bidi="ar-AE"/>
        </w:rPr>
        <w:t xml:space="preserve">ومالي) التي يمكن </w:t>
      </w:r>
      <w:r w:rsidR="00123615" w:rsidRPr="00123615">
        <w:rPr>
          <w:rtl/>
          <w:lang w:bidi="ar-AE"/>
        </w:rPr>
        <w:t>تقديمها إلى الاجتماع التسعين.</w:t>
      </w:r>
    </w:p>
    <w:p w14:paraId="29A74E4F" w14:textId="4306D1FB" w:rsidR="00C96BC1" w:rsidRDefault="00C96BC1" w:rsidP="00C96BC1">
      <w:pPr>
        <w:pStyle w:val="FootnoteText"/>
        <w:bidi/>
        <w:rPr>
          <w:lang w:bidi="ar-AE"/>
        </w:rPr>
      </w:pPr>
    </w:p>
    <w:p w14:paraId="77B26C69" w14:textId="77777777" w:rsidR="00C96BC1" w:rsidRPr="00660324" w:rsidRDefault="00C96BC1" w:rsidP="00C96BC1">
      <w:pPr>
        <w:pStyle w:val="FootnoteText"/>
        <w:bidi/>
        <w:rPr>
          <w:rtl/>
          <w:lang w:bidi="ar-AE"/>
        </w:rPr>
      </w:pPr>
    </w:p>
  </w:footnote>
  <w:footnote w:id="5">
    <w:p w14:paraId="49D3DE8D" w14:textId="33B59F74" w:rsidR="00C720B1" w:rsidRPr="00C720B1" w:rsidRDefault="00C720B1" w:rsidP="00C720B1">
      <w:pPr>
        <w:pStyle w:val="FootnoteText"/>
        <w:bidi/>
        <w:rPr>
          <w:rtl/>
          <w:lang w:bidi="ar-AE"/>
        </w:rPr>
      </w:pPr>
      <w:r>
        <w:rPr>
          <w:rStyle w:val="FootnoteReference"/>
        </w:rPr>
        <w:footnoteRef/>
      </w:r>
      <w:r>
        <w:t xml:space="preserve"> </w:t>
      </w:r>
      <w:bookmarkStart w:id="0" w:name="_Hlk86260709"/>
      <w:r>
        <w:rPr>
          <w:rFonts w:hint="cs"/>
          <w:rtl/>
          <w:lang w:bidi="ar-AE"/>
        </w:rPr>
        <w:t xml:space="preserve">المستند </w:t>
      </w:r>
      <w:r w:rsidRPr="00C720B1">
        <w:rPr>
          <w:lang w:bidi="ar-AE"/>
        </w:rPr>
        <w:t>UNEP/</w:t>
      </w:r>
      <w:proofErr w:type="spellStart"/>
      <w:r w:rsidRPr="00C720B1">
        <w:rPr>
          <w:lang w:bidi="ar-AE"/>
        </w:rPr>
        <w:t>OzL.Pro</w:t>
      </w:r>
      <w:proofErr w:type="spellEnd"/>
      <w:r w:rsidRPr="00C720B1">
        <w:rPr>
          <w:lang w:bidi="ar-AE"/>
        </w:rPr>
        <w:t>/</w:t>
      </w:r>
      <w:proofErr w:type="spellStart"/>
      <w:r w:rsidRPr="00C720B1">
        <w:rPr>
          <w:lang w:bidi="ar-AE"/>
        </w:rPr>
        <w:t>ExCom</w:t>
      </w:r>
      <w:proofErr w:type="spellEnd"/>
      <w:r w:rsidRPr="00C720B1">
        <w:rPr>
          <w:lang w:bidi="ar-AE"/>
        </w:rPr>
        <w:t>/88/37</w:t>
      </w:r>
      <w:r>
        <w:rPr>
          <w:rFonts w:hint="cs"/>
          <w:rtl/>
          <w:lang w:bidi="ar-AE"/>
        </w:rPr>
        <w:t>.</w:t>
      </w:r>
      <w:bookmarkEnd w:id="0"/>
    </w:p>
  </w:footnote>
  <w:footnote w:id="6">
    <w:p w14:paraId="3F82DC2C" w14:textId="4862ED7B" w:rsidR="00C720B1" w:rsidRPr="00C720B1" w:rsidRDefault="00C720B1" w:rsidP="00C720B1">
      <w:pPr>
        <w:pStyle w:val="FootnoteText"/>
        <w:bidi/>
        <w:rPr>
          <w:rtl/>
          <w:lang w:bidi="ar-AE"/>
        </w:rPr>
      </w:pPr>
      <w:r>
        <w:rPr>
          <w:rStyle w:val="FootnoteReference"/>
        </w:rPr>
        <w:footnoteRef/>
      </w:r>
      <w:r>
        <w:t xml:space="preserve"> </w:t>
      </w:r>
      <w:r w:rsidRPr="00C720B1">
        <w:rPr>
          <w:rtl/>
          <w:lang w:bidi="ar-AE"/>
        </w:rPr>
        <w:t xml:space="preserve">المستند </w:t>
      </w:r>
      <w:r w:rsidRPr="00C720B1">
        <w:rPr>
          <w:lang w:bidi="ar-AE"/>
        </w:rPr>
        <w:t>UNEP/</w:t>
      </w:r>
      <w:proofErr w:type="spellStart"/>
      <w:r w:rsidRPr="00C720B1">
        <w:rPr>
          <w:lang w:bidi="ar-AE"/>
        </w:rPr>
        <w:t>OzL.Pro</w:t>
      </w:r>
      <w:proofErr w:type="spellEnd"/>
      <w:r w:rsidRPr="00C720B1">
        <w:rPr>
          <w:lang w:bidi="ar-AE"/>
        </w:rPr>
        <w:t>/</w:t>
      </w:r>
      <w:proofErr w:type="spellStart"/>
      <w:r w:rsidRPr="00C720B1">
        <w:rPr>
          <w:lang w:bidi="ar-AE"/>
        </w:rPr>
        <w:t>ExCom</w:t>
      </w:r>
      <w:proofErr w:type="spellEnd"/>
      <w:r w:rsidRPr="00C720B1">
        <w:rPr>
          <w:lang w:bidi="ar-AE"/>
        </w:rPr>
        <w:t>/88/3</w:t>
      </w:r>
      <w:r>
        <w:rPr>
          <w:lang w:val="en-US" w:bidi="ar-AE"/>
        </w:rPr>
        <w:t>9</w:t>
      </w:r>
      <w:r w:rsidRPr="00C720B1">
        <w:rPr>
          <w:rtl/>
          <w:lang w:bidi="ar-AE"/>
        </w:rPr>
        <w:t>.</w:t>
      </w:r>
    </w:p>
  </w:footnote>
  <w:footnote w:id="7">
    <w:p w14:paraId="2F9DAF8C" w14:textId="76349CB3" w:rsidR="003C6562" w:rsidRPr="003C6562" w:rsidRDefault="003C6562" w:rsidP="003C6562">
      <w:pPr>
        <w:pStyle w:val="FootnoteText"/>
        <w:bidi/>
        <w:rPr>
          <w:rtl/>
          <w:lang w:bidi="ar-AE"/>
        </w:rPr>
      </w:pPr>
      <w:r>
        <w:rPr>
          <w:rStyle w:val="FootnoteReference"/>
        </w:rPr>
        <w:footnoteRef/>
      </w:r>
      <w:r>
        <w:t xml:space="preserve"> </w:t>
      </w:r>
      <w:r>
        <w:rPr>
          <w:rFonts w:hint="cs"/>
          <w:rtl/>
          <w:lang w:bidi="ar-AE"/>
        </w:rPr>
        <w:t xml:space="preserve">المستند </w:t>
      </w:r>
      <w:r w:rsidRPr="00C720B1">
        <w:rPr>
          <w:lang w:bidi="ar-AE"/>
        </w:rPr>
        <w:t>UNEP/</w:t>
      </w:r>
      <w:proofErr w:type="spellStart"/>
      <w:r w:rsidRPr="00C720B1">
        <w:rPr>
          <w:lang w:bidi="ar-AE"/>
        </w:rPr>
        <w:t>OzL.Pro</w:t>
      </w:r>
      <w:proofErr w:type="spellEnd"/>
      <w:r w:rsidRPr="00C720B1">
        <w:rPr>
          <w:lang w:bidi="ar-AE"/>
        </w:rPr>
        <w:t>/</w:t>
      </w:r>
      <w:proofErr w:type="spellStart"/>
      <w:r w:rsidRPr="00C720B1">
        <w:rPr>
          <w:lang w:bidi="ar-AE"/>
        </w:rPr>
        <w:t>ExCom</w:t>
      </w:r>
      <w:proofErr w:type="spellEnd"/>
      <w:r w:rsidRPr="00C720B1">
        <w:rPr>
          <w:lang w:bidi="ar-AE"/>
        </w:rPr>
        <w:t>/88/</w:t>
      </w:r>
      <w:r>
        <w:rPr>
          <w:lang w:bidi="ar-AE"/>
        </w:rPr>
        <w:t>44</w:t>
      </w:r>
      <w:r>
        <w:rPr>
          <w:rFonts w:hint="cs"/>
          <w:rtl/>
          <w:lang w:bidi="ar-AE"/>
        </w:rPr>
        <w:t>.</w:t>
      </w:r>
    </w:p>
  </w:footnote>
  <w:footnote w:id="8">
    <w:p w14:paraId="6BFDD051" w14:textId="2C09DB3C" w:rsidR="003C6562" w:rsidRPr="003C6562" w:rsidRDefault="003C6562" w:rsidP="00AE279E">
      <w:pPr>
        <w:pStyle w:val="FootnoteText"/>
        <w:bidi/>
        <w:rPr>
          <w:rtl/>
          <w:lang w:bidi="ar-AE"/>
        </w:rPr>
      </w:pPr>
      <w:r>
        <w:rPr>
          <w:rStyle w:val="FootnoteReference"/>
        </w:rPr>
        <w:footnoteRef/>
      </w:r>
      <w:r>
        <w:t xml:space="preserve"> </w:t>
      </w:r>
      <w:r w:rsidRPr="003C6562">
        <w:rPr>
          <w:rtl/>
          <w:lang w:bidi="ar-AE"/>
        </w:rPr>
        <w:t xml:space="preserve">المستند </w:t>
      </w:r>
      <w:r w:rsidRPr="003C6562">
        <w:rPr>
          <w:lang w:bidi="ar-AE"/>
        </w:rPr>
        <w:t>UNEP/</w:t>
      </w:r>
      <w:proofErr w:type="spellStart"/>
      <w:r w:rsidRPr="003C6562">
        <w:rPr>
          <w:lang w:bidi="ar-AE"/>
        </w:rPr>
        <w:t>OzL.Pro</w:t>
      </w:r>
      <w:proofErr w:type="spellEnd"/>
      <w:r w:rsidRPr="003C6562">
        <w:rPr>
          <w:lang w:bidi="ar-AE"/>
        </w:rPr>
        <w:t>/</w:t>
      </w:r>
      <w:proofErr w:type="spellStart"/>
      <w:r w:rsidRPr="003C6562">
        <w:rPr>
          <w:lang w:bidi="ar-AE"/>
        </w:rPr>
        <w:t>ExCom</w:t>
      </w:r>
      <w:proofErr w:type="spellEnd"/>
      <w:r w:rsidRPr="003C6562">
        <w:rPr>
          <w:lang w:bidi="ar-AE"/>
        </w:rPr>
        <w:t>/88/</w:t>
      </w:r>
      <w:r>
        <w:rPr>
          <w:lang w:bidi="ar-AE"/>
        </w:rPr>
        <w:t>46</w:t>
      </w:r>
      <w:r w:rsidRPr="003C6562">
        <w:rPr>
          <w:rtl/>
          <w:lang w:bidi="ar-AE"/>
        </w:rPr>
        <w:t>.</w:t>
      </w:r>
    </w:p>
  </w:footnote>
  <w:footnote w:id="9">
    <w:p w14:paraId="1F1FA749" w14:textId="33C2EED2" w:rsidR="00AE279E" w:rsidRPr="00AE279E" w:rsidRDefault="00AE279E" w:rsidP="00AE279E">
      <w:pPr>
        <w:pStyle w:val="FootnoteText"/>
        <w:bidi/>
        <w:rPr>
          <w:rtl/>
          <w:lang w:bidi="ar-AE"/>
        </w:rPr>
      </w:pPr>
      <w:r>
        <w:rPr>
          <w:rStyle w:val="FootnoteReference"/>
        </w:rPr>
        <w:footnoteRef/>
      </w:r>
      <w:r>
        <w:t xml:space="preserve"> </w:t>
      </w:r>
      <w:r w:rsidRPr="00AE279E">
        <w:rPr>
          <w:rtl/>
          <w:lang w:bidi="ar-AE"/>
        </w:rPr>
        <w:t xml:space="preserve">المستند </w:t>
      </w:r>
      <w:r w:rsidRPr="00AE279E">
        <w:rPr>
          <w:lang w:bidi="ar-AE"/>
        </w:rPr>
        <w:t>UNEP/</w:t>
      </w:r>
      <w:proofErr w:type="spellStart"/>
      <w:r w:rsidRPr="00AE279E">
        <w:rPr>
          <w:lang w:bidi="ar-AE"/>
        </w:rPr>
        <w:t>OzL.Pro</w:t>
      </w:r>
      <w:proofErr w:type="spellEnd"/>
      <w:r w:rsidRPr="00AE279E">
        <w:rPr>
          <w:lang w:bidi="ar-AE"/>
        </w:rPr>
        <w:t>/</w:t>
      </w:r>
      <w:proofErr w:type="spellStart"/>
      <w:r w:rsidRPr="00AE279E">
        <w:rPr>
          <w:lang w:bidi="ar-AE"/>
        </w:rPr>
        <w:t>ExCom</w:t>
      </w:r>
      <w:proofErr w:type="spellEnd"/>
      <w:r w:rsidRPr="00AE279E">
        <w:rPr>
          <w:lang w:bidi="ar-AE"/>
        </w:rPr>
        <w:t>/88/</w:t>
      </w:r>
      <w:r>
        <w:rPr>
          <w:lang w:bidi="ar-AE"/>
        </w:rPr>
        <w:t>47</w:t>
      </w:r>
      <w:r w:rsidRPr="00AE279E">
        <w:rPr>
          <w:rtl/>
          <w:lang w:bidi="ar-AE"/>
        </w:rPr>
        <w:t>.</w:t>
      </w:r>
    </w:p>
  </w:footnote>
  <w:footnote w:id="10">
    <w:p w14:paraId="2C9EFCBC" w14:textId="30776249" w:rsidR="00AE279E" w:rsidRPr="00AE279E" w:rsidRDefault="00AE279E" w:rsidP="00AE279E">
      <w:pPr>
        <w:pStyle w:val="FootnoteText"/>
        <w:bidi/>
        <w:rPr>
          <w:rtl/>
          <w:lang w:val="en-US" w:bidi="ar-AE"/>
        </w:rPr>
      </w:pPr>
      <w:r>
        <w:rPr>
          <w:rStyle w:val="FootnoteReference"/>
        </w:rPr>
        <w:footnoteRef/>
      </w:r>
      <w:r>
        <w:t xml:space="preserve"> </w:t>
      </w:r>
      <w:r w:rsidRPr="00AE279E">
        <w:rPr>
          <w:rtl/>
          <w:lang w:val="en-US" w:bidi="ar-AE"/>
        </w:rPr>
        <w:t xml:space="preserve">المستند </w:t>
      </w:r>
      <w:r w:rsidRPr="00AE279E">
        <w:rPr>
          <w:lang w:val="en-US" w:bidi="ar-AE"/>
        </w:rPr>
        <w:t>UNEP/</w:t>
      </w:r>
      <w:proofErr w:type="spellStart"/>
      <w:r w:rsidRPr="00AE279E">
        <w:rPr>
          <w:lang w:val="en-US" w:bidi="ar-AE"/>
        </w:rPr>
        <w:t>OzL.Pro</w:t>
      </w:r>
      <w:proofErr w:type="spellEnd"/>
      <w:r w:rsidRPr="00AE279E">
        <w:rPr>
          <w:lang w:val="en-US" w:bidi="ar-AE"/>
        </w:rPr>
        <w:t>/</w:t>
      </w:r>
      <w:proofErr w:type="spellStart"/>
      <w:r w:rsidRPr="00AE279E">
        <w:rPr>
          <w:lang w:val="en-US" w:bidi="ar-AE"/>
        </w:rPr>
        <w:t>ExCom</w:t>
      </w:r>
      <w:proofErr w:type="spellEnd"/>
      <w:r w:rsidRPr="00AE279E">
        <w:rPr>
          <w:lang w:val="en-US" w:bidi="ar-AE"/>
        </w:rPr>
        <w:t>/88/</w:t>
      </w:r>
      <w:r>
        <w:rPr>
          <w:lang w:val="en-US" w:bidi="ar-AE"/>
        </w:rPr>
        <w:t>51</w:t>
      </w:r>
      <w:r w:rsidRPr="00AE279E">
        <w:rPr>
          <w:rtl/>
          <w:lang w:val="en-US" w:bidi="ar-AE"/>
        </w:rPr>
        <w:t>.</w:t>
      </w:r>
    </w:p>
  </w:footnote>
  <w:footnote w:id="11">
    <w:p w14:paraId="48F3990D" w14:textId="38804F72" w:rsidR="00AE279E" w:rsidRPr="00AE279E" w:rsidRDefault="00AE279E" w:rsidP="00AE279E">
      <w:pPr>
        <w:pStyle w:val="FootnoteText"/>
        <w:bidi/>
        <w:rPr>
          <w:rtl/>
          <w:lang w:bidi="ar-AE"/>
        </w:rPr>
      </w:pPr>
      <w:r>
        <w:rPr>
          <w:rStyle w:val="FootnoteReference"/>
        </w:rPr>
        <w:footnoteRef/>
      </w:r>
      <w:r>
        <w:t xml:space="preserve"> </w:t>
      </w:r>
      <w:r w:rsidRPr="00AE279E">
        <w:rPr>
          <w:rtl/>
          <w:lang w:bidi="ar-AE"/>
        </w:rPr>
        <w:t xml:space="preserve">المستند </w:t>
      </w:r>
      <w:r w:rsidRPr="00AE279E">
        <w:rPr>
          <w:lang w:bidi="ar-AE"/>
        </w:rPr>
        <w:t>UNEP/</w:t>
      </w:r>
      <w:proofErr w:type="spellStart"/>
      <w:r w:rsidRPr="00AE279E">
        <w:rPr>
          <w:lang w:bidi="ar-AE"/>
        </w:rPr>
        <w:t>OzL.Pro</w:t>
      </w:r>
      <w:proofErr w:type="spellEnd"/>
      <w:r w:rsidRPr="00AE279E">
        <w:rPr>
          <w:lang w:bidi="ar-AE"/>
        </w:rPr>
        <w:t>/</w:t>
      </w:r>
      <w:proofErr w:type="spellStart"/>
      <w:r w:rsidRPr="00AE279E">
        <w:rPr>
          <w:lang w:bidi="ar-AE"/>
        </w:rPr>
        <w:t>ExCom</w:t>
      </w:r>
      <w:proofErr w:type="spellEnd"/>
      <w:r w:rsidRPr="00AE279E">
        <w:rPr>
          <w:lang w:bidi="ar-AE"/>
        </w:rPr>
        <w:t>/88/</w:t>
      </w:r>
      <w:r>
        <w:rPr>
          <w:lang w:bidi="ar-AE"/>
        </w:rPr>
        <w:t>55</w:t>
      </w:r>
      <w:r w:rsidRPr="00AE279E">
        <w:rPr>
          <w:rtl/>
          <w:lang w:bidi="ar-AE"/>
        </w:rPr>
        <w:t>.</w:t>
      </w:r>
    </w:p>
  </w:footnote>
  <w:footnote w:id="12">
    <w:p w14:paraId="6EF1843D" w14:textId="18889A73" w:rsidR="00AE279E" w:rsidRPr="00AE279E" w:rsidRDefault="00AE279E" w:rsidP="00AE279E">
      <w:pPr>
        <w:pStyle w:val="FootnoteText"/>
        <w:bidi/>
        <w:rPr>
          <w:rtl/>
          <w:lang w:bidi="ar-AE"/>
        </w:rPr>
      </w:pPr>
      <w:r>
        <w:rPr>
          <w:rStyle w:val="FootnoteReference"/>
        </w:rPr>
        <w:footnoteRef/>
      </w:r>
      <w:r>
        <w:t xml:space="preserve"> </w:t>
      </w:r>
      <w:r w:rsidRPr="00AE279E">
        <w:rPr>
          <w:rtl/>
          <w:lang w:bidi="ar-AE"/>
        </w:rPr>
        <w:t xml:space="preserve">المستند </w:t>
      </w:r>
      <w:r w:rsidRPr="00AE279E">
        <w:rPr>
          <w:lang w:bidi="ar-AE"/>
        </w:rPr>
        <w:t>UNEP/</w:t>
      </w:r>
      <w:proofErr w:type="spellStart"/>
      <w:r w:rsidRPr="00AE279E">
        <w:rPr>
          <w:lang w:bidi="ar-AE"/>
        </w:rPr>
        <w:t>OzL.Pro</w:t>
      </w:r>
      <w:proofErr w:type="spellEnd"/>
      <w:r w:rsidRPr="00AE279E">
        <w:rPr>
          <w:lang w:bidi="ar-AE"/>
        </w:rPr>
        <w:t>/</w:t>
      </w:r>
      <w:proofErr w:type="spellStart"/>
      <w:r w:rsidRPr="00AE279E">
        <w:rPr>
          <w:lang w:bidi="ar-AE"/>
        </w:rPr>
        <w:t>ExCom</w:t>
      </w:r>
      <w:proofErr w:type="spellEnd"/>
      <w:r w:rsidRPr="00AE279E">
        <w:rPr>
          <w:lang w:bidi="ar-AE"/>
        </w:rPr>
        <w:t>/88/</w:t>
      </w:r>
      <w:r>
        <w:rPr>
          <w:lang w:bidi="ar-AE"/>
        </w:rPr>
        <w:t>56</w:t>
      </w:r>
      <w:r w:rsidRPr="00AE279E">
        <w:rPr>
          <w:rtl/>
          <w:lang w:bidi="ar-AE"/>
        </w:rPr>
        <w:t>.</w:t>
      </w:r>
    </w:p>
  </w:footnote>
  <w:footnote w:id="13">
    <w:p w14:paraId="6AF89A0C" w14:textId="15D7F1CA" w:rsidR="00AE279E" w:rsidRPr="00AE279E" w:rsidRDefault="00AE279E" w:rsidP="00AE279E">
      <w:pPr>
        <w:pStyle w:val="FootnoteText"/>
        <w:bidi/>
        <w:rPr>
          <w:rtl/>
          <w:lang w:bidi="ar-AE"/>
        </w:rPr>
      </w:pPr>
      <w:r>
        <w:rPr>
          <w:rStyle w:val="FootnoteReference"/>
        </w:rPr>
        <w:footnoteRef/>
      </w:r>
      <w:r>
        <w:t xml:space="preserve"> </w:t>
      </w:r>
      <w:r w:rsidRPr="00AE279E">
        <w:rPr>
          <w:rtl/>
          <w:lang w:bidi="ar-AE"/>
        </w:rPr>
        <w:t xml:space="preserve">المستند </w:t>
      </w:r>
      <w:r w:rsidRPr="00AE279E">
        <w:rPr>
          <w:lang w:bidi="ar-AE"/>
        </w:rPr>
        <w:t>UNEP/</w:t>
      </w:r>
      <w:proofErr w:type="spellStart"/>
      <w:r w:rsidRPr="00AE279E">
        <w:rPr>
          <w:lang w:bidi="ar-AE"/>
        </w:rPr>
        <w:t>OzL.Pro</w:t>
      </w:r>
      <w:proofErr w:type="spellEnd"/>
      <w:r w:rsidRPr="00AE279E">
        <w:rPr>
          <w:lang w:bidi="ar-AE"/>
        </w:rPr>
        <w:t>/</w:t>
      </w:r>
      <w:proofErr w:type="spellStart"/>
      <w:r w:rsidRPr="00AE279E">
        <w:rPr>
          <w:lang w:bidi="ar-AE"/>
        </w:rPr>
        <w:t>ExCom</w:t>
      </w:r>
      <w:proofErr w:type="spellEnd"/>
      <w:r w:rsidRPr="00AE279E">
        <w:rPr>
          <w:lang w:bidi="ar-AE"/>
        </w:rPr>
        <w:t>/88/</w:t>
      </w:r>
      <w:r>
        <w:rPr>
          <w:lang w:bidi="ar-AE"/>
        </w:rPr>
        <w:t>59</w:t>
      </w:r>
      <w:r w:rsidRPr="00AE279E">
        <w:rPr>
          <w:rtl/>
          <w:lang w:bidi="ar-AE"/>
        </w:rPr>
        <w:t>.</w:t>
      </w:r>
    </w:p>
  </w:footnote>
  <w:footnote w:id="14">
    <w:p w14:paraId="3D6396F9" w14:textId="14A83760" w:rsidR="00AE279E" w:rsidRPr="00AE279E" w:rsidRDefault="00AE279E" w:rsidP="00AE279E">
      <w:pPr>
        <w:pStyle w:val="FootnoteText"/>
        <w:bidi/>
        <w:rPr>
          <w:rtl/>
          <w:lang w:bidi="ar-AE"/>
        </w:rPr>
      </w:pPr>
      <w:r>
        <w:rPr>
          <w:rStyle w:val="FootnoteReference"/>
        </w:rPr>
        <w:footnoteRef/>
      </w:r>
      <w:r>
        <w:t xml:space="preserve"> </w:t>
      </w:r>
      <w:r w:rsidRPr="00AE279E">
        <w:rPr>
          <w:rtl/>
          <w:lang w:bidi="ar-AE"/>
        </w:rPr>
        <w:t xml:space="preserve">المستند </w:t>
      </w:r>
      <w:r w:rsidRPr="00AE279E">
        <w:rPr>
          <w:lang w:bidi="ar-AE"/>
        </w:rPr>
        <w:t>UNEP/</w:t>
      </w:r>
      <w:proofErr w:type="spellStart"/>
      <w:r w:rsidRPr="00AE279E">
        <w:rPr>
          <w:lang w:bidi="ar-AE"/>
        </w:rPr>
        <w:t>OzL.Pro</w:t>
      </w:r>
      <w:proofErr w:type="spellEnd"/>
      <w:r w:rsidRPr="00AE279E">
        <w:rPr>
          <w:lang w:bidi="ar-AE"/>
        </w:rPr>
        <w:t>/</w:t>
      </w:r>
      <w:proofErr w:type="spellStart"/>
      <w:r w:rsidRPr="00AE279E">
        <w:rPr>
          <w:lang w:bidi="ar-AE"/>
        </w:rPr>
        <w:t>ExCom</w:t>
      </w:r>
      <w:proofErr w:type="spellEnd"/>
      <w:r w:rsidRPr="00AE279E">
        <w:rPr>
          <w:lang w:bidi="ar-AE"/>
        </w:rPr>
        <w:t>/88/</w:t>
      </w:r>
      <w:r>
        <w:rPr>
          <w:lang w:bidi="ar-AE"/>
        </w:rPr>
        <w:t>63</w:t>
      </w:r>
      <w:r w:rsidRPr="00AE279E">
        <w:rPr>
          <w:rtl/>
          <w:lang w:bidi="ar-AE"/>
        </w:rPr>
        <w:t>.</w:t>
      </w:r>
    </w:p>
  </w:footnote>
  <w:footnote w:id="15">
    <w:p w14:paraId="3662BDEB" w14:textId="58EA53CA" w:rsidR="0078216C" w:rsidRDefault="0078216C" w:rsidP="0078216C">
      <w:pPr>
        <w:pStyle w:val="FootnoteText"/>
        <w:bidi/>
        <w:rPr>
          <w:rtl/>
          <w:lang w:bidi="ar-AE"/>
        </w:rPr>
      </w:pPr>
      <w:r>
        <w:rPr>
          <w:rStyle w:val="FootnoteReference"/>
        </w:rPr>
        <w:footnoteRef/>
      </w:r>
      <w:r>
        <w:t xml:space="preserve"> </w:t>
      </w:r>
      <w:r w:rsidRPr="0078216C">
        <w:rPr>
          <w:rtl/>
          <w:lang w:bidi="ar-AE"/>
        </w:rPr>
        <w:t xml:space="preserve"> </w:t>
      </w:r>
      <w:r w:rsidRPr="0078216C">
        <w:rPr>
          <w:rtl/>
          <w:lang w:bidi="ar-AE"/>
        </w:rPr>
        <w:t>باستثناء البحرين التي سيتم فيها معالجة إلغاء شريحة 2020 من المرحلة الأولى من خطة إدارة إزالة المواد الهيدروكلوروفلوروكربونية في مقترح مشروع المرحلة الثانية من خطة إدارة إزالة المواد الهيدروكلوروفلوروكربونية</w:t>
      </w:r>
      <w:r w:rsidR="00037786">
        <w:rPr>
          <w:rFonts w:hint="cs"/>
          <w:rtl/>
          <w:lang w:bidi="ar-AE"/>
        </w:rPr>
        <w:t xml:space="preserve"> </w:t>
      </w:r>
      <w:r w:rsidR="00037786" w:rsidRPr="00037786">
        <w:rPr>
          <w:rtl/>
          <w:lang w:bidi="ar-AE"/>
        </w:rPr>
        <w:t>(</w:t>
      </w:r>
      <w:r w:rsidR="00037786" w:rsidRPr="00037786">
        <w:rPr>
          <w:lang w:bidi="ar-AE"/>
        </w:rPr>
        <w:t xml:space="preserve">UNEP / </w:t>
      </w:r>
      <w:proofErr w:type="spellStart"/>
      <w:r w:rsidR="00037786" w:rsidRPr="00037786">
        <w:rPr>
          <w:lang w:bidi="ar-AE"/>
        </w:rPr>
        <w:t>OzL.Pro</w:t>
      </w:r>
      <w:proofErr w:type="spellEnd"/>
      <w:r w:rsidR="00037786" w:rsidRPr="00037786">
        <w:rPr>
          <w:lang w:bidi="ar-AE"/>
        </w:rPr>
        <w:t xml:space="preserve"> / </w:t>
      </w:r>
      <w:proofErr w:type="spellStart"/>
      <w:r w:rsidR="00037786" w:rsidRPr="00037786">
        <w:rPr>
          <w:lang w:bidi="ar-AE"/>
        </w:rPr>
        <w:t>ExCom</w:t>
      </w:r>
      <w:proofErr w:type="spellEnd"/>
      <w:r w:rsidR="00037786" w:rsidRPr="00037786">
        <w:rPr>
          <w:lang w:bidi="ar-AE"/>
        </w:rPr>
        <w:t xml:space="preserve"> / 88/38</w:t>
      </w:r>
      <w:r w:rsidR="00037786" w:rsidRPr="00037786">
        <w:rPr>
          <w:rtl/>
          <w:lang w:bidi="ar-AE"/>
        </w:rPr>
        <w:t>)</w:t>
      </w:r>
      <w:r>
        <w:rPr>
          <w:rFonts w:hint="cs"/>
          <w:rtl/>
          <w:lang w:bidi="ar-AE"/>
        </w:rPr>
        <w:t xml:space="preserve">، </w:t>
      </w:r>
      <w:r w:rsidRPr="0078216C">
        <w:rPr>
          <w:rtl/>
          <w:lang w:bidi="ar-AE"/>
        </w:rPr>
        <w:t>وموريتانيا التي سيتم تناولها في التقارير الخاصة بالمشروعات ذات متطلبات الإبلاغ المحددة</w:t>
      </w:r>
      <w:r w:rsidR="00037786">
        <w:rPr>
          <w:rFonts w:hint="cs"/>
          <w:rtl/>
          <w:lang w:bidi="ar-AE"/>
        </w:rPr>
        <w:t xml:space="preserve"> </w:t>
      </w:r>
      <w:r w:rsidR="00037786" w:rsidRPr="00037786">
        <w:rPr>
          <w:rtl/>
          <w:lang w:bidi="ar-AE"/>
        </w:rPr>
        <w:t>(</w:t>
      </w:r>
      <w:r w:rsidR="00037786" w:rsidRPr="00037786">
        <w:rPr>
          <w:lang w:bidi="ar-AE"/>
        </w:rPr>
        <w:t>UNEP/</w:t>
      </w:r>
      <w:proofErr w:type="spellStart"/>
      <w:r w:rsidR="00037786" w:rsidRPr="00037786">
        <w:rPr>
          <w:lang w:bidi="ar-AE"/>
        </w:rPr>
        <w:t>OzL.Pro</w:t>
      </w:r>
      <w:proofErr w:type="spellEnd"/>
      <w:r w:rsidR="00037786" w:rsidRPr="00037786">
        <w:rPr>
          <w:lang w:bidi="ar-AE"/>
        </w:rPr>
        <w:t>/</w:t>
      </w:r>
      <w:proofErr w:type="spellStart"/>
      <w:r w:rsidR="00037786" w:rsidRPr="00037786">
        <w:rPr>
          <w:lang w:bidi="ar-AE"/>
        </w:rPr>
        <w:t>ExCom</w:t>
      </w:r>
      <w:proofErr w:type="spellEnd"/>
      <w:r w:rsidR="00037786" w:rsidRPr="00037786">
        <w:rPr>
          <w:lang w:bidi="ar-AE"/>
        </w:rPr>
        <w:t>/88/18</w:t>
      </w:r>
      <w:r w:rsidR="00037786" w:rsidRPr="00037786">
        <w:rPr>
          <w:rtl/>
          <w:lang w:bidi="ar-AE"/>
        </w:rPr>
        <w:t>)</w:t>
      </w:r>
      <w:r>
        <w:rPr>
          <w:rFonts w:hint="cs"/>
          <w:rtl/>
          <w:lang w:bidi="ar-AE"/>
        </w:rPr>
        <w:t>.</w:t>
      </w:r>
    </w:p>
  </w:footnote>
  <w:footnote w:id="16">
    <w:p w14:paraId="1261BE33" w14:textId="3C4C6751" w:rsidR="00037786" w:rsidRDefault="00037786" w:rsidP="00037786">
      <w:pPr>
        <w:pStyle w:val="FootnoteText"/>
        <w:bidi/>
        <w:rPr>
          <w:rtl/>
          <w:lang w:bidi="ar-AE"/>
        </w:rPr>
      </w:pPr>
      <w:r>
        <w:rPr>
          <w:rStyle w:val="FootnoteReference"/>
        </w:rPr>
        <w:footnoteRef/>
      </w:r>
      <w:r>
        <w:t xml:space="preserve"> </w:t>
      </w:r>
      <w:r w:rsidR="00647480" w:rsidRPr="00037786">
        <w:rPr>
          <w:rFonts w:hint="cs"/>
          <w:rtl/>
          <w:lang w:bidi="ar-AE"/>
        </w:rPr>
        <w:t>للمقارنة في</w:t>
      </w:r>
      <w:r w:rsidRPr="00037786">
        <w:rPr>
          <w:rtl/>
          <w:lang w:bidi="ar-AE"/>
        </w:rPr>
        <w:t xml:space="preserve"> الاجتماع السابع والثمانين، لم يتم تقديم 36 شريحة من 37 بلداً </w:t>
      </w:r>
      <w:r w:rsidR="00647480">
        <w:rPr>
          <w:rFonts w:hint="cs"/>
          <w:rtl/>
          <w:lang w:bidi="ar-AE"/>
        </w:rPr>
        <w:t>في</w:t>
      </w:r>
      <w:r w:rsidRPr="00037786">
        <w:rPr>
          <w:rtl/>
          <w:lang w:bidi="ar-AE"/>
        </w:rPr>
        <w:t xml:space="preserve"> موعد استحقاقها.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B948" w14:textId="77777777" w:rsidR="001C5E0F" w:rsidRPr="0033525D" w:rsidRDefault="00D1112B">
    <w:r>
      <w:fldChar w:fldCharType="begin"/>
    </w:r>
    <w:r>
      <w:instrText xml:space="preserve"> DOCPROPERTY "Document number"  \* MERGEFORMAT </w:instrText>
    </w:r>
    <w:r>
      <w:fldChar w:fldCharType="separate"/>
    </w:r>
    <w:r w:rsidR="0011712E">
      <w:t>UNEP/</w:t>
    </w:r>
    <w:proofErr w:type="spellStart"/>
    <w:r w:rsidR="0011712E">
      <w:t>OzL.Pro</w:t>
    </w:r>
    <w:proofErr w:type="spellEnd"/>
    <w:r w:rsidR="0011712E">
      <w:t>/</w:t>
    </w:r>
    <w:proofErr w:type="spellStart"/>
    <w:r w:rsidR="0011712E">
      <w:t>ExCom</w:t>
    </w:r>
    <w:proofErr w:type="spellEnd"/>
    <w:r w:rsidR="0011712E">
      <w:t>/88/21</w:t>
    </w:r>
    <w:r>
      <w:fldChar w:fldCharType="end"/>
    </w:r>
  </w:p>
  <w:p w14:paraId="5576CF07" w14:textId="77777777" w:rsidR="001C5E0F" w:rsidRPr="0033525D" w:rsidRDefault="001C5E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059C" w14:textId="77777777" w:rsidR="001C5E0F" w:rsidRPr="0033525D" w:rsidRDefault="00D1112B">
    <w:pPr>
      <w:jc w:val="right"/>
    </w:pPr>
    <w:r>
      <w:fldChar w:fldCharType="begin"/>
    </w:r>
    <w:r>
      <w:instrText xml:space="preserve"> DOCPROPERTY "Document number"  \* MERGEFORMAT </w:instrText>
    </w:r>
    <w:r>
      <w:fldChar w:fldCharType="separate"/>
    </w:r>
    <w:r w:rsidR="007F2FD8">
      <w:t>UNEP/</w:t>
    </w:r>
    <w:proofErr w:type="spellStart"/>
    <w:r w:rsidR="007F2FD8">
      <w:t>OzL.Pro</w:t>
    </w:r>
    <w:proofErr w:type="spellEnd"/>
    <w:r w:rsidR="007F2FD8">
      <w:t>/</w:t>
    </w:r>
    <w:proofErr w:type="spellStart"/>
    <w:r w:rsidR="007F2FD8">
      <w:t>ExCom</w:t>
    </w:r>
    <w:proofErr w:type="spellEnd"/>
    <w:r w:rsidR="007F2FD8">
      <w:t>/88/21</w:t>
    </w:r>
    <w:r>
      <w:fldChar w:fldCharType="end"/>
    </w:r>
  </w:p>
  <w:p w14:paraId="4D7A2BCE" w14:textId="77777777" w:rsidR="001C5E0F" w:rsidRPr="0033525D" w:rsidRDefault="001C5E0F"/>
  <w:p w14:paraId="62EF5AAC" w14:textId="77777777" w:rsidR="001C5E0F" w:rsidRPr="0033525D" w:rsidRDefault="001C5E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B0D" w14:textId="77777777" w:rsidR="001C5E0F" w:rsidRPr="0033525D" w:rsidRDefault="00D1112B">
    <w:r>
      <w:fldChar w:fldCharType="begin"/>
    </w:r>
    <w:r>
      <w:instrText xml:space="preserve"> DOCPROPERTY "Document number"  \* MERGEFORMAT </w:instrText>
    </w:r>
    <w:r>
      <w:fldChar w:fldCharType="separate"/>
    </w:r>
    <w:r w:rsidR="00126BD6">
      <w:t>UNEP/</w:t>
    </w:r>
    <w:proofErr w:type="spellStart"/>
    <w:r w:rsidR="00126BD6">
      <w:t>OzL.Pro</w:t>
    </w:r>
    <w:proofErr w:type="spellEnd"/>
    <w:r w:rsidR="00126BD6">
      <w:t>/</w:t>
    </w:r>
    <w:proofErr w:type="spellStart"/>
    <w:r w:rsidR="00126BD6">
      <w:t>ExCom</w:t>
    </w:r>
    <w:proofErr w:type="spellEnd"/>
    <w:r w:rsidR="00126BD6">
      <w:t>/88/21</w:t>
    </w:r>
    <w:r>
      <w:fldChar w:fldCharType="end"/>
    </w:r>
  </w:p>
  <w:p w14:paraId="4DA005EA" w14:textId="77777777" w:rsidR="001C5E0F" w:rsidRPr="0033525D" w:rsidRDefault="00126BD6">
    <w:r>
      <w:t>Annex I</w:t>
    </w:r>
  </w:p>
  <w:p w14:paraId="0F0FB196" w14:textId="77777777" w:rsidR="001C5E0F" w:rsidRPr="0033525D" w:rsidRDefault="001C5E0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6072" w14:textId="77777777" w:rsidR="001C5E0F" w:rsidRDefault="00D1112B">
    <w:pPr>
      <w:jc w:val="right"/>
    </w:pPr>
    <w:r>
      <w:fldChar w:fldCharType="begin"/>
    </w:r>
    <w:r>
      <w:instrText xml:space="preserve"> DOCPROPERTY "Document number"  \* MERGEFORMAT </w:instrText>
    </w:r>
    <w:r>
      <w:fldChar w:fldCharType="separate"/>
    </w:r>
    <w:r w:rsidR="00F148F4">
      <w:t>UNEP/</w:t>
    </w:r>
    <w:proofErr w:type="spellStart"/>
    <w:r w:rsidR="00F148F4">
      <w:t>OzL.Pro</w:t>
    </w:r>
    <w:proofErr w:type="spellEnd"/>
    <w:r w:rsidR="00F148F4">
      <w:t>/</w:t>
    </w:r>
    <w:proofErr w:type="spellStart"/>
    <w:r w:rsidR="00F148F4">
      <w:t>ExCom</w:t>
    </w:r>
    <w:proofErr w:type="spellEnd"/>
    <w:r w:rsidR="00F148F4">
      <w:t>/88/21</w:t>
    </w:r>
    <w:r>
      <w:fldChar w:fldCharType="end"/>
    </w:r>
  </w:p>
  <w:p w14:paraId="1056CC56" w14:textId="77777777" w:rsidR="00F148F4" w:rsidRPr="0033525D" w:rsidRDefault="00F148F4">
    <w:pPr>
      <w:jc w:val="right"/>
    </w:pPr>
    <w:r>
      <w:t>Annex I</w:t>
    </w:r>
  </w:p>
  <w:p w14:paraId="6CE9A754" w14:textId="77777777" w:rsidR="001C5E0F" w:rsidRPr="0033525D" w:rsidRDefault="001C5E0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AA8E" w14:textId="77777777" w:rsidR="0011712E" w:rsidRDefault="00D1112B" w:rsidP="0011712E">
    <w:pPr>
      <w:jc w:val="right"/>
    </w:pPr>
    <w:r>
      <w:fldChar w:fldCharType="begin"/>
    </w:r>
    <w:r>
      <w:instrText xml:space="preserve"> DOCPROPERTY "Document number"  \* MERGEFORMAT </w:instrText>
    </w:r>
    <w:r>
      <w:fldChar w:fldCharType="separate"/>
    </w:r>
    <w:r w:rsidR="0011712E">
      <w:t>UNEP/</w:t>
    </w:r>
    <w:proofErr w:type="spellStart"/>
    <w:r w:rsidR="0011712E">
      <w:t>OzL.Pro</w:t>
    </w:r>
    <w:proofErr w:type="spellEnd"/>
    <w:r w:rsidR="0011712E">
      <w:t>/</w:t>
    </w:r>
    <w:proofErr w:type="spellStart"/>
    <w:r w:rsidR="0011712E">
      <w:t>ExCom</w:t>
    </w:r>
    <w:proofErr w:type="spellEnd"/>
    <w:r w:rsidR="0011712E">
      <w:t>/88/21</w:t>
    </w:r>
    <w:r>
      <w:fldChar w:fldCharType="end"/>
    </w:r>
  </w:p>
  <w:p w14:paraId="3E35D02B" w14:textId="77777777" w:rsidR="0011712E" w:rsidRPr="0033525D" w:rsidRDefault="0011712E" w:rsidP="0011712E">
    <w:pPr>
      <w:jc w:val="right"/>
    </w:pPr>
    <w:r>
      <w:t>Annex I</w:t>
    </w:r>
  </w:p>
  <w:p w14:paraId="317FDF82" w14:textId="77777777" w:rsidR="0011712E" w:rsidRDefault="0011712E" w:rsidP="00F148F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295214B"/>
    <w:multiLevelType w:val="hybridMultilevel"/>
    <w:tmpl w:val="CB18F426"/>
    <w:lvl w:ilvl="0" w:tplc="71AE85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0672238"/>
    <w:multiLevelType w:val="hybridMultilevel"/>
    <w:tmpl w:val="F9365270"/>
    <w:lvl w:ilvl="0" w:tplc="FFF8905A">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7"/>
  </w:num>
  <w:num w:numId="20">
    <w:abstractNumId w:val="1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6"/>
  </w:num>
  <w:num w:numId="36">
    <w:abstractNumId w:val="10"/>
  </w:num>
  <w:num w:numId="37">
    <w:abstractNumId w:val="13"/>
  </w:num>
  <w:num w:numId="38">
    <w:abstractNumId w:val="10"/>
  </w:num>
  <w:num w:numId="39">
    <w:abstractNumId w:val="10"/>
  </w:num>
  <w:num w:numId="40">
    <w:abstractNumId w:val="1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5C0FF2"/>
    <w:rsid w:val="00000FED"/>
    <w:rsid w:val="0000434E"/>
    <w:rsid w:val="00004B97"/>
    <w:rsid w:val="000211A9"/>
    <w:rsid w:val="00031260"/>
    <w:rsid w:val="00031CAB"/>
    <w:rsid w:val="000357D9"/>
    <w:rsid w:val="00035B6B"/>
    <w:rsid w:val="0003681A"/>
    <w:rsid w:val="000372B7"/>
    <w:rsid w:val="00037786"/>
    <w:rsid w:val="00037869"/>
    <w:rsid w:val="0004611C"/>
    <w:rsid w:val="00050F6E"/>
    <w:rsid w:val="00057D26"/>
    <w:rsid w:val="00061EC2"/>
    <w:rsid w:val="00066CE8"/>
    <w:rsid w:val="0007372F"/>
    <w:rsid w:val="0007487E"/>
    <w:rsid w:val="0007740C"/>
    <w:rsid w:val="00080ED0"/>
    <w:rsid w:val="00085B8F"/>
    <w:rsid w:val="00090481"/>
    <w:rsid w:val="000928A9"/>
    <w:rsid w:val="00093E54"/>
    <w:rsid w:val="000A257E"/>
    <w:rsid w:val="000A3826"/>
    <w:rsid w:val="000A6C26"/>
    <w:rsid w:val="000B0324"/>
    <w:rsid w:val="000B5F52"/>
    <w:rsid w:val="000C75AD"/>
    <w:rsid w:val="000D52A4"/>
    <w:rsid w:val="000D59F0"/>
    <w:rsid w:val="000D63A3"/>
    <w:rsid w:val="000D6D11"/>
    <w:rsid w:val="000E07BC"/>
    <w:rsid w:val="000E1D1F"/>
    <w:rsid w:val="000F1CD4"/>
    <w:rsid w:val="000F4103"/>
    <w:rsid w:val="000F70A7"/>
    <w:rsid w:val="001036FA"/>
    <w:rsid w:val="00107567"/>
    <w:rsid w:val="00113CCA"/>
    <w:rsid w:val="0011712E"/>
    <w:rsid w:val="00122F25"/>
    <w:rsid w:val="00123615"/>
    <w:rsid w:val="00126BD6"/>
    <w:rsid w:val="00135980"/>
    <w:rsid w:val="001444B5"/>
    <w:rsid w:val="001463DA"/>
    <w:rsid w:val="00164719"/>
    <w:rsid w:val="00166FC4"/>
    <w:rsid w:val="001677AC"/>
    <w:rsid w:val="00174FA3"/>
    <w:rsid w:val="001804EA"/>
    <w:rsid w:val="00186A88"/>
    <w:rsid w:val="00190A61"/>
    <w:rsid w:val="00193687"/>
    <w:rsid w:val="00196EFC"/>
    <w:rsid w:val="001A2215"/>
    <w:rsid w:val="001A3342"/>
    <w:rsid w:val="001A3E3D"/>
    <w:rsid w:val="001A5B23"/>
    <w:rsid w:val="001A60B8"/>
    <w:rsid w:val="001A7049"/>
    <w:rsid w:val="001B1E40"/>
    <w:rsid w:val="001B35BE"/>
    <w:rsid w:val="001B542B"/>
    <w:rsid w:val="001B656B"/>
    <w:rsid w:val="001C5E0F"/>
    <w:rsid w:val="001C764E"/>
    <w:rsid w:val="001D0EA1"/>
    <w:rsid w:val="001D5F58"/>
    <w:rsid w:val="001D7172"/>
    <w:rsid w:val="001E1052"/>
    <w:rsid w:val="001E1558"/>
    <w:rsid w:val="001E21B1"/>
    <w:rsid w:val="001E2207"/>
    <w:rsid w:val="001E2F93"/>
    <w:rsid w:val="001E3000"/>
    <w:rsid w:val="001E4554"/>
    <w:rsid w:val="001E56BE"/>
    <w:rsid w:val="001E61E5"/>
    <w:rsid w:val="001F2159"/>
    <w:rsid w:val="00210B8B"/>
    <w:rsid w:val="002137AE"/>
    <w:rsid w:val="00214863"/>
    <w:rsid w:val="00215181"/>
    <w:rsid w:val="002156B4"/>
    <w:rsid w:val="00221610"/>
    <w:rsid w:val="0022189F"/>
    <w:rsid w:val="00224FCD"/>
    <w:rsid w:val="00246444"/>
    <w:rsid w:val="0025108B"/>
    <w:rsid w:val="00253222"/>
    <w:rsid w:val="0025628D"/>
    <w:rsid w:val="00260FC9"/>
    <w:rsid w:val="00262847"/>
    <w:rsid w:val="00281BB2"/>
    <w:rsid w:val="0028296F"/>
    <w:rsid w:val="00292FBC"/>
    <w:rsid w:val="002A4161"/>
    <w:rsid w:val="002B254E"/>
    <w:rsid w:val="002B72E9"/>
    <w:rsid w:val="002C089A"/>
    <w:rsid w:val="002C6104"/>
    <w:rsid w:val="002C7998"/>
    <w:rsid w:val="002E2296"/>
    <w:rsid w:val="002E2AB7"/>
    <w:rsid w:val="002E30BB"/>
    <w:rsid w:val="002E7771"/>
    <w:rsid w:val="002F0212"/>
    <w:rsid w:val="002F1E53"/>
    <w:rsid w:val="002F2CAA"/>
    <w:rsid w:val="002F4727"/>
    <w:rsid w:val="0030052C"/>
    <w:rsid w:val="00306431"/>
    <w:rsid w:val="00311944"/>
    <w:rsid w:val="00321BF0"/>
    <w:rsid w:val="003306E1"/>
    <w:rsid w:val="003320E4"/>
    <w:rsid w:val="0033525D"/>
    <w:rsid w:val="0033675E"/>
    <w:rsid w:val="003414F3"/>
    <w:rsid w:val="0035613E"/>
    <w:rsid w:val="00363EE9"/>
    <w:rsid w:val="00371AAE"/>
    <w:rsid w:val="00376128"/>
    <w:rsid w:val="0037742E"/>
    <w:rsid w:val="00377D56"/>
    <w:rsid w:val="00381A4D"/>
    <w:rsid w:val="0038245A"/>
    <w:rsid w:val="003840E6"/>
    <w:rsid w:val="003852CA"/>
    <w:rsid w:val="00385CFC"/>
    <w:rsid w:val="0039337A"/>
    <w:rsid w:val="003A3189"/>
    <w:rsid w:val="003A3CA7"/>
    <w:rsid w:val="003A54D5"/>
    <w:rsid w:val="003B244D"/>
    <w:rsid w:val="003B33BD"/>
    <w:rsid w:val="003B569D"/>
    <w:rsid w:val="003B5D11"/>
    <w:rsid w:val="003B6C29"/>
    <w:rsid w:val="003C3C0E"/>
    <w:rsid w:val="003C6562"/>
    <w:rsid w:val="003D42A6"/>
    <w:rsid w:val="003D4F21"/>
    <w:rsid w:val="003D4FAC"/>
    <w:rsid w:val="003E0AEA"/>
    <w:rsid w:val="003E7906"/>
    <w:rsid w:val="003F3C50"/>
    <w:rsid w:val="003F5A26"/>
    <w:rsid w:val="00405008"/>
    <w:rsid w:val="00406A6A"/>
    <w:rsid w:val="00406B22"/>
    <w:rsid w:val="00412073"/>
    <w:rsid w:val="00412170"/>
    <w:rsid w:val="00417DAF"/>
    <w:rsid w:val="00422EDE"/>
    <w:rsid w:val="004328A7"/>
    <w:rsid w:val="00434C74"/>
    <w:rsid w:val="00445406"/>
    <w:rsid w:val="00446348"/>
    <w:rsid w:val="00452FF9"/>
    <w:rsid w:val="00456EB4"/>
    <w:rsid w:val="004615EE"/>
    <w:rsid w:val="004674F7"/>
    <w:rsid w:val="00470192"/>
    <w:rsid w:val="004718F3"/>
    <w:rsid w:val="00475040"/>
    <w:rsid w:val="00477B03"/>
    <w:rsid w:val="00482AF5"/>
    <w:rsid w:val="00490432"/>
    <w:rsid w:val="00493D40"/>
    <w:rsid w:val="00494620"/>
    <w:rsid w:val="004963FC"/>
    <w:rsid w:val="004967B6"/>
    <w:rsid w:val="004A1000"/>
    <w:rsid w:val="004A504B"/>
    <w:rsid w:val="004A6911"/>
    <w:rsid w:val="004A76C1"/>
    <w:rsid w:val="004B54E0"/>
    <w:rsid w:val="004B7384"/>
    <w:rsid w:val="004C2FB2"/>
    <w:rsid w:val="004C32BF"/>
    <w:rsid w:val="004C4269"/>
    <w:rsid w:val="004D6236"/>
    <w:rsid w:val="004D7F90"/>
    <w:rsid w:val="004E4DBB"/>
    <w:rsid w:val="004E4E41"/>
    <w:rsid w:val="004E7F9C"/>
    <w:rsid w:val="004F3493"/>
    <w:rsid w:val="004F5143"/>
    <w:rsid w:val="00506269"/>
    <w:rsid w:val="0051004D"/>
    <w:rsid w:val="00512970"/>
    <w:rsid w:val="00512B09"/>
    <w:rsid w:val="005220ED"/>
    <w:rsid w:val="00522BB1"/>
    <w:rsid w:val="00531AC2"/>
    <w:rsid w:val="00533796"/>
    <w:rsid w:val="00537343"/>
    <w:rsid w:val="00544977"/>
    <w:rsid w:val="00555D75"/>
    <w:rsid w:val="00560DF0"/>
    <w:rsid w:val="0056759C"/>
    <w:rsid w:val="005842F8"/>
    <w:rsid w:val="00585690"/>
    <w:rsid w:val="0059513E"/>
    <w:rsid w:val="0059766D"/>
    <w:rsid w:val="005A088D"/>
    <w:rsid w:val="005A6AA4"/>
    <w:rsid w:val="005A6D9F"/>
    <w:rsid w:val="005B290D"/>
    <w:rsid w:val="005B48FF"/>
    <w:rsid w:val="005C0C7A"/>
    <w:rsid w:val="005C0FF2"/>
    <w:rsid w:val="005C3039"/>
    <w:rsid w:val="005D195C"/>
    <w:rsid w:val="005D363F"/>
    <w:rsid w:val="005D6E11"/>
    <w:rsid w:val="00600E2F"/>
    <w:rsid w:val="00604C15"/>
    <w:rsid w:val="006158D5"/>
    <w:rsid w:val="00620AC1"/>
    <w:rsid w:val="00625D83"/>
    <w:rsid w:val="006263A3"/>
    <w:rsid w:val="0062715A"/>
    <w:rsid w:val="00635B0C"/>
    <w:rsid w:val="0064025E"/>
    <w:rsid w:val="006415E9"/>
    <w:rsid w:val="00647480"/>
    <w:rsid w:val="0065067C"/>
    <w:rsid w:val="00660324"/>
    <w:rsid w:val="006623E7"/>
    <w:rsid w:val="00662B80"/>
    <w:rsid w:val="00664A85"/>
    <w:rsid w:val="00670F6C"/>
    <w:rsid w:val="00682F8E"/>
    <w:rsid w:val="006852C7"/>
    <w:rsid w:val="006852CE"/>
    <w:rsid w:val="00686501"/>
    <w:rsid w:val="00692965"/>
    <w:rsid w:val="00692D14"/>
    <w:rsid w:val="00695E09"/>
    <w:rsid w:val="006A2EC8"/>
    <w:rsid w:val="006A44DD"/>
    <w:rsid w:val="006B40E2"/>
    <w:rsid w:val="006B65C7"/>
    <w:rsid w:val="006B7D31"/>
    <w:rsid w:val="006C1727"/>
    <w:rsid w:val="006C1C52"/>
    <w:rsid w:val="006C32FD"/>
    <w:rsid w:val="006C39CE"/>
    <w:rsid w:val="006D0FCC"/>
    <w:rsid w:val="006D21F5"/>
    <w:rsid w:val="006E0F2E"/>
    <w:rsid w:val="006E126D"/>
    <w:rsid w:val="006E1FC3"/>
    <w:rsid w:val="006F5103"/>
    <w:rsid w:val="006F5732"/>
    <w:rsid w:val="00704CE9"/>
    <w:rsid w:val="0070616B"/>
    <w:rsid w:val="00706295"/>
    <w:rsid w:val="00706FDA"/>
    <w:rsid w:val="00711F9A"/>
    <w:rsid w:val="00713810"/>
    <w:rsid w:val="00715B76"/>
    <w:rsid w:val="0072038B"/>
    <w:rsid w:val="007303A5"/>
    <w:rsid w:val="00730B3E"/>
    <w:rsid w:val="0073420B"/>
    <w:rsid w:val="007366CF"/>
    <w:rsid w:val="00743859"/>
    <w:rsid w:val="0074760E"/>
    <w:rsid w:val="00747D2E"/>
    <w:rsid w:val="00754ABA"/>
    <w:rsid w:val="0077161E"/>
    <w:rsid w:val="007740F5"/>
    <w:rsid w:val="0078043F"/>
    <w:rsid w:val="0078216C"/>
    <w:rsid w:val="00782B0D"/>
    <w:rsid w:val="00783FC3"/>
    <w:rsid w:val="00794EF6"/>
    <w:rsid w:val="007A0C06"/>
    <w:rsid w:val="007A1546"/>
    <w:rsid w:val="007A228C"/>
    <w:rsid w:val="007A368E"/>
    <w:rsid w:val="007A5868"/>
    <w:rsid w:val="007B04CE"/>
    <w:rsid w:val="007B6871"/>
    <w:rsid w:val="007B7A2F"/>
    <w:rsid w:val="007C3D33"/>
    <w:rsid w:val="007C52C4"/>
    <w:rsid w:val="007D294A"/>
    <w:rsid w:val="007D4453"/>
    <w:rsid w:val="007D47D2"/>
    <w:rsid w:val="007D6EC0"/>
    <w:rsid w:val="007D7E1D"/>
    <w:rsid w:val="007E6E73"/>
    <w:rsid w:val="007E7B51"/>
    <w:rsid w:val="007F2FD8"/>
    <w:rsid w:val="007F4100"/>
    <w:rsid w:val="008031F6"/>
    <w:rsid w:val="008162C9"/>
    <w:rsid w:val="00831979"/>
    <w:rsid w:val="008347AC"/>
    <w:rsid w:val="008354E5"/>
    <w:rsid w:val="00844650"/>
    <w:rsid w:val="00851352"/>
    <w:rsid w:val="00857077"/>
    <w:rsid w:val="0085729E"/>
    <w:rsid w:val="00863230"/>
    <w:rsid w:val="00865BD0"/>
    <w:rsid w:val="008700A9"/>
    <w:rsid w:val="008717D8"/>
    <w:rsid w:val="0087215C"/>
    <w:rsid w:val="00875D25"/>
    <w:rsid w:val="00880E35"/>
    <w:rsid w:val="00884536"/>
    <w:rsid w:val="00886A76"/>
    <w:rsid w:val="008875FE"/>
    <w:rsid w:val="00887F8E"/>
    <w:rsid w:val="00896234"/>
    <w:rsid w:val="008975B0"/>
    <w:rsid w:val="00897E43"/>
    <w:rsid w:val="008A0344"/>
    <w:rsid w:val="008A1677"/>
    <w:rsid w:val="008C4756"/>
    <w:rsid w:val="008C5738"/>
    <w:rsid w:val="008C7EAD"/>
    <w:rsid w:val="008D028A"/>
    <w:rsid w:val="008D0CFE"/>
    <w:rsid w:val="008D6152"/>
    <w:rsid w:val="008E7BA9"/>
    <w:rsid w:val="008F0B28"/>
    <w:rsid w:val="008F0F81"/>
    <w:rsid w:val="008F27BF"/>
    <w:rsid w:val="009142EC"/>
    <w:rsid w:val="009154C3"/>
    <w:rsid w:val="00921045"/>
    <w:rsid w:val="00923540"/>
    <w:rsid w:val="00926767"/>
    <w:rsid w:val="009276F1"/>
    <w:rsid w:val="009361D5"/>
    <w:rsid w:val="009412CE"/>
    <w:rsid w:val="009428A4"/>
    <w:rsid w:val="00947E74"/>
    <w:rsid w:val="0096257F"/>
    <w:rsid w:val="009659F4"/>
    <w:rsid w:val="00965C36"/>
    <w:rsid w:val="00970D60"/>
    <w:rsid w:val="00974464"/>
    <w:rsid w:val="009845C8"/>
    <w:rsid w:val="009912FB"/>
    <w:rsid w:val="0099390E"/>
    <w:rsid w:val="009960E5"/>
    <w:rsid w:val="009A7ADC"/>
    <w:rsid w:val="009B0D30"/>
    <w:rsid w:val="009B1034"/>
    <w:rsid w:val="009B178C"/>
    <w:rsid w:val="009C19B7"/>
    <w:rsid w:val="009C1FE4"/>
    <w:rsid w:val="009C2A61"/>
    <w:rsid w:val="009C5ABB"/>
    <w:rsid w:val="009D2A2A"/>
    <w:rsid w:val="009D2DE1"/>
    <w:rsid w:val="009D6E86"/>
    <w:rsid w:val="009D7C51"/>
    <w:rsid w:val="009E0DD8"/>
    <w:rsid w:val="009E196C"/>
    <w:rsid w:val="009E3E30"/>
    <w:rsid w:val="009E5AF2"/>
    <w:rsid w:val="009E777E"/>
    <w:rsid w:val="009F32F3"/>
    <w:rsid w:val="009F36BF"/>
    <w:rsid w:val="009F753D"/>
    <w:rsid w:val="00A111B6"/>
    <w:rsid w:val="00A14682"/>
    <w:rsid w:val="00A20E2A"/>
    <w:rsid w:val="00A26D27"/>
    <w:rsid w:val="00A33289"/>
    <w:rsid w:val="00A3417E"/>
    <w:rsid w:val="00A376EE"/>
    <w:rsid w:val="00A40A54"/>
    <w:rsid w:val="00A42A99"/>
    <w:rsid w:val="00A47104"/>
    <w:rsid w:val="00A5151A"/>
    <w:rsid w:val="00A57E0A"/>
    <w:rsid w:val="00A63972"/>
    <w:rsid w:val="00A65B7B"/>
    <w:rsid w:val="00A66293"/>
    <w:rsid w:val="00A823F6"/>
    <w:rsid w:val="00A84C59"/>
    <w:rsid w:val="00A8719E"/>
    <w:rsid w:val="00A8766C"/>
    <w:rsid w:val="00AA0A89"/>
    <w:rsid w:val="00AA6429"/>
    <w:rsid w:val="00AB4970"/>
    <w:rsid w:val="00AC01AA"/>
    <w:rsid w:val="00AC4F72"/>
    <w:rsid w:val="00AC75E1"/>
    <w:rsid w:val="00AE279E"/>
    <w:rsid w:val="00AE6193"/>
    <w:rsid w:val="00AF0820"/>
    <w:rsid w:val="00AF5B7E"/>
    <w:rsid w:val="00AF741A"/>
    <w:rsid w:val="00B01ADB"/>
    <w:rsid w:val="00B04161"/>
    <w:rsid w:val="00B056F9"/>
    <w:rsid w:val="00B10E99"/>
    <w:rsid w:val="00B11C77"/>
    <w:rsid w:val="00B11E3D"/>
    <w:rsid w:val="00B12DBB"/>
    <w:rsid w:val="00B17E82"/>
    <w:rsid w:val="00B21120"/>
    <w:rsid w:val="00B31D90"/>
    <w:rsid w:val="00B40FEC"/>
    <w:rsid w:val="00B4575A"/>
    <w:rsid w:val="00B575BA"/>
    <w:rsid w:val="00B600B7"/>
    <w:rsid w:val="00B71608"/>
    <w:rsid w:val="00B74EFA"/>
    <w:rsid w:val="00B76429"/>
    <w:rsid w:val="00B77617"/>
    <w:rsid w:val="00B86471"/>
    <w:rsid w:val="00B93361"/>
    <w:rsid w:val="00B956D4"/>
    <w:rsid w:val="00B95DE1"/>
    <w:rsid w:val="00B97446"/>
    <w:rsid w:val="00BA7432"/>
    <w:rsid w:val="00BB2764"/>
    <w:rsid w:val="00BB3817"/>
    <w:rsid w:val="00BC1AA0"/>
    <w:rsid w:val="00BC2495"/>
    <w:rsid w:val="00BC7EB9"/>
    <w:rsid w:val="00BD2643"/>
    <w:rsid w:val="00BD56B1"/>
    <w:rsid w:val="00BD6558"/>
    <w:rsid w:val="00BF2F76"/>
    <w:rsid w:val="00BF3022"/>
    <w:rsid w:val="00BF3214"/>
    <w:rsid w:val="00BF5573"/>
    <w:rsid w:val="00C15867"/>
    <w:rsid w:val="00C2296D"/>
    <w:rsid w:val="00C23155"/>
    <w:rsid w:val="00C24120"/>
    <w:rsid w:val="00C40C41"/>
    <w:rsid w:val="00C45885"/>
    <w:rsid w:val="00C47BBA"/>
    <w:rsid w:val="00C50F22"/>
    <w:rsid w:val="00C57971"/>
    <w:rsid w:val="00C63AD1"/>
    <w:rsid w:val="00C65BD7"/>
    <w:rsid w:val="00C720B1"/>
    <w:rsid w:val="00C76BA4"/>
    <w:rsid w:val="00C83A48"/>
    <w:rsid w:val="00C85865"/>
    <w:rsid w:val="00C85E85"/>
    <w:rsid w:val="00C96BC1"/>
    <w:rsid w:val="00CA2EAE"/>
    <w:rsid w:val="00CA4AC1"/>
    <w:rsid w:val="00CB0316"/>
    <w:rsid w:val="00CB0B11"/>
    <w:rsid w:val="00CB426A"/>
    <w:rsid w:val="00CB5354"/>
    <w:rsid w:val="00CC06A6"/>
    <w:rsid w:val="00CC3B66"/>
    <w:rsid w:val="00CC3C9E"/>
    <w:rsid w:val="00CC4D61"/>
    <w:rsid w:val="00CC6A14"/>
    <w:rsid w:val="00CC70A3"/>
    <w:rsid w:val="00CD305D"/>
    <w:rsid w:val="00CD4442"/>
    <w:rsid w:val="00CD53C3"/>
    <w:rsid w:val="00CD574E"/>
    <w:rsid w:val="00CE0C63"/>
    <w:rsid w:val="00CE29FE"/>
    <w:rsid w:val="00CE3FC7"/>
    <w:rsid w:val="00CE4C22"/>
    <w:rsid w:val="00CE76E5"/>
    <w:rsid w:val="00CF086F"/>
    <w:rsid w:val="00CF41EC"/>
    <w:rsid w:val="00CF43BC"/>
    <w:rsid w:val="00CF5D04"/>
    <w:rsid w:val="00CF7326"/>
    <w:rsid w:val="00D04DE4"/>
    <w:rsid w:val="00D063F1"/>
    <w:rsid w:val="00D1112B"/>
    <w:rsid w:val="00D146A2"/>
    <w:rsid w:val="00D14F22"/>
    <w:rsid w:val="00D21BC5"/>
    <w:rsid w:val="00D24450"/>
    <w:rsid w:val="00D24712"/>
    <w:rsid w:val="00D269A5"/>
    <w:rsid w:val="00D4741C"/>
    <w:rsid w:val="00D5099A"/>
    <w:rsid w:val="00D57629"/>
    <w:rsid w:val="00D57918"/>
    <w:rsid w:val="00D67337"/>
    <w:rsid w:val="00D72902"/>
    <w:rsid w:val="00D733F9"/>
    <w:rsid w:val="00D73DC6"/>
    <w:rsid w:val="00D74C1A"/>
    <w:rsid w:val="00D754C1"/>
    <w:rsid w:val="00D77393"/>
    <w:rsid w:val="00D77A35"/>
    <w:rsid w:val="00D81B3E"/>
    <w:rsid w:val="00D90C70"/>
    <w:rsid w:val="00D90E49"/>
    <w:rsid w:val="00D94665"/>
    <w:rsid w:val="00D96ADE"/>
    <w:rsid w:val="00DA0582"/>
    <w:rsid w:val="00DA0CE2"/>
    <w:rsid w:val="00DB61DD"/>
    <w:rsid w:val="00DC6A10"/>
    <w:rsid w:val="00DD3706"/>
    <w:rsid w:val="00DD6086"/>
    <w:rsid w:val="00DE5E7E"/>
    <w:rsid w:val="00DE657E"/>
    <w:rsid w:val="00DF012B"/>
    <w:rsid w:val="00DF1E91"/>
    <w:rsid w:val="00DF4704"/>
    <w:rsid w:val="00DF60FB"/>
    <w:rsid w:val="00E00E9F"/>
    <w:rsid w:val="00E0177E"/>
    <w:rsid w:val="00E024AA"/>
    <w:rsid w:val="00E05440"/>
    <w:rsid w:val="00E15C77"/>
    <w:rsid w:val="00E23B8F"/>
    <w:rsid w:val="00E250F1"/>
    <w:rsid w:val="00E334E4"/>
    <w:rsid w:val="00E3550D"/>
    <w:rsid w:val="00E43DA9"/>
    <w:rsid w:val="00E43DB8"/>
    <w:rsid w:val="00E52838"/>
    <w:rsid w:val="00E53421"/>
    <w:rsid w:val="00E5615A"/>
    <w:rsid w:val="00E614E0"/>
    <w:rsid w:val="00E636AB"/>
    <w:rsid w:val="00E71092"/>
    <w:rsid w:val="00E73F7F"/>
    <w:rsid w:val="00E76F25"/>
    <w:rsid w:val="00E85409"/>
    <w:rsid w:val="00E95099"/>
    <w:rsid w:val="00EA1EAD"/>
    <w:rsid w:val="00EA429F"/>
    <w:rsid w:val="00EA4F9E"/>
    <w:rsid w:val="00EA5658"/>
    <w:rsid w:val="00EA63CA"/>
    <w:rsid w:val="00EA68DD"/>
    <w:rsid w:val="00EA6D3B"/>
    <w:rsid w:val="00EB00AD"/>
    <w:rsid w:val="00EB136C"/>
    <w:rsid w:val="00EB44C3"/>
    <w:rsid w:val="00EB480E"/>
    <w:rsid w:val="00EB4DC0"/>
    <w:rsid w:val="00EB5EC6"/>
    <w:rsid w:val="00EB7FC9"/>
    <w:rsid w:val="00ED27E8"/>
    <w:rsid w:val="00ED7137"/>
    <w:rsid w:val="00EF06EA"/>
    <w:rsid w:val="00EF0FF8"/>
    <w:rsid w:val="00EF28DE"/>
    <w:rsid w:val="00F077B0"/>
    <w:rsid w:val="00F14048"/>
    <w:rsid w:val="00F148F4"/>
    <w:rsid w:val="00F14FE0"/>
    <w:rsid w:val="00F20FB6"/>
    <w:rsid w:val="00F21088"/>
    <w:rsid w:val="00F21225"/>
    <w:rsid w:val="00F21F5F"/>
    <w:rsid w:val="00F22052"/>
    <w:rsid w:val="00F31BAE"/>
    <w:rsid w:val="00F327E7"/>
    <w:rsid w:val="00F35746"/>
    <w:rsid w:val="00F447C7"/>
    <w:rsid w:val="00F459B4"/>
    <w:rsid w:val="00F51DA2"/>
    <w:rsid w:val="00F5211B"/>
    <w:rsid w:val="00F54523"/>
    <w:rsid w:val="00F554A9"/>
    <w:rsid w:val="00F57857"/>
    <w:rsid w:val="00F652E8"/>
    <w:rsid w:val="00F67542"/>
    <w:rsid w:val="00F70F81"/>
    <w:rsid w:val="00F716FD"/>
    <w:rsid w:val="00F719C3"/>
    <w:rsid w:val="00F763C5"/>
    <w:rsid w:val="00F76AA4"/>
    <w:rsid w:val="00F80355"/>
    <w:rsid w:val="00F81657"/>
    <w:rsid w:val="00F87C43"/>
    <w:rsid w:val="00F909AE"/>
    <w:rsid w:val="00F910F5"/>
    <w:rsid w:val="00FA5722"/>
    <w:rsid w:val="00FB0C81"/>
    <w:rsid w:val="00FB79D5"/>
    <w:rsid w:val="00FC2200"/>
    <w:rsid w:val="00FC2540"/>
    <w:rsid w:val="00FD4E9F"/>
    <w:rsid w:val="00FE3D25"/>
    <w:rsid w:val="00FF0204"/>
    <w:rsid w:val="00FF2AFB"/>
    <w:rsid w:val="00FF3AED"/>
    <w:rsid w:val="00FF6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16A"/>
  <w15:docId w15:val="{CD6CB3B2-C715-43E9-9C5F-C2555EB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C0FF2"/>
    <w:rPr>
      <w:sz w:val="22"/>
      <w:szCs w:val="22"/>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5C0FF2"/>
    <w:rPr>
      <w:sz w:val="22"/>
      <w:szCs w:val="22"/>
      <w:lang w:val="en-CA"/>
    </w:rPr>
  </w:style>
  <w:style w:type="character" w:customStyle="1" w:styleId="FooterChar">
    <w:name w:val="Footer Char"/>
    <w:basedOn w:val="DefaultParagraphFont"/>
    <w:link w:val="Footer"/>
    <w:uiPriority w:val="99"/>
    <w:rsid w:val="0011712E"/>
    <w:rPr>
      <w:sz w:val="22"/>
      <w:szCs w:val="22"/>
      <w:lang w:val="en-CA"/>
    </w:rPr>
  </w:style>
  <w:style w:type="paragraph" w:styleId="Caption">
    <w:name w:val="caption"/>
    <w:basedOn w:val="Normal"/>
    <w:next w:val="Normal"/>
    <w:qFormat/>
    <w:rsid w:val="00F81657"/>
    <w:pPr>
      <w:bidi/>
      <w:ind w:left="180" w:hanging="180"/>
      <w:jc w:val="lowKashida"/>
    </w:pPr>
    <w:rPr>
      <w:rFonts w:cs="Simplified Arabic"/>
      <w:sz w:val="24"/>
      <w:szCs w:val="32"/>
      <w:lang w:val="en-US" w:eastAsia="en-C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174">
      <w:bodyDiv w:val="1"/>
      <w:marLeft w:val="0"/>
      <w:marRight w:val="0"/>
      <w:marTop w:val="0"/>
      <w:marBottom w:val="0"/>
      <w:divBdr>
        <w:top w:val="none" w:sz="0" w:space="0" w:color="auto"/>
        <w:left w:val="none" w:sz="0" w:space="0" w:color="auto"/>
        <w:bottom w:val="none" w:sz="0" w:space="0" w:color="auto"/>
        <w:right w:val="none" w:sz="0" w:space="0" w:color="auto"/>
      </w:divBdr>
    </w:div>
    <w:div w:id="737940397">
      <w:bodyDiv w:val="1"/>
      <w:marLeft w:val="0"/>
      <w:marRight w:val="0"/>
      <w:marTop w:val="0"/>
      <w:marBottom w:val="0"/>
      <w:divBdr>
        <w:top w:val="none" w:sz="0" w:space="0" w:color="auto"/>
        <w:left w:val="none" w:sz="0" w:space="0" w:color="auto"/>
        <w:bottom w:val="none" w:sz="0" w:space="0" w:color="auto"/>
        <w:right w:val="none" w:sz="0" w:space="0" w:color="auto"/>
      </w:divBdr>
    </w:div>
    <w:div w:id="942686470">
      <w:bodyDiv w:val="1"/>
      <w:marLeft w:val="0"/>
      <w:marRight w:val="0"/>
      <w:marTop w:val="0"/>
      <w:marBottom w:val="0"/>
      <w:divBdr>
        <w:top w:val="none" w:sz="0" w:space="0" w:color="auto"/>
        <w:left w:val="none" w:sz="0" w:space="0" w:color="auto"/>
        <w:bottom w:val="none" w:sz="0" w:space="0" w:color="auto"/>
        <w:right w:val="none" w:sz="0" w:space="0" w:color="auto"/>
      </w:divBdr>
    </w:div>
    <w:div w:id="1069885256">
      <w:bodyDiv w:val="1"/>
      <w:marLeft w:val="0"/>
      <w:marRight w:val="0"/>
      <w:marTop w:val="0"/>
      <w:marBottom w:val="0"/>
      <w:divBdr>
        <w:top w:val="none" w:sz="0" w:space="0" w:color="auto"/>
        <w:left w:val="none" w:sz="0" w:space="0" w:color="auto"/>
        <w:bottom w:val="none" w:sz="0" w:space="0" w:color="auto"/>
        <w:right w:val="none" w:sz="0" w:space="0" w:color="auto"/>
      </w:divBdr>
    </w:div>
    <w:div w:id="1176923784">
      <w:bodyDiv w:val="1"/>
      <w:marLeft w:val="0"/>
      <w:marRight w:val="0"/>
      <w:marTop w:val="0"/>
      <w:marBottom w:val="0"/>
      <w:divBdr>
        <w:top w:val="none" w:sz="0" w:space="0" w:color="auto"/>
        <w:left w:val="none" w:sz="0" w:space="0" w:color="auto"/>
        <w:bottom w:val="none" w:sz="0" w:space="0" w:color="auto"/>
        <w:right w:val="none" w:sz="0" w:space="0" w:color="auto"/>
      </w:divBdr>
    </w:div>
    <w:div w:id="147595255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38714729">
      <w:bodyDiv w:val="1"/>
      <w:marLeft w:val="0"/>
      <w:marRight w:val="0"/>
      <w:marTop w:val="0"/>
      <w:marBottom w:val="0"/>
      <w:divBdr>
        <w:top w:val="none" w:sz="0" w:space="0" w:color="auto"/>
        <w:left w:val="none" w:sz="0" w:space="0" w:color="auto"/>
        <w:bottom w:val="none" w:sz="0" w:space="0" w:color="auto"/>
        <w:right w:val="none" w:sz="0" w:space="0" w:color="auto"/>
      </w:divBdr>
    </w:div>
    <w:div w:id="21077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UNEP/OzL.Pro/ExCom/88/21</Document_x0020_Number>
    <DocumentType xmlns="48d2d36d-b4e3-478b-a344-cdbeebaca89a">Pre-session</DocumentType>
  </documentManagement>
</p:properties>
</file>

<file path=customXml/itemProps1.xml><?xml version="1.0" encoding="utf-8"?>
<ds:datastoreItem xmlns:ds="http://schemas.openxmlformats.org/officeDocument/2006/customXml" ds:itemID="{35A18D22-1FE6-4380-A83A-024E5A579156}"/>
</file>

<file path=customXml/itemProps2.xml><?xml version="1.0" encoding="utf-8"?>
<ds:datastoreItem xmlns:ds="http://schemas.openxmlformats.org/officeDocument/2006/customXml" ds:itemID="{6C1ECF19-22E7-4024-AEA3-D47C8DF2111F}"/>
</file>

<file path=customXml/itemProps3.xml><?xml version="1.0" encoding="utf-8"?>
<ds:datastoreItem xmlns:ds="http://schemas.openxmlformats.org/officeDocument/2006/customXml" ds:itemID="{420FBB48-430C-4F43-837B-5AB503FDC165}"/>
</file>

<file path=customXml/itemProps4.xml><?xml version="1.0" encoding="utf-8"?>
<ds:datastoreItem xmlns:ds="http://schemas.openxmlformats.org/officeDocument/2006/customXml" ds:itemID="{B9469F11-27DA-4867-9690-BC032CCF24F4}"/>
</file>

<file path=docProps/app.xml><?xml version="1.0" encoding="utf-8"?>
<Properties xmlns="http://schemas.openxmlformats.org/officeDocument/2006/extended-properties" xmlns:vt="http://schemas.openxmlformats.org/officeDocument/2006/docPropsVTypes">
  <Template>Normal</Template>
  <TotalTime>1074</TotalTime>
  <Pages>10</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تأخيرات في تقديم الشرائح</vt:lpstr>
    </vt:vector>
  </TitlesOfParts>
  <Company>UNMFS</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تأخيرات في تقديم الشرائح</dc:title>
  <dc:creator>Laura Duong</dc:creator>
  <cp:lastModifiedBy>HBE</cp:lastModifiedBy>
  <cp:revision>115</cp:revision>
  <cp:lastPrinted>2001-05-26T16:40:00Z</cp:lastPrinted>
  <dcterms:created xsi:type="dcterms:W3CDTF">2021-10-27T17:07:00Z</dcterms:created>
  <dcterms:modified xsi:type="dcterms:W3CDTF">2021-11-18T21:47:00Z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UNEP/OzL.Pro/ExCom/88/21</vt:lpwstr>
  </property>
  <property fmtid="{D5CDD505-2E9C-101B-9397-08002B2CF9AE}" pid="3" name="Revision date">
    <vt:lpwstr>10/25/2021</vt:lpwstr>
  </property>
  <property fmtid="{D5CDD505-2E9C-101B-9397-08002B2CF9AE}" pid="4" name="ContentTypeId">
    <vt:lpwstr>0x010100488D9FAD523F8946A9A809FFA43FA4BD</vt:lpwstr>
  </property>
</Properties>
</file>