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D10596" w:rsidRPr="009B0D30" w14:paraId="069F8A27" w14:textId="77777777" w:rsidTr="00D10596">
        <w:trPr>
          <w:trHeight w:val="720"/>
        </w:trPr>
        <w:tc>
          <w:tcPr>
            <w:tcW w:w="5490" w:type="dxa"/>
            <w:gridSpan w:val="2"/>
            <w:tcBorders>
              <w:bottom w:val="single" w:sz="18" w:space="0" w:color="auto"/>
            </w:tcBorders>
          </w:tcPr>
          <w:p w14:paraId="1F3456C4" w14:textId="77777777" w:rsidR="00D10596" w:rsidRPr="009B0D30" w:rsidRDefault="00D10596" w:rsidP="00D1059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35F156E6" w14:textId="77777777" w:rsidR="00D10596" w:rsidRPr="009B0D30" w:rsidRDefault="00D10596" w:rsidP="00D10596">
            <w:pPr>
              <w:jc w:val="right"/>
              <w:rPr>
                <w:sz w:val="52"/>
                <w:szCs w:val="52"/>
              </w:rPr>
            </w:pPr>
            <w:r w:rsidRPr="009B0D30">
              <w:rPr>
                <w:rFonts w:ascii="Univers Bold" w:hAnsi="Univers Bold"/>
                <w:b/>
                <w:sz w:val="72"/>
              </w:rPr>
              <w:t>EP</w:t>
            </w:r>
          </w:p>
        </w:tc>
      </w:tr>
      <w:tr w:rsidR="00D10596" w:rsidRPr="009B0D30" w14:paraId="008101B2" w14:textId="77777777" w:rsidTr="00D10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3183B06B" w14:textId="77777777" w:rsidR="00D10596" w:rsidRPr="009B0D30" w:rsidRDefault="00D10596" w:rsidP="00D10596">
            <w:pPr>
              <w:spacing w:before="120"/>
            </w:pPr>
            <w:r w:rsidRPr="009B0D30">
              <w:rPr>
                <w:noProof/>
                <w:lang w:val="en-US"/>
              </w:rPr>
              <mc:AlternateContent>
                <mc:Choice Requires="wpg">
                  <w:drawing>
                    <wp:anchor distT="0" distB="0" distL="114300" distR="114300" simplePos="0" relativeHeight="251659264" behindDoc="0" locked="0" layoutInCell="1" allowOverlap="1" wp14:anchorId="6709D49A" wp14:editId="7F2DF50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DC2A3E" id="Group 1" o:spid="_x0000_s1026" style="position:absolute;margin-left:.2pt;margin-top:2.85pt;width:66.5pt;height:127.25pt;z-index:251659264"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3"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4" o:title=""/>
                        <v:path arrowok="t"/>
                      </v:shape>
                    </v:group>
                  </w:pict>
                </mc:Fallback>
              </mc:AlternateContent>
            </w:r>
          </w:p>
        </w:tc>
        <w:tc>
          <w:tcPr>
            <w:tcW w:w="3420" w:type="dxa"/>
            <w:tcBorders>
              <w:top w:val="nil"/>
              <w:left w:val="nil"/>
              <w:bottom w:val="single" w:sz="36" w:space="0" w:color="auto"/>
              <w:right w:val="nil"/>
            </w:tcBorders>
          </w:tcPr>
          <w:p w14:paraId="2413BFD5" w14:textId="77777777" w:rsidR="00D10596" w:rsidRPr="009B0D30" w:rsidRDefault="00D10596" w:rsidP="00D1059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24B30262" w14:textId="77777777" w:rsidR="00D10596" w:rsidRPr="009B0D30" w:rsidRDefault="00D10596" w:rsidP="00D1059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026F1F54" w14:textId="77777777" w:rsidR="00D10596" w:rsidRPr="009B0D30" w:rsidRDefault="00D10596" w:rsidP="00D1059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7C11960E" w14:textId="77777777" w:rsidR="00D10596" w:rsidRPr="009B0D30" w:rsidRDefault="00D10596" w:rsidP="00D10596">
            <w:pPr>
              <w:spacing w:before="720"/>
              <w:ind w:left="158"/>
            </w:pPr>
          </w:p>
        </w:tc>
        <w:tc>
          <w:tcPr>
            <w:tcW w:w="4590" w:type="dxa"/>
            <w:tcBorders>
              <w:top w:val="nil"/>
              <w:left w:val="nil"/>
              <w:bottom w:val="single" w:sz="36" w:space="0" w:color="auto"/>
              <w:right w:val="nil"/>
            </w:tcBorders>
          </w:tcPr>
          <w:p w14:paraId="49B68E4D" w14:textId="77777777" w:rsidR="00D10596" w:rsidRPr="009B0D30" w:rsidRDefault="00D10596" w:rsidP="00D10596">
            <w:r w:rsidRPr="009B0D30">
              <w:t>Distr.</w:t>
            </w:r>
          </w:p>
          <w:p w14:paraId="7B7DEA13" w14:textId="77777777" w:rsidR="00D10596" w:rsidRPr="009B0D30" w:rsidRDefault="00D10596" w:rsidP="00D10596">
            <w:r w:rsidRPr="009B0D30">
              <w:t>GENERAL</w:t>
            </w:r>
          </w:p>
          <w:p w14:paraId="2889CD65" w14:textId="77777777" w:rsidR="00D10596" w:rsidRPr="009B0D30" w:rsidRDefault="00D10596" w:rsidP="00D10596"/>
          <w:p w14:paraId="49996426" w14:textId="77777777" w:rsidR="00D10596" w:rsidRPr="009B0D30" w:rsidRDefault="00D10596" w:rsidP="00D10596"/>
          <w:p w14:paraId="1CA3D216" w14:textId="77777777" w:rsidR="00D10596" w:rsidRPr="009B0D30" w:rsidRDefault="003067C8" w:rsidP="00D10596">
            <w:fldSimple w:instr=" DOCPROPERTY &quot;Document number&quot;  \* MERGEFORMAT ">
              <w:r w:rsidR="00873DDC">
                <w:t>UNEP/OzL.Pro/ExCom/88/19</w:t>
              </w:r>
            </w:fldSimple>
          </w:p>
          <w:p w14:paraId="53BF4605" w14:textId="4965CEA9" w:rsidR="00D10596" w:rsidRPr="009B0D30" w:rsidRDefault="00D10596" w:rsidP="00D10596">
            <w:r w:rsidRPr="009B0D30">
              <w:fldChar w:fldCharType="begin"/>
            </w:r>
            <w:r w:rsidRPr="009B0D30">
              <w:instrText xml:space="preserve"> DOCPROPERTY "Revision date" \@ "d MMMM YYYY"  \* MERGEFORMAT </w:instrText>
            </w:r>
            <w:r w:rsidRPr="009B0D30">
              <w:fldChar w:fldCharType="separate"/>
            </w:r>
            <w:r w:rsidR="00765981">
              <w:t>19 October 2021</w:t>
            </w:r>
            <w:r w:rsidRPr="009B0D30">
              <w:fldChar w:fldCharType="end"/>
            </w:r>
          </w:p>
          <w:p w14:paraId="6BEE1836" w14:textId="77777777" w:rsidR="00D10596" w:rsidRPr="009B0D30" w:rsidRDefault="00D10596" w:rsidP="00D10596">
            <w:pPr>
              <w:rPr>
                <w:caps/>
              </w:rPr>
            </w:pPr>
          </w:p>
          <w:p w14:paraId="2823CD20" w14:textId="77777777" w:rsidR="00D10596" w:rsidRPr="009B0D30" w:rsidRDefault="00D10596" w:rsidP="00D10596">
            <w:r w:rsidRPr="009B0D30">
              <w:t>ORIGINAL: ENGLISH</w:t>
            </w:r>
          </w:p>
        </w:tc>
      </w:tr>
    </w:tbl>
    <w:p w14:paraId="702ABE90" w14:textId="77777777" w:rsidR="00D10596" w:rsidRPr="00CC6E10" w:rsidRDefault="00D10596" w:rsidP="00D10596">
      <w:pPr>
        <w:jc w:val="left"/>
      </w:pPr>
      <w:r w:rsidRPr="009B0D30">
        <w:t>EXECUTIVE COMMITTEE OF</w:t>
      </w:r>
      <w:r w:rsidRPr="009B0D30">
        <w:br/>
        <w:t xml:space="preserve">  THE MULTILATERAL FUND FOR THE</w:t>
      </w:r>
      <w:r w:rsidRPr="009B0D30">
        <w:br/>
        <w:t xml:space="preserve">  IMPLEMENTATION OF THE MONTREAL PROTOCOL</w:t>
      </w:r>
      <w:r w:rsidRPr="009B0D30">
        <w:br/>
      </w:r>
      <w:r w:rsidRPr="00CC6E10">
        <w:t>Eighty-</w:t>
      </w:r>
      <w:r>
        <w:t xml:space="preserve">eighth </w:t>
      </w:r>
      <w:r w:rsidRPr="00CC6E10">
        <w:t>Meeting</w:t>
      </w:r>
    </w:p>
    <w:p w14:paraId="32DD7D4C" w14:textId="77777777" w:rsidR="00D10596" w:rsidRPr="009B0D30" w:rsidRDefault="00D10596" w:rsidP="00D10596">
      <w:pPr>
        <w:jc w:val="left"/>
      </w:pPr>
      <w:r w:rsidRPr="00CC6E10">
        <w:t xml:space="preserve">Montreal, </w:t>
      </w:r>
      <w:r>
        <w:t>15</w:t>
      </w:r>
      <w:r w:rsidRPr="00CC6E10">
        <w:t>-</w:t>
      </w:r>
      <w:r>
        <w:t>19</w:t>
      </w:r>
      <w:r w:rsidRPr="00CC6E10">
        <w:t xml:space="preserve"> </w:t>
      </w:r>
      <w:r>
        <w:t>November</w:t>
      </w:r>
      <w:r w:rsidRPr="00CC6E10">
        <w:t xml:space="preserve"> 2021</w:t>
      </w:r>
      <w:r>
        <w:rPr>
          <w:rStyle w:val="FootnoteReference"/>
        </w:rPr>
        <w:footnoteReference w:id="1"/>
      </w:r>
    </w:p>
    <w:p w14:paraId="761C89AC" w14:textId="77777777" w:rsidR="005220ED" w:rsidRPr="00D10596" w:rsidRDefault="005220ED" w:rsidP="00605D6D">
      <w:pPr>
        <w:widowControl w:val="0"/>
        <w:jc w:val="left"/>
      </w:pPr>
    </w:p>
    <w:p w14:paraId="3FDA8D1C" w14:textId="77777777" w:rsidR="00C15867" w:rsidRPr="00BB2764" w:rsidRDefault="00C15867" w:rsidP="00605D6D">
      <w:pPr>
        <w:widowControl w:val="0"/>
        <w:jc w:val="left"/>
        <w:rPr>
          <w:lang w:val="en-US"/>
        </w:rPr>
      </w:pPr>
    </w:p>
    <w:p w14:paraId="3E644E4D" w14:textId="77777777" w:rsidR="00222C40" w:rsidRPr="006524DF" w:rsidRDefault="00210DFF" w:rsidP="00605D6D">
      <w:pPr>
        <w:widowControl w:val="0"/>
        <w:spacing w:after="240"/>
        <w:jc w:val="center"/>
        <w:rPr>
          <w:b/>
          <w:caps/>
          <w:lang w:val="en-US"/>
        </w:rPr>
      </w:pPr>
      <w:r w:rsidRPr="006524DF">
        <w:rPr>
          <w:b/>
          <w:caps/>
          <w:lang w:val="en-US"/>
        </w:rPr>
        <w:t>2021</w:t>
      </w:r>
      <w:r w:rsidR="00222C40" w:rsidRPr="006524DF">
        <w:rPr>
          <w:b/>
          <w:caps/>
          <w:lang w:val="en-US"/>
        </w:rPr>
        <w:t xml:space="preserve"> </w:t>
      </w:r>
      <w:r w:rsidR="00222C40" w:rsidRPr="006524DF">
        <w:rPr>
          <w:b/>
        </w:rPr>
        <w:t>CONSOLIDATED PROJECT COMPLETION REPORT</w:t>
      </w:r>
    </w:p>
    <w:p w14:paraId="291CC5BA" w14:textId="77777777" w:rsidR="00222C40" w:rsidRPr="006524DF" w:rsidRDefault="00222C40" w:rsidP="00605D6D">
      <w:pPr>
        <w:pStyle w:val="StyleHeader4Para4Left0Firstline0"/>
        <w:numPr>
          <w:ilvl w:val="0"/>
          <w:numId w:val="0"/>
        </w:numPr>
        <w:rPr>
          <w:b/>
          <w:sz w:val="22"/>
        </w:rPr>
      </w:pPr>
      <w:r w:rsidRPr="006524DF">
        <w:rPr>
          <w:b/>
          <w:sz w:val="22"/>
        </w:rPr>
        <w:t>Background</w:t>
      </w:r>
    </w:p>
    <w:p w14:paraId="4FDA3DAC" w14:textId="3FA19FD7" w:rsidR="00261887" w:rsidRPr="006524DF" w:rsidRDefault="00222C40" w:rsidP="000D338E">
      <w:pPr>
        <w:pStyle w:val="Heading1"/>
        <w:widowControl w:val="0"/>
        <w:numPr>
          <w:ilvl w:val="0"/>
          <w:numId w:val="10"/>
        </w:numPr>
        <w:tabs>
          <w:tab w:val="clear" w:pos="0"/>
          <w:tab w:val="num" w:pos="720"/>
        </w:tabs>
      </w:pPr>
      <w:r w:rsidRPr="006524DF">
        <w:rPr>
          <w:lang w:val="en-US"/>
        </w:rPr>
        <w:t xml:space="preserve">The issue of outstanding </w:t>
      </w:r>
      <w:r w:rsidRPr="006524DF">
        <w:t xml:space="preserve">projects completion reports (PCRs) </w:t>
      </w:r>
      <w:r w:rsidRPr="006524DF">
        <w:rPr>
          <w:lang w:val="en-US"/>
        </w:rPr>
        <w:t xml:space="preserve">has been </w:t>
      </w:r>
      <w:r w:rsidR="00D86027" w:rsidRPr="006524DF">
        <w:rPr>
          <w:lang w:val="en-US"/>
        </w:rPr>
        <w:t xml:space="preserve">regularly </w:t>
      </w:r>
      <w:r w:rsidRPr="006524DF">
        <w:rPr>
          <w:lang w:val="en-US"/>
        </w:rPr>
        <w:t>addressed by the Executive Committee</w:t>
      </w:r>
      <w:r w:rsidR="00D86027" w:rsidRPr="006524DF">
        <w:rPr>
          <w:lang w:val="en-US"/>
        </w:rPr>
        <w:t xml:space="preserve"> over time. </w:t>
      </w:r>
      <w:r w:rsidR="000B4AEF" w:rsidRPr="006524DF">
        <w:rPr>
          <w:lang w:val="en-US"/>
        </w:rPr>
        <w:t>At its 87</w:t>
      </w:r>
      <w:r w:rsidRPr="006524DF">
        <w:rPr>
          <w:vertAlign w:val="superscript"/>
          <w:lang w:val="en-US"/>
        </w:rPr>
        <w:t>th</w:t>
      </w:r>
      <w:r w:rsidRPr="006524DF">
        <w:rPr>
          <w:lang w:val="en-US"/>
        </w:rPr>
        <w:t xml:space="preserve"> meeting, the Committee </w:t>
      </w:r>
      <w:r w:rsidRPr="006524DF">
        <w:rPr>
          <w:i/>
          <w:lang w:val="en-US"/>
        </w:rPr>
        <w:t xml:space="preserve">inter alia </w:t>
      </w:r>
      <w:r w:rsidRPr="006524DF">
        <w:t>urged bilateral and</w:t>
      </w:r>
      <w:r w:rsidRPr="006524DF">
        <w:rPr>
          <w:b/>
        </w:rPr>
        <w:t xml:space="preserve"> </w:t>
      </w:r>
      <w:r w:rsidRPr="006524DF">
        <w:t xml:space="preserve">implementing agencies (IAs) to submit </w:t>
      </w:r>
      <w:r w:rsidR="00D06E39" w:rsidRPr="006524DF">
        <w:t xml:space="preserve">to </w:t>
      </w:r>
      <w:r w:rsidR="00D564A6" w:rsidRPr="006524DF">
        <w:t>the 8</w:t>
      </w:r>
      <w:r w:rsidR="000B4AEF" w:rsidRPr="006524DF">
        <w:t>8</w:t>
      </w:r>
      <w:r w:rsidRPr="006524DF">
        <w:rPr>
          <w:vertAlign w:val="superscript"/>
        </w:rPr>
        <w:t>th</w:t>
      </w:r>
      <w:r w:rsidRPr="006524DF">
        <w:t xml:space="preserve"> meeting </w:t>
      </w:r>
      <w:r w:rsidR="00D86027" w:rsidRPr="006524DF">
        <w:t xml:space="preserve">the </w:t>
      </w:r>
      <w:r w:rsidR="00D06E39" w:rsidRPr="006524DF">
        <w:t xml:space="preserve">outstanding </w:t>
      </w:r>
      <w:r w:rsidRPr="006524DF">
        <w:t xml:space="preserve">PCRs for multi-year agreements (MYAs) and individual projects, </w:t>
      </w:r>
      <w:r w:rsidR="00D06E39" w:rsidRPr="006524DF">
        <w:t xml:space="preserve">or </w:t>
      </w:r>
      <w:r w:rsidRPr="006524DF">
        <w:t>to provide reasons</w:t>
      </w:r>
      <w:r w:rsidR="00D06E39" w:rsidRPr="006524DF">
        <w:t xml:space="preserve"> for </w:t>
      </w:r>
      <w:r w:rsidR="00ED7027" w:rsidRPr="006524DF">
        <w:t>failing to submit</w:t>
      </w:r>
      <w:r w:rsidR="00D06E39" w:rsidRPr="006524DF">
        <w:t xml:space="preserve"> such reports</w:t>
      </w:r>
      <w:r w:rsidR="00676C3E" w:rsidRPr="006524DF">
        <w:t xml:space="preserve">; and </w:t>
      </w:r>
      <w:r w:rsidRPr="006524DF">
        <w:t xml:space="preserve">also urged </w:t>
      </w:r>
      <w:r w:rsidR="00676C3E" w:rsidRPr="006524DF">
        <w:t xml:space="preserve">the </w:t>
      </w:r>
      <w:r w:rsidRPr="006524DF">
        <w:t xml:space="preserve">lead and cooperating IAs to coordinate their work closely in finalizing their portion of PCRs to allow the lead IA to submit the completed PCRs </w:t>
      </w:r>
      <w:r w:rsidR="00D06E39" w:rsidRPr="006524DF">
        <w:t>on</w:t>
      </w:r>
      <w:r w:rsidRPr="006524DF">
        <w:t xml:space="preserve"> schedule</w:t>
      </w:r>
      <w:r w:rsidRPr="006524DF">
        <w:rPr>
          <w:lang w:val="en-US"/>
        </w:rPr>
        <w:t xml:space="preserve"> (decision</w:t>
      </w:r>
      <w:r w:rsidR="00BC1D0A" w:rsidRPr="006524DF">
        <w:rPr>
          <w:lang w:val="en-US"/>
        </w:rPr>
        <w:t xml:space="preserve"> </w:t>
      </w:r>
      <w:r w:rsidRPr="006524DF">
        <w:rPr>
          <w:lang w:val="en-US"/>
        </w:rPr>
        <w:t>8</w:t>
      </w:r>
      <w:r w:rsidR="000B4AEF" w:rsidRPr="006524DF">
        <w:rPr>
          <w:lang w:val="en-US"/>
        </w:rPr>
        <w:t>7</w:t>
      </w:r>
      <w:r w:rsidRPr="006524DF">
        <w:rPr>
          <w:lang w:val="en-US"/>
        </w:rPr>
        <w:t>/</w:t>
      </w:r>
      <w:r w:rsidR="00BC1D0A" w:rsidRPr="006524DF">
        <w:rPr>
          <w:lang w:val="en-US"/>
        </w:rPr>
        <w:t>25</w:t>
      </w:r>
      <w:r w:rsidRPr="006524DF">
        <w:rPr>
          <w:lang w:val="en-US"/>
        </w:rPr>
        <w:t xml:space="preserve">(b) and (c)). </w:t>
      </w:r>
    </w:p>
    <w:p w14:paraId="027CC5CE" w14:textId="1D292D00" w:rsidR="00222C40" w:rsidRPr="006524DF" w:rsidRDefault="001E6CDA" w:rsidP="000D338E">
      <w:pPr>
        <w:pStyle w:val="Heading1"/>
        <w:widowControl w:val="0"/>
        <w:numPr>
          <w:ilvl w:val="0"/>
          <w:numId w:val="10"/>
        </w:numPr>
        <w:tabs>
          <w:tab w:val="clear" w:pos="0"/>
          <w:tab w:val="num" w:pos="720"/>
        </w:tabs>
      </w:pPr>
      <w:r w:rsidRPr="006524DF">
        <w:rPr>
          <w:lang w:val="en-US"/>
        </w:rPr>
        <w:t xml:space="preserve">Pursuant to decision </w:t>
      </w:r>
      <w:r w:rsidR="00BC1D0A" w:rsidRPr="006524DF">
        <w:rPr>
          <w:lang w:val="en-US"/>
        </w:rPr>
        <w:t>87/25</w:t>
      </w:r>
      <w:r w:rsidR="00222C40" w:rsidRPr="006524DF">
        <w:rPr>
          <w:lang w:val="en-US"/>
        </w:rPr>
        <w:t>(b) and (c), the list of all PCRs due w</w:t>
      </w:r>
      <w:r w:rsidR="0069054C" w:rsidRPr="006524DF">
        <w:rPr>
          <w:lang w:val="en-US"/>
        </w:rPr>
        <w:t>as</w:t>
      </w:r>
      <w:r w:rsidR="00222C40" w:rsidRPr="006524DF">
        <w:rPr>
          <w:lang w:val="en-US"/>
        </w:rPr>
        <w:t xml:space="preserve"> sent </w:t>
      </w:r>
      <w:r w:rsidR="0069054C" w:rsidRPr="006524DF">
        <w:rPr>
          <w:lang w:val="en-US"/>
        </w:rPr>
        <w:t xml:space="preserve">to bilateral and IAs </w:t>
      </w:r>
      <w:r w:rsidR="00222C40" w:rsidRPr="006524DF">
        <w:rPr>
          <w:lang w:val="en-US"/>
        </w:rPr>
        <w:t xml:space="preserve">on </w:t>
      </w:r>
      <w:r w:rsidR="000B4AEF" w:rsidRPr="006524DF">
        <w:rPr>
          <w:lang w:val="en-US"/>
        </w:rPr>
        <w:t>5</w:t>
      </w:r>
      <w:r w:rsidR="00DD415D" w:rsidRPr="006524DF">
        <w:rPr>
          <w:lang w:val="en-US"/>
        </w:rPr>
        <w:t> </w:t>
      </w:r>
      <w:r w:rsidR="000B4AEF" w:rsidRPr="006524DF">
        <w:rPr>
          <w:lang w:val="en-US"/>
        </w:rPr>
        <w:t>August</w:t>
      </w:r>
      <w:r w:rsidR="00173F16" w:rsidRPr="006524DF">
        <w:rPr>
          <w:lang w:val="en-US"/>
        </w:rPr>
        <w:t xml:space="preserve"> 2021.</w:t>
      </w:r>
      <w:r w:rsidR="008916A8" w:rsidRPr="006524DF">
        <w:rPr>
          <w:lang w:val="en-US"/>
        </w:rPr>
        <w:t xml:space="preserve"> </w:t>
      </w:r>
      <w:r w:rsidR="00BE1D11" w:rsidRPr="00765981">
        <w:rPr>
          <w:lang w:val="en-US"/>
        </w:rPr>
        <w:t>The new list containing outstanding PCRs and those due for 2022, as per the updated progress reports, was sent again to bilateral and IAs on 12 October 2021.</w:t>
      </w:r>
    </w:p>
    <w:p w14:paraId="07BD2CE8" w14:textId="77777777" w:rsidR="00222C40" w:rsidRPr="006524DF" w:rsidRDefault="00222C40" w:rsidP="00605D6D">
      <w:pPr>
        <w:pStyle w:val="lisa"/>
        <w:numPr>
          <w:ilvl w:val="0"/>
          <w:numId w:val="0"/>
        </w:numPr>
        <w:tabs>
          <w:tab w:val="left" w:pos="720"/>
        </w:tabs>
        <w:rPr>
          <w:szCs w:val="22"/>
          <w:lang w:val="fr-CA"/>
        </w:rPr>
      </w:pPr>
      <w:r w:rsidRPr="006524DF">
        <w:rPr>
          <w:szCs w:val="22"/>
        </w:rPr>
        <w:t>MYA PCRs received</w:t>
      </w:r>
    </w:p>
    <w:p w14:paraId="4AE3CEB1" w14:textId="526DF78D" w:rsidR="00996278" w:rsidRPr="006524DF" w:rsidRDefault="00996278" w:rsidP="00996278">
      <w:pPr>
        <w:pStyle w:val="Heading1"/>
        <w:widowControl w:val="0"/>
        <w:numPr>
          <w:ilvl w:val="0"/>
          <w:numId w:val="10"/>
        </w:numPr>
        <w:tabs>
          <w:tab w:val="clear" w:pos="0"/>
          <w:tab w:val="num" w:pos="720"/>
        </w:tabs>
        <w:rPr>
          <w:b/>
        </w:rPr>
      </w:pPr>
      <w:r w:rsidRPr="006524DF">
        <w:t>Of the 212 MYAs completed, bilateral and IAs submitted 204 PCRs prior to the 88</w:t>
      </w:r>
      <w:r w:rsidRPr="006524DF">
        <w:rPr>
          <w:vertAlign w:val="superscript"/>
        </w:rPr>
        <w:t>th</w:t>
      </w:r>
      <w:r w:rsidRPr="006524DF">
        <w:t xml:space="preserve"> meeting, </w:t>
      </w:r>
      <w:r w:rsidR="0028661D" w:rsidRPr="006524DF">
        <w:t>with an outstanding balance of eight</w:t>
      </w:r>
      <w:r w:rsidRPr="006524DF">
        <w:t xml:space="preserve"> as sho</w:t>
      </w:r>
      <w:r w:rsidR="0028661D" w:rsidRPr="006524DF">
        <w:t>wn in Table 1. The list of the five</w:t>
      </w:r>
      <w:r w:rsidRPr="006524DF">
        <w:t xml:space="preserve"> PCRs submitted after the 88</w:t>
      </w:r>
      <w:r w:rsidRPr="006524DF">
        <w:rPr>
          <w:vertAlign w:val="superscript"/>
        </w:rPr>
        <w:t>th </w:t>
      </w:r>
      <w:r w:rsidRPr="006524DF">
        <w:t xml:space="preserve">meeting is attached in Annex I to the </w:t>
      </w:r>
      <w:r w:rsidRPr="006524DF">
        <w:rPr>
          <w:lang w:val="en-US"/>
        </w:rPr>
        <w:t>present</w:t>
      </w:r>
      <w:r w:rsidRPr="006524DF">
        <w:t xml:space="preserve"> report. </w:t>
      </w:r>
    </w:p>
    <w:p w14:paraId="184C5FB0" w14:textId="77777777" w:rsidR="00222C40" w:rsidRPr="006524DF" w:rsidRDefault="00222C40" w:rsidP="00676C3E">
      <w:pPr>
        <w:pStyle w:val="Heading1"/>
        <w:widowControl w:val="0"/>
        <w:numPr>
          <w:ilvl w:val="0"/>
          <w:numId w:val="0"/>
        </w:numPr>
        <w:tabs>
          <w:tab w:val="left" w:pos="720"/>
        </w:tabs>
        <w:spacing w:after="0"/>
        <w:rPr>
          <w:b/>
        </w:rPr>
      </w:pPr>
      <w:r w:rsidRPr="006524DF">
        <w:rPr>
          <w:b/>
        </w:rPr>
        <w:t>Table 1. Overview of MYA PCRs</w:t>
      </w:r>
    </w:p>
    <w:tbl>
      <w:tblPr>
        <w:tblW w:w="9365" w:type="dxa"/>
        <w:tblInd w:w="-5" w:type="dxa"/>
        <w:tblLayout w:type="fixed"/>
        <w:tblLook w:val="04A0" w:firstRow="1" w:lastRow="0" w:firstColumn="1" w:lastColumn="0" w:noHBand="0" w:noVBand="1"/>
      </w:tblPr>
      <w:tblGrid>
        <w:gridCol w:w="1389"/>
        <w:gridCol w:w="1875"/>
        <w:gridCol w:w="2128"/>
        <w:gridCol w:w="1986"/>
        <w:gridCol w:w="1987"/>
      </w:tblGrid>
      <w:tr w:rsidR="00996278" w:rsidRPr="006524DF" w14:paraId="1B5EC63E" w14:textId="77777777" w:rsidTr="00996278">
        <w:trPr>
          <w:tblHeader/>
        </w:trPr>
        <w:tc>
          <w:tcPr>
            <w:tcW w:w="1389" w:type="dxa"/>
            <w:tcBorders>
              <w:top w:val="single" w:sz="4" w:space="0" w:color="auto"/>
              <w:left w:val="single" w:sz="4" w:space="0" w:color="auto"/>
              <w:bottom w:val="single" w:sz="4" w:space="0" w:color="auto"/>
              <w:right w:val="single" w:sz="4" w:space="0" w:color="auto"/>
            </w:tcBorders>
            <w:noWrap/>
            <w:vAlign w:val="center"/>
            <w:hideMark/>
          </w:tcPr>
          <w:p w14:paraId="5762D4A1" w14:textId="77777777" w:rsidR="00996278" w:rsidRPr="006524DF" w:rsidRDefault="00996278" w:rsidP="00676C3E">
            <w:pPr>
              <w:widowControl w:val="0"/>
              <w:jc w:val="left"/>
              <w:rPr>
                <w:b/>
                <w:bCs/>
                <w:color w:val="000000"/>
                <w:sz w:val="20"/>
                <w:szCs w:val="20"/>
                <w:lang w:val="en-CA" w:eastAsia="en-CA"/>
              </w:rPr>
            </w:pPr>
            <w:r w:rsidRPr="006524DF">
              <w:rPr>
                <w:b/>
                <w:bCs/>
                <w:color w:val="000000"/>
                <w:sz w:val="20"/>
                <w:szCs w:val="20"/>
                <w:lang w:eastAsia="en-CA"/>
              </w:rPr>
              <w:t>Lead agency</w:t>
            </w:r>
          </w:p>
        </w:tc>
        <w:tc>
          <w:tcPr>
            <w:tcW w:w="1875" w:type="dxa"/>
            <w:tcBorders>
              <w:top w:val="single" w:sz="4" w:space="0" w:color="auto"/>
              <w:left w:val="nil"/>
              <w:bottom w:val="single" w:sz="4" w:space="0" w:color="auto"/>
              <w:right w:val="single" w:sz="4" w:space="0" w:color="auto"/>
            </w:tcBorders>
            <w:noWrap/>
            <w:vAlign w:val="center"/>
            <w:hideMark/>
          </w:tcPr>
          <w:p w14:paraId="05840E5E" w14:textId="77777777" w:rsidR="00996278" w:rsidRPr="006524DF" w:rsidRDefault="00996278" w:rsidP="00676C3E">
            <w:pPr>
              <w:widowControl w:val="0"/>
              <w:jc w:val="center"/>
              <w:rPr>
                <w:b/>
                <w:bCs/>
                <w:color w:val="000000"/>
                <w:sz w:val="20"/>
                <w:szCs w:val="20"/>
                <w:lang w:val="en-CA" w:eastAsia="en-CA"/>
              </w:rPr>
            </w:pPr>
            <w:r w:rsidRPr="006524DF">
              <w:rPr>
                <w:b/>
                <w:bCs/>
                <w:color w:val="000000"/>
                <w:sz w:val="20"/>
                <w:szCs w:val="20"/>
                <w:lang w:eastAsia="en-CA"/>
              </w:rPr>
              <w:t>Completed</w:t>
            </w:r>
          </w:p>
        </w:tc>
        <w:tc>
          <w:tcPr>
            <w:tcW w:w="2128" w:type="dxa"/>
            <w:tcBorders>
              <w:top w:val="single" w:sz="4" w:space="0" w:color="auto"/>
              <w:left w:val="nil"/>
              <w:bottom w:val="single" w:sz="4" w:space="0" w:color="auto"/>
              <w:right w:val="single" w:sz="4" w:space="0" w:color="auto"/>
            </w:tcBorders>
            <w:vAlign w:val="center"/>
            <w:hideMark/>
          </w:tcPr>
          <w:p w14:paraId="3627D283" w14:textId="77777777" w:rsidR="00996278" w:rsidRPr="006524DF" w:rsidRDefault="00996278" w:rsidP="00676C3E">
            <w:pPr>
              <w:widowControl w:val="0"/>
              <w:jc w:val="center"/>
              <w:rPr>
                <w:b/>
                <w:bCs/>
                <w:sz w:val="20"/>
                <w:szCs w:val="20"/>
                <w:lang w:val="en-CA" w:eastAsia="en-CA"/>
              </w:rPr>
            </w:pPr>
            <w:r w:rsidRPr="006524DF">
              <w:rPr>
                <w:b/>
                <w:bCs/>
                <w:sz w:val="20"/>
                <w:szCs w:val="20"/>
                <w:lang w:eastAsia="en-CA"/>
              </w:rPr>
              <w:t>Received prior to the 87</w:t>
            </w:r>
            <w:r w:rsidRPr="006524DF">
              <w:rPr>
                <w:b/>
                <w:bCs/>
                <w:sz w:val="20"/>
                <w:szCs w:val="20"/>
                <w:vertAlign w:val="superscript"/>
                <w:lang w:eastAsia="en-CA"/>
              </w:rPr>
              <w:t>th</w:t>
            </w:r>
            <w:r w:rsidRPr="006524DF">
              <w:rPr>
                <w:b/>
                <w:bCs/>
                <w:sz w:val="20"/>
                <w:szCs w:val="20"/>
                <w:lang w:eastAsia="en-CA"/>
              </w:rPr>
              <w:t xml:space="preserve"> meeting</w:t>
            </w:r>
          </w:p>
        </w:tc>
        <w:tc>
          <w:tcPr>
            <w:tcW w:w="1986" w:type="dxa"/>
            <w:tcBorders>
              <w:top w:val="single" w:sz="4" w:space="0" w:color="auto"/>
              <w:left w:val="nil"/>
              <w:bottom w:val="single" w:sz="4" w:space="0" w:color="auto"/>
              <w:right w:val="single" w:sz="4" w:space="0" w:color="auto"/>
            </w:tcBorders>
            <w:vAlign w:val="center"/>
            <w:hideMark/>
          </w:tcPr>
          <w:p w14:paraId="30C3C56E" w14:textId="77777777" w:rsidR="00996278" w:rsidRPr="006524DF" w:rsidRDefault="00996278" w:rsidP="00676C3E">
            <w:pPr>
              <w:widowControl w:val="0"/>
              <w:jc w:val="center"/>
              <w:rPr>
                <w:b/>
                <w:bCs/>
                <w:sz w:val="20"/>
                <w:szCs w:val="20"/>
                <w:lang w:val="en-CA" w:eastAsia="en-CA"/>
              </w:rPr>
            </w:pPr>
            <w:r w:rsidRPr="006524DF">
              <w:rPr>
                <w:b/>
                <w:bCs/>
                <w:sz w:val="20"/>
                <w:szCs w:val="20"/>
                <w:lang w:eastAsia="en-CA"/>
              </w:rPr>
              <w:t>Received after the 87</w:t>
            </w:r>
            <w:r w:rsidRPr="006524DF">
              <w:rPr>
                <w:b/>
                <w:bCs/>
                <w:sz w:val="20"/>
                <w:szCs w:val="20"/>
                <w:vertAlign w:val="superscript"/>
                <w:lang w:eastAsia="en-CA"/>
              </w:rPr>
              <w:t>th</w:t>
            </w:r>
            <w:r w:rsidRPr="006524DF">
              <w:rPr>
                <w:b/>
                <w:bCs/>
                <w:sz w:val="20"/>
                <w:szCs w:val="20"/>
                <w:lang w:eastAsia="en-CA"/>
              </w:rPr>
              <w:t xml:space="preserve"> meeting</w:t>
            </w:r>
          </w:p>
        </w:tc>
        <w:tc>
          <w:tcPr>
            <w:tcW w:w="1987" w:type="dxa"/>
            <w:tcBorders>
              <w:top w:val="single" w:sz="4" w:space="0" w:color="auto"/>
              <w:left w:val="nil"/>
              <w:bottom w:val="single" w:sz="4" w:space="0" w:color="auto"/>
              <w:right w:val="single" w:sz="4" w:space="0" w:color="auto"/>
            </w:tcBorders>
            <w:vAlign w:val="center"/>
            <w:hideMark/>
          </w:tcPr>
          <w:p w14:paraId="6179DEA2" w14:textId="77777777" w:rsidR="00996278" w:rsidRPr="006524DF" w:rsidRDefault="00996278" w:rsidP="00676C3E">
            <w:pPr>
              <w:widowControl w:val="0"/>
              <w:jc w:val="center"/>
              <w:rPr>
                <w:b/>
                <w:bCs/>
                <w:sz w:val="20"/>
                <w:szCs w:val="20"/>
                <w:lang w:val="en-CA" w:eastAsia="en-CA"/>
              </w:rPr>
            </w:pPr>
            <w:r w:rsidRPr="006524DF">
              <w:rPr>
                <w:b/>
                <w:bCs/>
                <w:sz w:val="20"/>
                <w:szCs w:val="20"/>
                <w:lang w:eastAsia="en-CA"/>
              </w:rPr>
              <w:t>Outstanding</w:t>
            </w:r>
          </w:p>
        </w:tc>
      </w:tr>
      <w:tr w:rsidR="00996278" w:rsidRPr="006524DF" w14:paraId="3CFCBE9B"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1DE806C0" w14:textId="77777777" w:rsidR="00996278" w:rsidRPr="006524DF" w:rsidRDefault="00996278" w:rsidP="00676C3E">
            <w:pPr>
              <w:widowControl w:val="0"/>
              <w:rPr>
                <w:color w:val="000000"/>
                <w:sz w:val="20"/>
                <w:szCs w:val="20"/>
                <w:lang w:val="en-CA" w:eastAsia="en-CA"/>
              </w:rPr>
            </w:pPr>
            <w:r w:rsidRPr="006524DF">
              <w:rPr>
                <w:color w:val="000000"/>
                <w:sz w:val="20"/>
                <w:szCs w:val="20"/>
                <w:lang w:eastAsia="en-CA"/>
              </w:rPr>
              <w:t>Canada</w:t>
            </w:r>
          </w:p>
        </w:tc>
        <w:tc>
          <w:tcPr>
            <w:tcW w:w="1875" w:type="dxa"/>
            <w:tcBorders>
              <w:top w:val="nil"/>
              <w:left w:val="nil"/>
              <w:bottom w:val="single" w:sz="4" w:space="0" w:color="auto"/>
              <w:right w:val="single" w:sz="4" w:space="0" w:color="auto"/>
            </w:tcBorders>
            <w:noWrap/>
            <w:vAlign w:val="bottom"/>
            <w:hideMark/>
          </w:tcPr>
          <w:p w14:paraId="6957BF80"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3</w:t>
            </w:r>
          </w:p>
        </w:tc>
        <w:tc>
          <w:tcPr>
            <w:tcW w:w="2128" w:type="dxa"/>
            <w:tcBorders>
              <w:top w:val="nil"/>
              <w:left w:val="nil"/>
              <w:bottom w:val="single" w:sz="4" w:space="0" w:color="auto"/>
              <w:right w:val="single" w:sz="4" w:space="0" w:color="auto"/>
            </w:tcBorders>
            <w:noWrap/>
            <w:vAlign w:val="center"/>
            <w:hideMark/>
          </w:tcPr>
          <w:p w14:paraId="665A83D7"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3</w:t>
            </w:r>
          </w:p>
        </w:tc>
        <w:tc>
          <w:tcPr>
            <w:tcW w:w="1986" w:type="dxa"/>
            <w:tcBorders>
              <w:top w:val="nil"/>
              <w:left w:val="nil"/>
              <w:bottom w:val="single" w:sz="4" w:space="0" w:color="auto"/>
              <w:right w:val="single" w:sz="4" w:space="0" w:color="auto"/>
            </w:tcBorders>
            <w:noWrap/>
            <w:vAlign w:val="center"/>
            <w:hideMark/>
          </w:tcPr>
          <w:p w14:paraId="3980AFFD"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8EC516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r>
      <w:tr w:rsidR="00996278" w:rsidRPr="006524DF" w14:paraId="22C2757D"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47290B63" w14:textId="77777777" w:rsidR="00996278" w:rsidRPr="006524DF" w:rsidRDefault="00996278" w:rsidP="00676C3E">
            <w:pPr>
              <w:widowControl w:val="0"/>
              <w:rPr>
                <w:color w:val="000000"/>
                <w:sz w:val="20"/>
                <w:szCs w:val="20"/>
                <w:lang w:val="en-CA" w:eastAsia="en-CA"/>
              </w:rPr>
            </w:pPr>
            <w:r w:rsidRPr="006524DF">
              <w:rPr>
                <w:color w:val="000000"/>
                <w:sz w:val="20"/>
                <w:szCs w:val="20"/>
                <w:lang w:eastAsia="en-CA"/>
              </w:rPr>
              <w:t>France</w:t>
            </w:r>
          </w:p>
        </w:tc>
        <w:tc>
          <w:tcPr>
            <w:tcW w:w="1875" w:type="dxa"/>
            <w:tcBorders>
              <w:top w:val="nil"/>
              <w:left w:val="nil"/>
              <w:bottom w:val="single" w:sz="4" w:space="0" w:color="auto"/>
              <w:right w:val="single" w:sz="4" w:space="0" w:color="auto"/>
            </w:tcBorders>
            <w:noWrap/>
            <w:vAlign w:val="bottom"/>
            <w:hideMark/>
          </w:tcPr>
          <w:p w14:paraId="0CA6AEF5"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6</w:t>
            </w:r>
          </w:p>
        </w:tc>
        <w:tc>
          <w:tcPr>
            <w:tcW w:w="2128" w:type="dxa"/>
            <w:tcBorders>
              <w:top w:val="nil"/>
              <w:left w:val="nil"/>
              <w:bottom w:val="single" w:sz="4" w:space="0" w:color="auto"/>
              <w:right w:val="single" w:sz="4" w:space="0" w:color="auto"/>
            </w:tcBorders>
            <w:noWrap/>
            <w:vAlign w:val="center"/>
            <w:hideMark/>
          </w:tcPr>
          <w:p w14:paraId="7192A63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6</w:t>
            </w:r>
          </w:p>
        </w:tc>
        <w:tc>
          <w:tcPr>
            <w:tcW w:w="1986" w:type="dxa"/>
            <w:tcBorders>
              <w:top w:val="nil"/>
              <w:left w:val="nil"/>
              <w:bottom w:val="single" w:sz="4" w:space="0" w:color="auto"/>
              <w:right w:val="single" w:sz="4" w:space="0" w:color="auto"/>
            </w:tcBorders>
            <w:noWrap/>
            <w:vAlign w:val="center"/>
            <w:hideMark/>
          </w:tcPr>
          <w:p w14:paraId="2200B666"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062361B"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r>
      <w:tr w:rsidR="00996278" w:rsidRPr="006524DF" w14:paraId="6AB4E643"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1922016C" w14:textId="77777777" w:rsidR="00996278" w:rsidRPr="006524DF" w:rsidRDefault="00996278" w:rsidP="00676C3E">
            <w:pPr>
              <w:widowControl w:val="0"/>
              <w:rPr>
                <w:color w:val="000000"/>
                <w:sz w:val="20"/>
                <w:szCs w:val="20"/>
                <w:lang w:val="en-CA" w:eastAsia="en-CA"/>
              </w:rPr>
            </w:pPr>
            <w:r w:rsidRPr="006524DF">
              <w:rPr>
                <w:color w:val="000000"/>
                <w:sz w:val="20"/>
                <w:szCs w:val="20"/>
                <w:lang w:eastAsia="en-CA"/>
              </w:rPr>
              <w:t>Germany</w:t>
            </w:r>
          </w:p>
        </w:tc>
        <w:tc>
          <w:tcPr>
            <w:tcW w:w="1875" w:type="dxa"/>
            <w:tcBorders>
              <w:top w:val="nil"/>
              <w:left w:val="nil"/>
              <w:bottom w:val="single" w:sz="4" w:space="0" w:color="auto"/>
              <w:right w:val="single" w:sz="4" w:space="0" w:color="auto"/>
            </w:tcBorders>
            <w:noWrap/>
            <w:vAlign w:val="bottom"/>
            <w:hideMark/>
          </w:tcPr>
          <w:p w14:paraId="489D4AE0"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10</w:t>
            </w:r>
          </w:p>
        </w:tc>
        <w:tc>
          <w:tcPr>
            <w:tcW w:w="2128" w:type="dxa"/>
            <w:tcBorders>
              <w:top w:val="nil"/>
              <w:left w:val="nil"/>
              <w:bottom w:val="single" w:sz="4" w:space="0" w:color="auto"/>
              <w:right w:val="single" w:sz="4" w:space="0" w:color="auto"/>
            </w:tcBorders>
            <w:noWrap/>
            <w:vAlign w:val="bottom"/>
            <w:hideMark/>
          </w:tcPr>
          <w:p w14:paraId="554E4785"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9</w:t>
            </w:r>
          </w:p>
        </w:tc>
        <w:tc>
          <w:tcPr>
            <w:tcW w:w="1986" w:type="dxa"/>
            <w:tcBorders>
              <w:top w:val="nil"/>
              <w:left w:val="nil"/>
              <w:bottom w:val="single" w:sz="4" w:space="0" w:color="auto"/>
              <w:right w:val="single" w:sz="4" w:space="0" w:color="auto"/>
            </w:tcBorders>
            <w:noWrap/>
            <w:vAlign w:val="center"/>
            <w:hideMark/>
          </w:tcPr>
          <w:p w14:paraId="371A927B"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172585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r>
      <w:tr w:rsidR="00996278" w:rsidRPr="006524DF" w14:paraId="278EFC67"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38F2898F" w14:textId="77777777" w:rsidR="00996278" w:rsidRPr="006524DF" w:rsidRDefault="00996278" w:rsidP="00676C3E">
            <w:pPr>
              <w:widowControl w:val="0"/>
              <w:rPr>
                <w:color w:val="000000"/>
                <w:sz w:val="20"/>
                <w:szCs w:val="20"/>
                <w:lang w:val="en-CA" w:eastAsia="en-CA"/>
              </w:rPr>
            </w:pPr>
            <w:r w:rsidRPr="006524DF">
              <w:rPr>
                <w:color w:val="000000"/>
                <w:sz w:val="20"/>
                <w:szCs w:val="20"/>
                <w:lang w:eastAsia="en-CA"/>
              </w:rPr>
              <w:t>Japan</w:t>
            </w:r>
          </w:p>
        </w:tc>
        <w:tc>
          <w:tcPr>
            <w:tcW w:w="1875" w:type="dxa"/>
            <w:tcBorders>
              <w:top w:val="nil"/>
              <w:left w:val="nil"/>
              <w:bottom w:val="single" w:sz="4" w:space="0" w:color="auto"/>
              <w:right w:val="single" w:sz="4" w:space="0" w:color="auto"/>
            </w:tcBorders>
            <w:noWrap/>
            <w:vAlign w:val="bottom"/>
            <w:hideMark/>
          </w:tcPr>
          <w:p w14:paraId="4B93F808"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c>
          <w:tcPr>
            <w:tcW w:w="2128" w:type="dxa"/>
            <w:tcBorders>
              <w:top w:val="nil"/>
              <w:left w:val="nil"/>
              <w:bottom w:val="single" w:sz="4" w:space="0" w:color="auto"/>
              <w:right w:val="single" w:sz="4" w:space="0" w:color="auto"/>
            </w:tcBorders>
            <w:noWrap/>
            <w:vAlign w:val="bottom"/>
            <w:hideMark/>
          </w:tcPr>
          <w:p w14:paraId="069F36E2"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c>
          <w:tcPr>
            <w:tcW w:w="1986" w:type="dxa"/>
            <w:tcBorders>
              <w:top w:val="nil"/>
              <w:left w:val="nil"/>
              <w:bottom w:val="single" w:sz="4" w:space="0" w:color="auto"/>
              <w:right w:val="single" w:sz="4" w:space="0" w:color="auto"/>
            </w:tcBorders>
            <w:noWrap/>
            <w:vAlign w:val="center"/>
            <w:hideMark/>
          </w:tcPr>
          <w:p w14:paraId="250925C3"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6AFA8360"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r>
      <w:tr w:rsidR="00996278" w:rsidRPr="006524DF" w14:paraId="08AD7EE1"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3375BF14" w14:textId="77777777" w:rsidR="00996278" w:rsidRPr="006524DF" w:rsidRDefault="00996278" w:rsidP="00676C3E">
            <w:pPr>
              <w:widowControl w:val="0"/>
              <w:rPr>
                <w:color w:val="000000"/>
                <w:sz w:val="20"/>
                <w:szCs w:val="20"/>
                <w:lang w:val="en-CA" w:eastAsia="en-CA"/>
              </w:rPr>
            </w:pPr>
            <w:r w:rsidRPr="006524DF">
              <w:rPr>
                <w:color w:val="000000"/>
                <w:sz w:val="20"/>
                <w:szCs w:val="20"/>
                <w:lang w:eastAsia="en-CA"/>
              </w:rPr>
              <w:t>UNDP</w:t>
            </w:r>
          </w:p>
        </w:tc>
        <w:tc>
          <w:tcPr>
            <w:tcW w:w="1875" w:type="dxa"/>
            <w:tcBorders>
              <w:top w:val="nil"/>
              <w:left w:val="nil"/>
              <w:bottom w:val="single" w:sz="4" w:space="0" w:color="auto"/>
              <w:right w:val="single" w:sz="4" w:space="0" w:color="auto"/>
            </w:tcBorders>
            <w:noWrap/>
            <w:vAlign w:val="bottom"/>
            <w:hideMark/>
          </w:tcPr>
          <w:p w14:paraId="47303CEE"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46</w:t>
            </w:r>
          </w:p>
        </w:tc>
        <w:tc>
          <w:tcPr>
            <w:tcW w:w="2128" w:type="dxa"/>
            <w:tcBorders>
              <w:top w:val="nil"/>
              <w:left w:val="nil"/>
              <w:bottom w:val="single" w:sz="4" w:space="0" w:color="auto"/>
              <w:right w:val="single" w:sz="4" w:space="0" w:color="auto"/>
            </w:tcBorders>
            <w:noWrap/>
            <w:vAlign w:val="bottom"/>
            <w:hideMark/>
          </w:tcPr>
          <w:p w14:paraId="209E480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44*</w:t>
            </w:r>
          </w:p>
        </w:tc>
        <w:tc>
          <w:tcPr>
            <w:tcW w:w="1986" w:type="dxa"/>
            <w:tcBorders>
              <w:top w:val="nil"/>
              <w:left w:val="nil"/>
              <w:bottom w:val="single" w:sz="4" w:space="0" w:color="auto"/>
              <w:right w:val="single" w:sz="4" w:space="0" w:color="auto"/>
            </w:tcBorders>
            <w:noWrap/>
            <w:vAlign w:val="center"/>
            <w:hideMark/>
          </w:tcPr>
          <w:p w14:paraId="733F39DE"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c>
          <w:tcPr>
            <w:tcW w:w="1987" w:type="dxa"/>
            <w:tcBorders>
              <w:top w:val="nil"/>
              <w:left w:val="nil"/>
              <w:bottom w:val="single" w:sz="4" w:space="0" w:color="auto"/>
              <w:right w:val="single" w:sz="4" w:space="0" w:color="auto"/>
            </w:tcBorders>
            <w:vAlign w:val="center"/>
            <w:hideMark/>
          </w:tcPr>
          <w:p w14:paraId="5B9BF25B"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r>
      <w:tr w:rsidR="00996278" w:rsidRPr="006524DF" w14:paraId="3E3C2291"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02E92DD9" w14:textId="77777777" w:rsidR="00996278" w:rsidRPr="006524DF" w:rsidRDefault="00996278" w:rsidP="00676C3E">
            <w:pPr>
              <w:widowControl w:val="0"/>
              <w:rPr>
                <w:color w:val="000000"/>
                <w:sz w:val="20"/>
                <w:szCs w:val="20"/>
                <w:lang w:val="en-CA" w:eastAsia="en-CA"/>
              </w:rPr>
            </w:pPr>
            <w:r w:rsidRPr="006524DF">
              <w:rPr>
                <w:color w:val="000000"/>
                <w:sz w:val="20"/>
                <w:szCs w:val="20"/>
                <w:lang w:eastAsia="en-CA"/>
              </w:rPr>
              <w:t>UNEP</w:t>
            </w:r>
          </w:p>
        </w:tc>
        <w:tc>
          <w:tcPr>
            <w:tcW w:w="1875" w:type="dxa"/>
            <w:tcBorders>
              <w:top w:val="nil"/>
              <w:left w:val="nil"/>
              <w:bottom w:val="single" w:sz="4" w:space="0" w:color="auto"/>
              <w:right w:val="single" w:sz="4" w:space="0" w:color="auto"/>
            </w:tcBorders>
            <w:noWrap/>
            <w:vAlign w:val="bottom"/>
            <w:hideMark/>
          </w:tcPr>
          <w:p w14:paraId="46908279"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62</w:t>
            </w:r>
          </w:p>
        </w:tc>
        <w:tc>
          <w:tcPr>
            <w:tcW w:w="2128" w:type="dxa"/>
            <w:tcBorders>
              <w:top w:val="nil"/>
              <w:left w:val="nil"/>
              <w:bottom w:val="single" w:sz="4" w:space="0" w:color="auto"/>
              <w:right w:val="single" w:sz="4" w:space="0" w:color="auto"/>
            </w:tcBorders>
            <w:noWrap/>
            <w:vAlign w:val="bottom"/>
            <w:hideMark/>
          </w:tcPr>
          <w:p w14:paraId="30EA2EFB" w14:textId="312C3E82" w:rsidR="00996278" w:rsidRPr="006524DF" w:rsidRDefault="00996278" w:rsidP="00F34237">
            <w:pPr>
              <w:widowControl w:val="0"/>
              <w:jc w:val="center"/>
              <w:rPr>
                <w:sz w:val="20"/>
                <w:szCs w:val="20"/>
                <w:lang w:val="en-CA" w:eastAsia="en-CA"/>
              </w:rPr>
            </w:pPr>
            <w:r w:rsidRPr="006524DF">
              <w:rPr>
                <w:sz w:val="20"/>
                <w:szCs w:val="20"/>
                <w:lang w:val="en-CA" w:eastAsia="en-CA"/>
              </w:rPr>
              <w:t>61**</w:t>
            </w:r>
          </w:p>
        </w:tc>
        <w:tc>
          <w:tcPr>
            <w:tcW w:w="1986" w:type="dxa"/>
            <w:tcBorders>
              <w:top w:val="nil"/>
              <w:left w:val="nil"/>
              <w:bottom w:val="single" w:sz="4" w:space="0" w:color="auto"/>
              <w:right w:val="single" w:sz="4" w:space="0" w:color="auto"/>
            </w:tcBorders>
            <w:noWrap/>
            <w:vAlign w:val="center"/>
            <w:hideMark/>
          </w:tcPr>
          <w:p w14:paraId="2319278E"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c>
          <w:tcPr>
            <w:tcW w:w="1987" w:type="dxa"/>
            <w:tcBorders>
              <w:top w:val="nil"/>
              <w:left w:val="nil"/>
              <w:bottom w:val="single" w:sz="4" w:space="0" w:color="auto"/>
              <w:right w:val="single" w:sz="4" w:space="0" w:color="auto"/>
            </w:tcBorders>
            <w:vAlign w:val="center"/>
            <w:hideMark/>
          </w:tcPr>
          <w:p w14:paraId="170F3A4C"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r>
      <w:tr w:rsidR="00996278" w:rsidRPr="006524DF" w14:paraId="2D759DF5"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2406EDEB" w14:textId="77777777" w:rsidR="00996278" w:rsidRPr="006524DF" w:rsidRDefault="00996278" w:rsidP="00676C3E">
            <w:pPr>
              <w:widowControl w:val="0"/>
              <w:rPr>
                <w:color w:val="000000"/>
                <w:sz w:val="20"/>
                <w:szCs w:val="20"/>
                <w:lang w:val="en-CA" w:eastAsia="en-CA"/>
              </w:rPr>
            </w:pPr>
            <w:r w:rsidRPr="006524DF">
              <w:rPr>
                <w:color w:val="000000"/>
                <w:sz w:val="20"/>
                <w:szCs w:val="20"/>
                <w:lang w:eastAsia="en-CA"/>
              </w:rPr>
              <w:t>UNIDO</w:t>
            </w:r>
          </w:p>
        </w:tc>
        <w:tc>
          <w:tcPr>
            <w:tcW w:w="1875" w:type="dxa"/>
            <w:tcBorders>
              <w:top w:val="nil"/>
              <w:left w:val="nil"/>
              <w:bottom w:val="single" w:sz="4" w:space="0" w:color="auto"/>
              <w:right w:val="single" w:sz="4" w:space="0" w:color="auto"/>
            </w:tcBorders>
            <w:noWrap/>
            <w:vAlign w:val="bottom"/>
            <w:hideMark/>
          </w:tcPr>
          <w:p w14:paraId="38E210A9"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58</w:t>
            </w:r>
          </w:p>
        </w:tc>
        <w:tc>
          <w:tcPr>
            <w:tcW w:w="2128" w:type="dxa"/>
            <w:tcBorders>
              <w:top w:val="nil"/>
              <w:left w:val="nil"/>
              <w:bottom w:val="single" w:sz="4" w:space="0" w:color="auto"/>
              <w:right w:val="single" w:sz="4" w:space="0" w:color="auto"/>
            </w:tcBorders>
            <w:noWrap/>
            <w:vAlign w:val="bottom"/>
            <w:hideMark/>
          </w:tcPr>
          <w:p w14:paraId="53A5F763"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57</w:t>
            </w:r>
          </w:p>
        </w:tc>
        <w:tc>
          <w:tcPr>
            <w:tcW w:w="1986" w:type="dxa"/>
            <w:tcBorders>
              <w:top w:val="nil"/>
              <w:left w:val="nil"/>
              <w:bottom w:val="single" w:sz="4" w:space="0" w:color="auto"/>
              <w:right w:val="single" w:sz="4" w:space="0" w:color="auto"/>
            </w:tcBorders>
            <w:noWrap/>
            <w:vAlign w:val="center"/>
            <w:hideMark/>
          </w:tcPr>
          <w:p w14:paraId="2110828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0</w:t>
            </w:r>
          </w:p>
        </w:tc>
        <w:tc>
          <w:tcPr>
            <w:tcW w:w="1987" w:type="dxa"/>
            <w:tcBorders>
              <w:top w:val="nil"/>
              <w:left w:val="nil"/>
              <w:bottom w:val="single" w:sz="4" w:space="0" w:color="auto"/>
              <w:right w:val="single" w:sz="4" w:space="0" w:color="auto"/>
            </w:tcBorders>
            <w:vAlign w:val="center"/>
            <w:hideMark/>
          </w:tcPr>
          <w:p w14:paraId="116D6984"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w:t>
            </w:r>
          </w:p>
        </w:tc>
      </w:tr>
      <w:tr w:rsidR="00996278" w:rsidRPr="006524DF" w14:paraId="4068B7C8"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143991E7" w14:textId="77777777" w:rsidR="00996278" w:rsidRPr="006524DF" w:rsidRDefault="00996278" w:rsidP="00676C3E">
            <w:pPr>
              <w:widowControl w:val="0"/>
              <w:rPr>
                <w:color w:val="000000"/>
                <w:sz w:val="20"/>
                <w:szCs w:val="20"/>
                <w:lang w:val="en-CA" w:eastAsia="en-CA"/>
              </w:rPr>
            </w:pPr>
            <w:r w:rsidRPr="006524DF">
              <w:rPr>
                <w:color w:val="000000"/>
                <w:sz w:val="20"/>
                <w:szCs w:val="20"/>
                <w:lang w:eastAsia="en-CA"/>
              </w:rPr>
              <w:lastRenderedPageBreak/>
              <w:t>World Bank</w:t>
            </w:r>
          </w:p>
        </w:tc>
        <w:tc>
          <w:tcPr>
            <w:tcW w:w="1875" w:type="dxa"/>
            <w:tcBorders>
              <w:top w:val="nil"/>
              <w:left w:val="nil"/>
              <w:bottom w:val="single" w:sz="4" w:space="0" w:color="auto"/>
              <w:right w:val="single" w:sz="4" w:space="0" w:color="auto"/>
            </w:tcBorders>
            <w:noWrap/>
            <w:vAlign w:val="bottom"/>
            <w:hideMark/>
          </w:tcPr>
          <w:p w14:paraId="7F9F12D8"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26</w:t>
            </w:r>
          </w:p>
        </w:tc>
        <w:tc>
          <w:tcPr>
            <w:tcW w:w="2128" w:type="dxa"/>
            <w:tcBorders>
              <w:top w:val="nil"/>
              <w:left w:val="nil"/>
              <w:bottom w:val="single" w:sz="4" w:space="0" w:color="auto"/>
              <w:right w:val="single" w:sz="4" w:space="0" w:color="auto"/>
            </w:tcBorders>
            <w:noWrap/>
            <w:vAlign w:val="bottom"/>
            <w:hideMark/>
          </w:tcPr>
          <w:p w14:paraId="14A2F70F"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18</w:t>
            </w:r>
          </w:p>
        </w:tc>
        <w:tc>
          <w:tcPr>
            <w:tcW w:w="1986" w:type="dxa"/>
            <w:tcBorders>
              <w:top w:val="nil"/>
              <w:left w:val="nil"/>
              <w:bottom w:val="single" w:sz="4" w:space="0" w:color="auto"/>
              <w:right w:val="single" w:sz="4" w:space="0" w:color="auto"/>
            </w:tcBorders>
            <w:noWrap/>
            <w:vAlign w:val="center"/>
            <w:hideMark/>
          </w:tcPr>
          <w:p w14:paraId="4AECC766"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3</w:t>
            </w:r>
          </w:p>
        </w:tc>
        <w:tc>
          <w:tcPr>
            <w:tcW w:w="1987" w:type="dxa"/>
            <w:tcBorders>
              <w:top w:val="nil"/>
              <w:left w:val="nil"/>
              <w:bottom w:val="single" w:sz="4" w:space="0" w:color="auto"/>
              <w:right w:val="single" w:sz="4" w:space="0" w:color="auto"/>
            </w:tcBorders>
            <w:vAlign w:val="center"/>
            <w:hideMark/>
          </w:tcPr>
          <w:p w14:paraId="78AA82CC" w14:textId="77777777" w:rsidR="00996278" w:rsidRPr="006524DF" w:rsidRDefault="00996278" w:rsidP="00676C3E">
            <w:pPr>
              <w:widowControl w:val="0"/>
              <w:jc w:val="center"/>
              <w:rPr>
                <w:sz w:val="20"/>
                <w:szCs w:val="20"/>
                <w:lang w:val="en-CA" w:eastAsia="en-CA"/>
              </w:rPr>
            </w:pPr>
            <w:r w:rsidRPr="006524DF">
              <w:rPr>
                <w:sz w:val="20"/>
                <w:szCs w:val="20"/>
                <w:lang w:val="en-CA" w:eastAsia="en-CA"/>
              </w:rPr>
              <w:t>5</w:t>
            </w:r>
          </w:p>
        </w:tc>
      </w:tr>
      <w:tr w:rsidR="00996278" w:rsidRPr="006524DF" w14:paraId="0DD094B9" w14:textId="77777777" w:rsidTr="00996278">
        <w:tc>
          <w:tcPr>
            <w:tcW w:w="1389" w:type="dxa"/>
            <w:tcBorders>
              <w:top w:val="nil"/>
              <w:left w:val="single" w:sz="4" w:space="0" w:color="auto"/>
              <w:bottom w:val="single" w:sz="4" w:space="0" w:color="auto"/>
              <w:right w:val="single" w:sz="4" w:space="0" w:color="auto"/>
            </w:tcBorders>
            <w:noWrap/>
            <w:vAlign w:val="center"/>
            <w:hideMark/>
          </w:tcPr>
          <w:p w14:paraId="0C5F4E3F" w14:textId="77777777" w:rsidR="00996278" w:rsidRPr="006524DF" w:rsidRDefault="00996278" w:rsidP="00676C3E">
            <w:pPr>
              <w:widowControl w:val="0"/>
              <w:contextualSpacing/>
              <w:rPr>
                <w:b/>
                <w:bCs/>
                <w:color w:val="000000"/>
                <w:sz w:val="20"/>
                <w:szCs w:val="20"/>
                <w:lang w:val="en-CA" w:eastAsia="en-CA"/>
              </w:rPr>
            </w:pPr>
            <w:r w:rsidRPr="006524DF">
              <w:rPr>
                <w:b/>
                <w:bCs/>
                <w:color w:val="000000"/>
                <w:sz w:val="20"/>
                <w:szCs w:val="20"/>
                <w:lang w:eastAsia="en-CA"/>
              </w:rPr>
              <w:t>Total</w:t>
            </w:r>
          </w:p>
        </w:tc>
        <w:tc>
          <w:tcPr>
            <w:tcW w:w="1875" w:type="dxa"/>
            <w:tcBorders>
              <w:top w:val="nil"/>
              <w:left w:val="nil"/>
              <w:bottom w:val="single" w:sz="4" w:space="0" w:color="auto"/>
              <w:right w:val="single" w:sz="4" w:space="0" w:color="auto"/>
            </w:tcBorders>
            <w:noWrap/>
            <w:vAlign w:val="center"/>
            <w:hideMark/>
          </w:tcPr>
          <w:p w14:paraId="3F499184" w14:textId="77777777" w:rsidR="00996278" w:rsidRPr="006524DF" w:rsidRDefault="00996278" w:rsidP="00676C3E">
            <w:pPr>
              <w:widowControl w:val="0"/>
              <w:contextualSpacing/>
              <w:jc w:val="center"/>
              <w:rPr>
                <w:b/>
                <w:bCs/>
                <w:sz w:val="20"/>
                <w:szCs w:val="20"/>
                <w:lang w:val="en-CA" w:eastAsia="en-CA"/>
              </w:rPr>
            </w:pPr>
            <w:r w:rsidRPr="006524DF">
              <w:rPr>
                <w:b/>
                <w:bCs/>
                <w:sz w:val="20"/>
                <w:szCs w:val="20"/>
                <w:lang w:val="en-CA" w:eastAsia="en-CA"/>
              </w:rPr>
              <w:t>212</w:t>
            </w:r>
          </w:p>
        </w:tc>
        <w:tc>
          <w:tcPr>
            <w:tcW w:w="2128" w:type="dxa"/>
            <w:tcBorders>
              <w:top w:val="nil"/>
              <w:left w:val="nil"/>
              <w:bottom w:val="single" w:sz="4" w:space="0" w:color="auto"/>
              <w:right w:val="single" w:sz="4" w:space="0" w:color="auto"/>
            </w:tcBorders>
            <w:noWrap/>
            <w:vAlign w:val="center"/>
            <w:hideMark/>
          </w:tcPr>
          <w:p w14:paraId="04604B80" w14:textId="77777777" w:rsidR="00996278" w:rsidRPr="006524DF" w:rsidRDefault="00996278" w:rsidP="00676C3E">
            <w:pPr>
              <w:widowControl w:val="0"/>
              <w:contextualSpacing/>
              <w:jc w:val="center"/>
              <w:rPr>
                <w:b/>
                <w:bCs/>
                <w:sz w:val="20"/>
                <w:szCs w:val="20"/>
                <w:lang w:val="en-CA" w:eastAsia="en-CA"/>
              </w:rPr>
            </w:pPr>
            <w:r w:rsidRPr="006524DF">
              <w:rPr>
                <w:b/>
                <w:bCs/>
                <w:sz w:val="20"/>
                <w:szCs w:val="20"/>
                <w:lang w:val="en-CA" w:eastAsia="en-CA"/>
              </w:rPr>
              <w:t>199</w:t>
            </w:r>
          </w:p>
        </w:tc>
        <w:tc>
          <w:tcPr>
            <w:tcW w:w="1986" w:type="dxa"/>
            <w:tcBorders>
              <w:top w:val="nil"/>
              <w:left w:val="nil"/>
              <w:bottom w:val="single" w:sz="4" w:space="0" w:color="auto"/>
              <w:right w:val="single" w:sz="4" w:space="0" w:color="auto"/>
            </w:tcBorders>
            <w:noWrap/>
            <w:vAlign w:val="center"/>
            <w:hideMark/>
          </w:tcPr>
          <w:p w14:paraId="7D3D191B" w14:textId="77777777" w:rsidR="00996278" w:rsidRPr="006524DF" w:rsidRDefault="00996278" w:rsidP="00676C3E">
            <w:pPr>
              <w:widowControl w:val="0"/>
              <w:contextualSpacing/>
              <w:jc w:val="center"/>
              <w:rPr>
                <w:b/>
                <w:bCs/>
                <w:sz w:val="20"/>
                <w:szCs w:val="20"/>
                <w:lang w:val="en-CA" w:eastAsia="en-CA"/>
              </w:rPr>
            </w:pPr>
            <w:r w:rsidRPr="006524DF">
              <w:rPr>
                <w:b/>
                <w:bCs/>
                <w:sz w:val="20"/>
                <w:szCs w:val="20"/>
                <w:lang w:val="en-CA" w:eastAsia="en-CA"/>
              </w:rPr>
              <w:t>5</w:t>
            </w:r>
          </w:p>
        </w:tc>
        <w:tc>
          <w:tcPr>
            <w:tcW w:w="1987" w:type="dxa"/>
            <w:tcBorders>
              <w:top w:val="nil"/>
              <w:left w:val="nil"/>
              <w:bottom w:val="single" w:sz="4" w:space="0" w:color="auto"/>
              <w:right w:val="single" w:sz="4" w:space="0" w:color="auto"/>
            </w:tcBorders>
            <w:vAlign w:val="center"/>
            <w:hideMark/>
          </w:tcPr>
          <w:p w14:paraId="2BF91613" w14:textId="77777777" w:rsidR="00996278" w:rsidRPr="006524DF" w:rsidRDefault="00996278" w:rsidP="00676C3E">
            <w:pPr>
              <w:widowControl w:val="0"/>
              <w:contextualSpacing/>
              <w:jc w:val="center"/>
              <w:rPr>
                <w:b/>
                <w:bCs/>
                <w:sz w:val="20"/>
                <w:szCs w:val="20"/>
                <w:lang w:val="en-CA" w:eastAsia="en-CA"/>
              </w:rPr>
            </w:pPr>
            <w:r w:rsidRPr="006524DF">
              <w:rPr>
                <w:b/>
                <w:bCs/>
                <w:sz w:val="20"/>
                <w:szCs w:val="20"/>
                <w:lang w:val="en-CA" w:eastAsia="en-CA"/>
              </w:rPr>
              <w:t>8</w:t>
            </w:r>
          </w:p>
        </w:tc>
      </w:tr>
    </w:tbl>
    <w:p w14:paraId="1D4C6B52" w14:textId="2FD43DBC" w:rsidR="00996278" w:rsidRPr="006524DF" w:rsidRDefault="00996278" w:rsidP="00676C3E">
      <w:pPr>
        <w:pStyle w:val="Heading1"/>
        <w:widowControl w:val="0"/>
        <w:numPr>
          <w:ilvl w:val="0"/>
          <w:numId w:val="0"/>
        </w:numPr>
        <w:spacing w:after="0"/>
        <w:rPr>
          <w:sz w:val="20"/>
          <w:szCs w:val="20"/>
        </w:rPr>
      </w:pPr>
      <w:r w:rsidRPr="006524DF">
        <w:rPr>
          <w:sz w:val="20"/>
          <w:szCs w:val="20"/>
        </w:rPr>
        <w:t xml:space="preserve">* In addition, UNDP submitted one PCR for </w:t>
      </w:r>
      <w:r w:rsidR="00B92D93" w:rsidRPr="006524DF">
        <w:rPr>
          <w:sz w:val="20"/>
          <w:szCs w:val="20"/>
        </w:rPr>
        <w:t xml:space="preserve">an </w:t>
      </w:r>
      <w:r w:rsidRPr="006524DF">
        <w:rPr>
          <w:sz w:val="20"/>
          <w:szCs w:val="20"/>
        </w:rPr>
        <w:t>ongoing MYA project.</w:t>
      </w:r>
    </w:p>
    <w:p w14:paraId="17BDF871" w14:textId="685FC46B" w:rsidR="00996278" w:rsidRPr="006524DF" w:rsidRDefault="00996278" w:rsidP="00996278">
      <w:pPr>
        <w:rPr>
          <w:sz w:val="20"/>
          <w:szCs w:val="20"/>
        </w:rPr>
      </w:pPr>
      <w:r w:rsidRPr="006524DF">
        <w:rPr>
          <w:sz w:val="20"/>
          <w:szCs w:val="20"/>
        </w:rPr>
        <w:t xml:space="preserve">** In addition, UNEP submitted one PCR for </w:t>
      </w:r>
      <w:r w:rsidR="00B92D93" w:rsidRPr="006524DF">
        <w:rPr>
          <w:sz w:val="20"/>
          <w:szCs w:val="20"/>
        </w:rPr>
        <w:t xml:space="preserve">an </w:t>
      </w:r>
      <w:r w:rsidRPr="006524DF">
        <w:rPr>
          <w:sz w:val="20"/>
          <w:szCs w:val="20"/>
        </w:rPr>
        <w:t>ongoing MYA project.</w:t>
      </w:r>
    </w:p>
    <w:p w14:paraId="6A0F0EED" w14:textId="63485B10" w:rsidR="00222C40" w:rsidRPr="006524DF" w:rsidRDefault="00222C40" w:rsidP="000D338E">
      <w:pPr>
        <w:pStyle w:val="Heading1"/>
        <w:widowControl w:val="0"/>
        <w:numPr>
          <w:ilvl w:val="0"/>
          <w:numId w:val="10"/>
        </w:numPr>
        <w:spacing w:before="240"/>
      </w:pPr>
      <w:r w:rsidRPr="006524DF">
        <w:t>An analysis of the aggregated fund</w:t>
      </w:r>
      <w:r w:rsidR="00D06E39" w:rsidRPr="006524DF">
        <w:t>s</w:t>
      </w:r>
      <w:r w:rsidRPr="006524DF">
        <w:t xml:space="preserve"> disbursed, ODS </w:t>
      </w:r>
      <w:r w:rsidR="006B1926" w:rsidRPr="006524DF">
        <w:t xml:space="preserve">tonnes </w:t>
      </w:r>
      <w:r w:rsidRPr="006524DF">
        <w:t>phased out and dela</w:t>
      </w:r>
      <w:r w:rsidR="006A7C08" w:rsidRPr="006524DF">
        <w:t>y</w:t>
      </w:r>
      <w:r w:rsidR="006B1926" w:rsidRPr="006524DF">
        <w:t>s</w:t>
      </w:r>
      <w:r w:rsidR="006A7C08" w:rsidRPr="006524DF">
        <w:t xml:space="preserve"> in the completion of </w:t>
      </w:r>
      <w:r w:rsidR="004B7666" w:rsidRPr="006524DF">
        <w:t>five</w:t>
      </w:r>
      <w:r w:rsidRPr="006524DF">
        <w:t xml:space="preserve"> MYA </w:t>
      </w:r>
      <w:r w:rsidRPr="006524DF">
        <w:rPr>
          <w:lang w:val="en-US"/>
        </w:rPr>
        <w:t>PCRs</w:t>
      </w:r>
      <w:r w:rsidRPr="006524DF">
        <w:t xml:space="preserve"> is summarized in Table 2. </w:t>
      </w:r>
    </w:p>
    <w:p w14:paraId="5EBC944E" w14:textId="77777777" w:rsidR="00222C40" w:rsidRPr="006524DF" w:rsidRDefault="00222C40" w:rsidP="00605D6D">
      <w:pPr>
        <w:pStyle w:val="Heading1"/>
        <w:widowControl w:val="0"/>
        <w:numPr>
          <w:ilvl w:val="0"/>
          <w:numId w:val="0"/>
        </w:numPr>
        <w:tabs>
          <w:tab w:val="left" w:pos="720"/>
        </w:tabs>
        <w:spacing w:after="0"/>
        <w:rPr>
          <w:b/>
          <w:sz w:val="21"/>
          <w:szCs w:val="21"/>
        </w:rPr>
      </w:pPr>
      <w:r w:rsidRPr="006524DF">
        <w:rPr>
          <w:b/>
          <w:sz w:val="21"/>
          <w:szCs w:val="21"/>
        </w:rPr>
        <w:t>Table 2. Overview of the budget, ODS phased out and delay of MYA</w:t>
      </w:r>
      <w:r w:rsidR="00D06E39" w:rsidRPr="006524DF">
        <w:rPr>
          <w:b/>
          <w:sz w:val="21"/>
          <w:szCs w:val="21"/>
        </w:rPr>
        <w:t xml:space="preserve"> PCR</w:t>
      </w:r>
      <w:r w:rsidRPr="006524DF">
        <w:rPr>
          <w:b/>
          <w:sz w:val="21"/>
          <w:szCs w:val="21"/>
        </w:rPr>
        <w:t>s submitted after the 8</w:t>
      </w:r>
      <w:r w:rsidR="00386020" w:rsidRPr="006524DF">
        <w:rPr>
          <w:b/>
          <w:sz w:val="21"/>
          <w:szCs w:val="21"/>
        </w:rPr>
        <w:t>7</w:t>
      </w:r>
      <w:r w:rsidRPr="006524DF">
        <w:rPr>
          <w:b/>
          <w:sz w:val="21"/>
          <w:szCs w:val="21"/>
          <w:vertAlign w:val="superscript"/>
        </w:rPr>
        <w:t>th</w:t>
      </w:r>
      <w:r w:rsidR="00F14B86" w:rsidRPr="006524DF">
        <w:rPr>
          <w:b/>
          <w:sz w:val="21"/>
          <w:szCs w:val="21"/>
          <w:vertAlign w:val="superscript"/>
        </w:rPr>
        <w:t> </w:t>
      </w:r>
      <w:r w:rsidRPr="006524DF">
        <w:rPr>
          <w:b/>
          <w:sz w:val="21"/>
          <w:szCs w:val="21"/>
        </w:rPr>
        <w:t>meeting</w:t>
      </w:r>
    </w:p>
    <w:tbl>
      <w:tblPr>
        <w:tblW w:w="5000" w:type="pct"/>
        <w:tblLook w:val="04A0" w:firstRow="1" w:lastRow="0" w:firstColumn="1" w:lastColumn="0" w:noHBand="0" w:noVBand="1"/>
      </w:tblPr>
      <w:tblGrid>
        <w:gridCol w:w="1764"/>
        <w:gridCol w:w="1466"/>
        <w:gridCol w:w="1466"/>
        <w:gridCol w:w="1466"/>
        <w:gridCol w:w="1468"/>
        <w:gridCol w:w="1720"/>
      </w:tblGrid>
      <w:tr w:rsidR="004E7975" w:rsidRPr="006524DF" w14:paraId="60A871C6" w14:textId="77777777" w:rsidTr="008552AB">
        <w:tc>
          <w:tcPr>
            <w:tcW w:w="9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257FF" w14:textId="77777777" w:rsidR="004E7975" w:rsidRPr="006524DF" w:rsidRDefault="004E7975" w:rsidP="004E7975">
            <w:pPr>
              <w:jc w:val="left"/>
              <w:rPr>
                <w:b/>
                <w:bCs/>
                <w:color w:val="000000"/>
                <w:sz w:val="20"/>
                <w:szCs w:val="20"/>
                <w:lang w:val="en-US"/>
              </w:rPr>
            </w:pPr>
            <w:r w:rsidRPr="006524DF">
              <w:rPr>
                <w:b/>
                <w:bCs/>
                <w:color w:val="000000"/>
                <w:sz w:val="20"/>
                <w:szCs w:val="20"/>
                <w:lang w:val="en-US"/>
              </w:rPr>
              <w:t>Lead agency</w:t>
            </w:r>
          </w:p>
        </w:tc>
        <w:tc>
          <w:tcPr>
            <w:tcW w:w="1568" w:type="pct"/>
            <w:gridSpan w:val="2"/>
            <w:tcBorders>
              <w:top w:val="single" w:sz="4" w:space="0" w:color="auto"/>
              <w:left w:val="nil"/>
              <w:bottom w:val="single" w:sz="4" w:space="0" w:color="auto"/>
              <w:right w:val="single" w:sz="4" w:space="0" w:color="auto"/>
            </w:tcBorders>
            <w:shd w:val="clear" w:color="auto" w:fill="auto"/>
            <w:vAlign w:val="center"/>
            <w:hideMark/>
          </w:tcPr>
          <w:p w14:paraId="20467514" w14:textId="77777777" w:rsidR="004E7975" w:rsidRPr="006524DF" w:rsidRDefault="004E7975" w:rsidP="001C0A2A">
            <w:pPr>
              <w:jc w:val="center"/>
              <w:rPr>
                <w:b/>
                <w:bCs/>
                <w:color w:val="000000"/>
                <w:sz w:val="20"/>
                <w:szCs w:val="20"/>
                <w:lang w:val="en-US"/>
              </w:rPr>
            </w:pPr>
            <w:r w:rsidRPr="006524DF">
              <w:rPr>
                <w:b/>
                <w:bCs/>
                <w:color w:val="000000"/>
                <w:sz w:val="20"/>
                <w:szCs w:val="20"/>
                <w:lang w:val="en-US"/>
              </w:rPr>
              <w:t>MYA funds (US$)</w:t>
            </w:r>
          </w:p>
        </w:tc>
        <w:tc>
          <w:tcPr>
            <w:tcW w:w="1569" w:type="pct"/>
            <w:gridSpan w:val="2"/>
            <w:tcBorders>
              <w:top w:val="single" w:sz="4" w:space="0" w:color="auto"/>
              <w:left w:val="nil"/>
              <w:bottom w:val="single" w:sz="4" w:space="0" w:color="auto"/>
              <w:right w:val="single" w:sz="4" w:space="0" w:color="auto"/>
            </w:tcBorders>
            <w:shd w:val="clear" w:color="auto" w:fill="auto"/>
            <w:vAlign w:val="center"/>
            <w:hideMark/>
          </w:tcPr>
          <w:p w14:paraId="132A1BFE" w14:textId="5AF6B99F" w:rsidR="004604EB" w:rsidRPr="006524DF" w:rsidRDefault="006573FE" w:rsidP="001C0A2A">
            <w:pPr>
              <w:jc w:val="center"/>
              <w:rPr>
                <w:b/>
                <w:bCs/>
                <w:color w:val="000000"/>
                <w:sz w:val="20"/>
                <w:szCs w:val="20"/>
                <w:lang w:val="en-US"/>
              </w:rPr>
            </w:pPr>
            <w:r w:rsidRPr="006524DF">
              <w:rPr>
                <w:b/>
                <w:bCs/>
                <w:color w:val="000000"/>
                <w:sz w:val="20"/>
                <w:szCs w:val="20"/>
                <w:lang w:val="en-US"/>
              </w:rPr>
              <w:t>P</w:t>
            </w:r>
            <w:r w:rsidR="004604EB" w:rsidRPr="006524DF">
              <w:rPr>
                <w:b/>
                <w:bCs/>
                <w:color w:val="000000"/>
                <w:sz w:val="20"/>
                <w:szCs w:val="20"/>
                <w:lang w:val="en-US"/>
              </w:rPr>
              <w:t>hase-out</w:t>
            </w:r>
          </w:p>
          <w:p w14:paraId="4A0656E2" w14:textId="4B3ED29B" w:rsidR="004E7975" w:rsidRPr="006524DF" w:rsidRDefault="004604EB" w:rsidP="004604EB">
            <w:pPr>
              <w:jc w:val="center"/>
              <w:rPr>
                <w:b/>
                <w:bCs/>
                <w:color w:val="000000"/>
                <w:sz w:val="20"/>
                <w:szCs w:val="20"/>
                <w:lang w:val="en-US"/>
              </w:rPr>
            </w:pPr>
            <w:r w:rsidRPr="006524DF">
              <w:rPr>
                <w:b/>
                <w:bCs/>
                <w:color w:val="000000"/>
                <w:sz w:val="20"/>
                <w:szCs w:val="20"/>
                <w:lang w:val="en-US"/>
              </w:rPr>
              <w:t>(</w:t>
            </w:r>
            <w:r w:rsidR="004E7975" w:rsidRPr="006524DF">
              <w:rPr>
                <w:b/>
                <w:bCs/>
                <w:color w:val="000000"/>
                <w:sz w:val="20"/>
                <w:szCs w:val="20"/>
                <w:lang w:val="en-US"/>
              </w:rPr>
              <w:t>ODP tonnes</w:t>
            </w:r>
            <w:r w:rsidRPr="006524DF">
              <w:rPr>
                <w:b/>
                <w:bCs/>
                <w:color w:val="000000"/>
                <w:sz w:val="20"/>
                <w:szCs w:val="20"/>
                <w:lang w:val="en-US"/>
              </w:rPr>
              <w:t>)</w:t>
            </w:r>
            <w:r w:rsidR="004E7975" w:rsidRPr="006524DF">
              <w:rPr>
                <w:b/>
                <w:bCs/>
                <w:color w:val="000000"/>
                <w:sz w:val="20"/>
                <w:szCs w:val="20"/>
                <w:lang w:val="en-US"/>
              </w:rPr>
              <w:t xml:space="preserve"> </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03FF50A" w14:textId="77777777" w:rsidR="004E7975" w:rsidRPr="006524DF" w:rsidRDefault="004E7975" w:rsidP="006D34D2">
            <w:pPr>
              <w:jc w:val="center"/>
              <w:rPr>
                <w:b/>
                <w:bCs/>
                <w:color w:val="000000"/>
                <w:sz w:val="20"/>
                <w:szCs w:val="20"/>
                <w:lang w:val="en-US"/>
              </w:rPr>
            </w:pPr>
            <w:r w:rsidRPr="006524DF">
              <w:rPr>
                <w:b/>
                <w:bCs/>
                <w:color w:val="000000"/>
                <w:sz w:val="20"/>
                <w:szCs w:val="20"/>
                <w:lang w:val="en-US"/>
              </w:rPr>
              <w:t xml:space="preserve">Average of </w:t>
            </w:r>
            <w:r w:rsidR="006D34D2" w:rsidRPr="006524DF">
              <w:rPr>
                <w:b/>
                <w:bCs/>
                <w:color w:val="000000"/>
                <w:sz w:val="20"/>
                <w:szCs w:val="20"/>
                <w:lang w:val="en-US"/>
              </w:rPr>
              <w:t>d</w:t>
            </w:r>
            <w:r w:rsidRPr="006524DF">
              <w:rPr>
                <w:b/>
                <w:bCs/>
                <w:color w:val="000000"/>
                <w:sz w:val="20"/>
                <w:szCs w:val="20"/>
                <w:lang w:val="en-US"/>
              </w:rPr>
              <w:t xml:space="preserve">elays (in </w:t>
            </w:r>
            <w:r w:rsidR="006D34D2" w:rsidRPr="006524DF">
              <w:rPr>
                <w:b/>
                <w:bCs/>
                <w:color w:val="000000"/>
                <w:sz w:val="20"/>
                <w:szCs w:val="20"/>
                <w:lang w:val="en-US"/>
              </w:rPr>
              <w:t>months</w:t>
            </w:r>
            <w:r w:rsidRPr="006524DF">
              <w:rPr>
                <w:b/>
                <w:bCs/>
                <w:color w:val="000000"/>
                <w:sz w:val="20"/>
                <w:szCs w:val="20"/>
                <w:lang w:val="en-US"/>
              </w:rPr>
              <w:t>)</w:t>
            </w:r>
            <w:r w:rsidR="00200F77" w:rsidRPr="006524DF">
              <w:rPr>
                <w:b/>
                <w:bCs/>
                <w:color w:val="000000"/>
                <w:sz w:val="20"/>
                <w:szCs w:val="20"/>
                <w:lang w:val="en-US"/>
              </w:rPr>
              <w:t xml:space="preserve"> </w:t>
            </w:r>
            <w:r w:rsidR="00200F77" w:rsidRPr="006524DF">
              <w:rPr>
                <w:rStyle w:val="FootnoteReference"/>
                <w:b/>
                <w:bCs/>
                <w:color w:val="000000"/>
                <w:sz w:val="20"/>
                <w:szCs w:val="20"/>
                <w:lang w:val="en-US"/>
              </w:rPr>
              <w:footnoteReference w:id="2"/>
            </w:r>
          </w:p>
        </w:tc>
      </w:tr>
      <w:tr w:rsidR="004E7975" w:rsidRPr="006524DF" w14:paraId="7F5F83B9" w14:textId="77777777" w:rsidTr="00676C3E">
        <w:tc>
          <w:tcPr>
            <w:tcW w:w="943" w:type="pct"/>
            <w:vMerge/>
            <w:tcBorders>
              <w:top w:val="single" w:sz="4" w:space="0" w:color="auto"/>
              <w:left w:val="single" w:sz="4" w:space="0" w:color="auto"/>
              <w:bottom w:val="single" w:sz="4" w:space="0" w:color="auto"/>
              <w:right w:val="single" w:sz="4" w:space="0" w:color="auto"/>
            </w:tcBorders>
            <w:vAlign w:val="center"/>
            <w:hideMark/>
          </w:tcPr>
          <w:p w14:paraId="39219D8F" w14:textId="77777777" w:rsidR="004E7975" w:rsidRPr="006524DF" w:rsidRDefault="004E7975" w:rsidP="001C0A2A">
            <w:pPr>
              <w:jc w:val="left"/>
              <w:rPr>
                <w:b/>
                <w:bCs/>
                <w:color w:val="000000"/>
                <w:sz w:val="20"/>
                <w:szCs w:val="20"/>
                <w:lang w:val="en-US"/>
              </w:rPr>
            </w:pPr>
          </w:p>
        </w:tc>
        <w:tc>
          <w:tcPr>
            <w:tcW w:w="784" w:type="pct"/>
            <w:tcBorders>
              <w:top w:val="nil"/>
              <w:left w:val="nil"/>
              <w:bottom w:val="single" w:sz="4" w:space="0" w:color="auto"/>
              <w:right w:val="single" w:sz="4" w:space="0" w:color="auto"/>
            </w:tcBorders>
            <w:shd w:val="clear" w:color="auto" w:fill="auto"/>
            <w:vAlign w:val="center"/>
            <w:hideMark/>
          </w:tcPr>
          <w:p w14:paraId="59A64E9D" w14:textId="77777777" w:rsidR="004E7975" w:rsidRPr="006524DF" w:rsidRDefault="004E7975" w:rsidP="001C0A2A">
            <w:pPr>
              <w:jc w:val="center"/>
              <w:rPr>
                <w:b/>
                <w:bCs/>
                <w:color w:val="000000"/>
                <w:sz w:val="20"/>
                <w:szCs w:val="20"/>
                <w:lang w:val="en-US"/>
              </w:rPr>
            </w:pPr>
            <w:r w:rsidRPr="006524DF">
              <w:rPr>
                <w:b/>
                <w:bCs/>
                <w:color w:val="000000"/>
                <w:sz w:val="20"/>
                <w:szCs w:val="20"/>
                <w:lang w:val="en-US"/>
              </w:rPr>
              <w:t>Approved</w:t>
            </w:r>
          </w:p>
        </w:tc>
        <w:tc>
          <w:tcPr>
            <w:tcW w:w="784" w:type="pct"/>
            <w:tcBorders>
              <w:top w:val="nil"/>
              <w:left w:val="nil"/>
              <w:bottom w:val="single" w:sz="4" w:space="0" w:color="auto"/>
              <w:right w:val="single" w:sz="4" w:space="0" w:color="auto"/>
            </w:tcBorders>
            <w:shd w:val="clear" w:color="auto" w:fill="auto"/>
            <w:vAlign w:val="center"/>
            <w:hideMark/>
          </w:tcPr>
          <w:p w14:paraId="5C22CACE" w14:textId="77777777" w:rsidR="004E7975" w:rsidRPr="006524DF" w:rsidRDefault="004E7975" w:rsidP="001C0A2A">
            <w:pPr>
              <w:jc w:val="center"/>
              <w:rPr>
                <w:b/>
                <w:bCs/>
                <w:color w:val="000000"/>
                <w:sz w:val="20"/>
                <w:szCs w:val="20"/>
                <w:lang w:val="en-US"/>
              </w:rPr>
            </w:pPr>
            <w:r w:rsidRPr="006524DF">
              <w:rPr>
                <w:b/>
                <w:bCs/>
                <w:color w:val="000000"/>
                <w:sz w:val="20"/>
                <w:szCs w:val="20"/>
                <w:lang w:val="en-US"/>
              </w:rPr>
              <w:t>Disbursed</w:t>
            </w:r>
          </w:p>
        </w:tc>
        <w:tc>
          <w:tcPr>
            <w:tcW w:w="784" w:type="pct"/>
            <w:tcBorders>
              <w:top w:val="nil"/>
              <w:left w:val="nil"/>
              <w:bottom w:val="single" w:sz="4" w:space="0" w:color="auto"/>
              <w:right w:val="single" w:sz="4" w:space="0" w:color="auto"/>
            </w:tcBorders>
            <w:shd w:val="clear" w:color="auto" w:fill="auto"/>
            <w:vAlign w:val="center"/>
            <w:hideMark/>
          </w:tcPr>
          <w:p w14:paraId="3DCB1EA6" w14:textId="77777777" w:rsidR="004E7975" w:rsidRPr="006524DF" w:rsidRDefault="004E7975" w:rsidP="001C0A2A">
            <w:pPr>
              <w:jc w:val="center"/>
              <w:rPr>
                <w:b/>
                <w:bCs/>
                <w:color w:val="000000"/>
                <w:sz w:val="20"/>
                <w:szCs w:val="20"/>
                <w:lang w:val="en-US"/>
              </w:rPr>
            </w:pPr>
            <w:r w:rsidRPr="006524DF">
              <w:rPr>
                <w:b/>
                <w:bCs/>
                <w:color w:val="000000"/>
                <w:sz w:val="20"/>
                <w:szCs w:val="20"/>
                <w:lang w:val="en-US"/>
              </w:rPr>
              <w:t>Approved</w:t>
            </w:r>
          </w:p>
        </w:tc>
        <w:tc>
          <w:tcPr>
            <w:tcW w:w="784" w:type="pct"/>
            <w:tcBorders>
              <w:top w:val="nil"/>
              <w:left w:val="nil"/>
              <w:bottom w:val="single" w:sz="4" w:space="0" w:color="auto"/>
              <w:right w:val="single" w:sz="4" w:space="0" w:color="auto"/>
            </w:tcBorders>
            <w:shd w:val="clear" w:color="auto" w:fill="auto"/>
            <w:vAlign w:val="center"/>
            <w:hideMark/>
          </w:tcPr>
          <w:p w14:paraId="346389AB" w14:textId="77777777" w:rsidR="004E7975" w:rsidRPr="006524DF" w:rsidRDefault="004E7975" w:rsidP="001C0A2A">
            <w:pPr>
              <w:jc w:val="center"/>
              <w:rPr>
                <w:b/>
                <w:bCs/>
                <w:color w:val="000000"/>
                <w:sz w:val="20"/>
                <w:szCs w:val="20"/>
                <w:lang w:val="en-US"/>
              </w:rPr>
            </w:pPr>
            <w:r w:rsidRPr="006524DF">
              <w:rPr>
                <w:b/>
                <w:bCs/>
                <w:color w:val="000000"/>
                <w:sz w:val="20"/>
                <w:szCs w:val="20"/>
                <w:lang w:val="en-US"/>
              </w:rPr>
              <w:t>Actual</w:t>
            </w: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69A523E9" w14:textId="77777777" w:rsidR="004E7975" w:rsidRPr="00765981" w:rsidRDefault="004E7975" w:rsidP="001C0A2A">
            <w:pPr>
              <w:jc w:val="left"/>
              <w:rPr>
                <w:b/>
                <w:bCs/>
                <w:color w:val="000000"/>
                <w:sz w:val="20"/>
                <w:szCs w:val="20"/>
                <w:lang w:val="en-US"/>
              </w:rPr>
            </w:pPr>
          </w:p>
        </w:tc>
      </w:tr>
      <w:tr w:rsidR="00200F77" w:rsidRPr="006524DF" w14:paraId="749A152C" w14:textId="77777777" w:rsidTr="00676C3E">
        <w:tc>
          <w:tcPr>
            <w:tcW w:w="943" w:type="pct"/>
            <w:tcBorders>
              <w:top w:val="nil"/>
              <w:left w:val="single" w:sz="4" w:space="0" w:color="auto"/>
              <w:bottom w:val="single" w:sz="4" w:space="0" w:color="auto"/>
              <w:right w:val="single" w:sz="4" w:space="0" w:color="auto"/>
            </w:tcBorders>
            <w:shd w:val="clear" w:color="auto" w:fill="auto"/>
            <w:noWrap/>
            <w:vAlign w:val="bottom"/>
          </w:tcPr>
          <w:p w14:paraId="069B1B60" w14:textId="77777777" w:rsidR="00200F77" w:rsidRPr="006524DF" w:rsidRDefault="00200F77" w:rsidP="00200F77">
            <w:pPr>
              <w:jc w:val="left"/>
              <w:rPr>
                <w:color w:val="000000"/>
                <w:sz w:val="20"/>
                <w:szCs w:val="20"/>
                <w:lang w:val="en-US"/>
              </w:rPr>
            </w:pPr>
            <w:r w:rsidRPr="006524DF">
              <w:rPr>
                <w:color w:val="000000"/>
                <w:sz w:val="20"/>
                <w:szCs w:val="20"/>
                <w:lang w:val="en-US"/>
              </w:rPr>
              <w:t>UNDP</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0775F3E4"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9,441,674</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tcPr>
          <w:p w14:paraId="531A2647"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7,890,283</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2D3B5154"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135</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7ABCDB2"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131</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74FEF8C2" w14:textId="77777777" w:rsidR="00200F77" w:rsidRPr="006524DF" w:rsidRDefault="00200F77" w:rsidP="00676C3E">
            <w:pPr>
              <w:widowControl w:val="0"/>
              <w:ind w:right="240"/>
              <w:jc w:val="right"/>
              <w:rPr>
                <w:bCs/>
                <w:color w:val="000000"/>
                <w:sz w:val="20"/>
                <w:szCs w:val="20"/>
                <w:lang w:val="en-US"/>
              </w:rPr>
            </w:pPr>
            <w:r w:rsidRPr="006524DF">
              <w:rPr>
                <w:bCs/>
                <w:color w:val="000000"/>
                <w:sz w:val="20"/>
                <w:szCs w:val="20"/>
                <w:lang w:val="en-US"/>
              </w:rPr>
              <w:t>0</w:t>
            </w:r>
          </w:p>
        </w:tc>
      </w:tr>
      <w:tr w:rsidR="00200F77" w:rsidRPr="006524DF" w14:paraId="5494C5A7" w14:textId="77777777" w:rsidTr="00676C3E">
        <w:tc>
          <w:tcPr>
            <w:tcW w:w="943" w:type="pct"/>
            <w:tcBorders>
              <w:top w:val="nil"/>
              <w:left w:val="single" w:sz="4" w:space="0" w:color="auto"/>
              <w:bottom w:val="single" w:sz="4" w:space="0" w:color="auto"/>
              <w:right w:val="single" w:sz="4" w:space="0" w:color="auto"/>
            </w:tcBorders>
            <w:shd w:val="clear" w:color="auto" w:fill="auto"/>
            <w:noWrap/>
            <w:vAlign w:val="bottom"/>
            <w:hideMark/>
          </w:tcPr>
          <w:p w14:paraId="562B2C00" w14:textId="77777777" w:rsidR="00200F77" w:rsidRPr="006524DF" w:rsidRDefault="00200F77" w:rsidP="00200F77">
            <w:pPr>
              <w:jc w:val="left"/>
              <w:rPr>
                <w:color w:val="000000"/>
                <w:sz w:val="20"/>
                <w:szCs w:val="20"/>
                <w:lang w:val="en-US"/>
              </w:rPr>
            </w:pPr>
            <w:r w:rsidRPr="006524DF">
              <w:rPr>
                <w:color w:val="000000"/>
                <w:sz w:val="20"/>
                <w:szCs w:val="20"/>
                <w:lang w:val="en-US"/>
              </w:rPr>
              <w:t>UNEP</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143CEF2"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475,000</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3166F6AD"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438,002</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56121FBE"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5.8</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center"/>
            <w:hideMark/>
          </w:tcPr>
          <w:p w14:paraId="10588E26" w14:textId="77777777" w:rsidR="00200F77" w:rsidRPr="006524DF" w:rsidRDefault="00200F77" w:rsidP="00200F77">
            <w:pPr>
              <w:widowControl w:val="0"/>
              <w:jc w:val="right"/>
              <w:rPr>
                <w:bCs/>
                <w:color w:val="000000"/>
                <w:sz w:val="20"/>
                <w:szCs w:val="20"/>
                <w:lang w:val="en-US"/>
              </w:rPr>
            </w:pPr>
            <w:r w:rsidRPr="006524DF">
              <w:rPr>
                <w:bCs/>
                <w:color w:val="000000"/>
                <w:sz w:val="20"/>
                <w:szCs w:val="20"/>
                <w:lang w:val="en-US"/>
              </w:rPr>
              <w:t>2.9</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bottom"/>
            <w:hideMark/>
          </w:tcPr>
          <w:p w14:paraId="3051FE47" w14:textId="77777777" w:rsidR="00200F77" w:rsidRPr="006524DF" w:rsidRDefault="00200F77" w:rsidP="00676C3E">
            <w:pPr>
              <w:widowControl w:val="0"/>
              <w:ind w:right="240"/>
              <w:jc w:val="right"/>
              <w:rPr>
                <w:bCs/>
                <w:color w:val="000000"/>
                <w:sz w:val="20"/>
                <w:szCs w:val="20"/>
                <w:lang w:val="en-US"/>
              </w:rPr>
            </w:pPr>
            <w:r w:rsidRPr="006524DF">
              <w:rPr>
                <w:bCs/>
                <w:color w:val="000000"/>
                <w:sz w:val="20"/>
                <w:szCs w:val="20"/>
                <w:lang w:val="en-US"/>
              </w:rPr>
              <w:t>0</w:t>
            </w:r>
          </w:p>
        </w:tc>
      </w:tr>
      <w:tr w:rsidR="00B92D93" w:rsidRPr="006524DF" w14:paraId="6343FDAC" w14:textId="77777777" w:rsidTr="00676C3E">
        <w:tc>
          <w:tcPr>
            <w:tcW w:w="943" w:type="pct"/>
            <w:tcBorders>
              <w:top w:val="nil"/>
              <w:left w:val="single" w:sz="4" w:space="0" w:color="auto"/>
              <w:bottom w:val="single" w:sz="4" w:space="0" w:color="auto"/>
              <w:right w:val="single" w:sz="4" w:space="0" w:color="auto"/>
            </w:tcBorders>
            <w:shd w:val="clear" w:color="auto" w:fill="auto"/>
            <w:noWrap/>
            <w:vAlign w:val="bottom"/>
          </w:tcPr>
          <w:p w14:paraId="164F1DC7" w14:textId="4D8A1D38" w:rsidR="00B92D93" w:rsidRPr="006524DF" w:rsidRDefault="00B92D93" w:rsidP="00B92D93">
            <w:pPr>
              <w:jc w:val="left"/>
              <w:rPr>
                <w:color w:val="000000"/>
                <w:sz w:val="20"/>
                <w:szCs w:val="20"/>
                <w:lang w:val="en-US"/>
              </w:rPr>
            </w:pPr>
            <w:r w:rsidRPr="006524DF">
              <w:rPr>
                <w:color w:val="000000"/>
                <w:sz w:val="20"/>
                <w:szCs w:val="20"/>
                <w:lang w:val="en-US"/>
              </w:rPr>
              <w:t>World Bank</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74360C4B" w14:textId="77777777" w:rsidR="00B92D93" w:rsidRPr="006524DF" w:rsidRDefault="00B92D93" w:rsidP="00B92D93">
            <w:pPr>
              <w:widowControl w:val="0"/>
              <w:jc w:val="right"/>
              <w:rPr>
                <w:bCs/>
                <w:color w:val="000000"/>
                <w:sz w:val="20"/>
                <w:szCs w:val="20"/>
                <w:lang w:val="en-US"/>
              </w:rPr>
            </w:pPr>
            <w:r w:rsidRPr="006524DF">
              <w:rPr>
                <w:bCs/>
                <w:color w:val="000000"/>
                <w:sz w:val="20"/>
                <w:szCs w:val="20"/>
                <w:lang w:val="en-US"/>
              </w:rPr>
              <w:t>173,500,000</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8829181" w14:textId="77777777" w:rsidR="00B92D93" w:rsidRPr="006524DF" w:rsidRDefault="00B92D93" w:rsidP="00B92D93">
            <w:pPr>
              <w:widowControl w:val="0"/>
              <w:jc w:val="right"/>
              <w:rPr>
                <w:bCs/>
                <w:color w:val="000000"/>
                <w:sz w:val="20"/>
                <w:szCs w:val="20"/>
                <w:lang w:val="en-US"/>
              </w:rPr>
            </w:pPr>
            <w:r w:rsidRPr="006524DF">
              <w:rPr>
                <w:bCs/>
                <w:color w:val="000000"/>
                <w:sz w:val="20"/>
                <w:szCs w:val="20"/>
                <w:lang w:val="en-US"/>
              </w:rPr>
              <w:t>173,500,000</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2414F03C" w14:textId="4E34D01E" w:rsidR="00B92D93" w:rsidRPr="006524DF" w:rsidRDefault="00B92D93" w:rsidP="00B92D93">
            <w:pPr>
              <w:widowControl w:val="0"/>
              <w:jc w:val="right"/>
              <w:rPr>
                <w:bCs/>
                <w:color w:val="000000"/>
                <w:sz w:val="20"/>
                <w:szCs w:val="20"/>
                <w:lang w:val="en-US"/>
              </w:rPr>
            </w:pPr>
            <w:r w:rsidRPr="006524DF">
              <w:rPr>
                <w:bCs/>
                <w:color w:val="000000"/>
                <w:sz w:val="20"/>
                <w:szCs w:val="20"/>
                <w:lang w:val="en-US"/>
              </w:rPr>
              <w:t>124,741</w:t>
            </w:r>
            <w:r w:rsidR="006573FE" w:rsidRPr="006524DF">
              <w:rPr>
                <w:bCs/>
                <w:color w:val="000000"/>
                <w:sz w:val="20"/>
                <w:szCs w:val="20"/>
                <w:lang w:val="en-US"/>
              </w:rPr>
              <w:t>*</w:t>
            </w:r>
          </w:p>
        </w:tc>
        <w:tc>
          <w:tcPr>
            <w:tcW w:w="784"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5250F6A0" w14:textId="572229D3" w:rsidR="00B92D93" w:rsidRPr="006524DF" w:rsidRDefault="00B92D93" w:rsidP="00B92D93">
            <w:pPr>
              <w:widowControl w:val="0"/>
              <w:jc w:val="right"/>
              <w:rPr>
                <w:bCs/>
                <w:color w:val="000000"/>
                <w:sz w:val="20"/>
                <w:szCs w:val="20"/>
                <w:lang w:val="en-US"/>
              </w:rPr>
            </w:pPr>
            <w:r w:rsidRPr="006524DF">
              <w:rPr>
                <w:bCs/>
                <w:color w:val="000000"/>
                <w:sz w:val="20"/>
                <w:szCs w:val="20"/>
                <w:lang w:val="en-US"/>
              </w:rPr>
              <w:t>144,599</w:t>
            </w:r>
            <w:r w:rsidR="006573FE" w:rsidRPr="006524DF">
              <w:rPr>
                <w:bCs/>
                <w:color w:val="000000"/>
                <w:sz w:val="20"/>
                <w:szCs w:val="20"/>
                <w:lang w:val="en-US"/>
              </w:rPr>
              <w:t>*</w:t>
            </w:r>
          </w:p>
        </w:tc>
        <w:tc>
          <w:tcPr>
            <w:tcW w:w="920" w:type="pct"/>
            <w:tcBorders>
              <w:top w:val="nil"/>
              <w:left w:val="nil"/>
              <w:bottom w:val="single" w:sz="4" w:space="0" w:color="auto"/>
              <w:right w:val="single" w:sz="4" w:space="0" w:color="auto"/>
            </w:tcBorders>
            <w:shd w:val="clear" w:color="auto" w:fill="auto"/>
            <w:noWrap/>
            <w:tcMar>
              <w:left w:w="115" w:type="dxa"/>
              <w:right w:w="202" w:type="dxa"/>
            </w:tcMar>
            <w:vAlign w:val="bottom"/>
          </w:tcPr>
          <w:p w14:paraId="0712473F" w14:textId="77777777" w:rsidR="00B92D93" w:rsidRPr="006524DF" w:rsidRDefault="00B92D93" w:rsidP="00676C3E">
            <w:pPr>
              <w:widowControl w:val="0"/>
              <w:ind w:right="240"/>
              <w:jc w:val="right"/>
              <w:rPr>
                <w:bCs/>
                <w:color w:val="000000"/>
                <w:sz w:val="20"/>
                <w:szCs w:val="20"/>
                <w:lang w:val="en-US"/>
              </w:rPr>
            </w:pPr>
            <w:r w:rsidRPr="006524DF">
              <w:rPr>
                <w:bCs/>
                <w:color w:val="000000"/>
                <w:sz w:val="20"/>
                <w:szCs w:val="20"/>
                <w:lang w:val="en-US"/>
              </w:rPr>
              <w:t>11</w:t>
            </w:r>
          </w:p>
        </w:tc>
      </w:tr>
      <w:tr w:rsidR="00200F77" w:rsidRPr="006524DF" w14:paraId="602A749E" w14:textId="77777777" w:rsidTr="00676C3E">
        <w:tc>
          <w:tcPr>
            <w:tcW w:w="943" w:type="pct"/>
            <w:tcBorders>
              <w:top w:val="nil"/>
              <w:left w:val="single" w:sz="4" w:space="0" w:color="auto"/>
              <w:bottom w:val="single" w:sz="4" w:space="0" w:color="auto"/>
              <w:right w:val="single" w:sz="4" w:space="0" w:color="auto"/>
            </w:tcBorders>
            <w:shd w:val="clear" w:color="auto" w:fill="auto"/>
            <w:noWrap/>
            <w:vAlign w:val="bottom"/>
            <w:hideMark/>
          </w:tcPr>
          <w:p w14:paraId="6A6F8C08" w14:textId="77777777" w:rsidR="00200F77" w:rsidRPr="006524DF" w:rsidRDefault="00200F77" w:rsidP="00200F77">
            <w:pPr>
              <w:jc w:val="left"/>
              <w:rPr>
                <w:b/>
                <w:bCs/>
                <w:color w:val="000000"/>
                <w:sz w:val="20"/>
                <w:szCs w:val="20"/>
                <w:lang w:val="en-US"/>
              </w:rPr>
            </w:pPr>
            <w:r w:rsidRPr="006524DF">
              <w:rPr>
                <w:b/>
                <w:bCs/>
                <w:color w:val="000000"/>
                <w:sz w:val="20"/>
                <w:szCs w:val="20"/>
                <w:lang w:val="en-US"/>
              </w:rPr>
              <w:t>Grand Total</w:t>
            </w:r>
          </w:p>
        </w:tc>
        <w:tc>
          <w:tcPr>
            <w:tcW w:w="784" w:type="pct"/>
            <w:tcBorders>
              <w:top w:val="nil"/>
              <w:left w:val="nil"/>
              <w:bottom w:val="single" w:sz="4" w:space="0" w:color="auto"/>
              <w:right w:val="single" w:sz="4" w:space="0" w:color="auto"/>
            </w:tcBorders>
            <w:shd w:val="clear" w:color="auto" w:fill="auto"/>
            <w:noWrap/>
            <w:tcMar>
              <w:left w:w="115" w:type="dxa"/>
              <w:right w:w="202" w:type="dxa"/>
            </w:tcMar>
            <w:hideMark/>
          </w:tcPr>
          <w:p w14:paraId="545BEC1E" w14:textId="77777777" w:rsidR="00200F77" w:rsidRPr="006524DF" w:rsidRDefault="00200F77" w:rsidP="00200F77">
            <w:pPr>
              <w:jc w:val="right"/>
              <w:rPr>
                <w:b/>
                <w:bCs/>
                <w:color w:val="000000"/>
                <w:sz w:val="20"/>
                <w:szCs w:val="20"/>
                <w:lang w:val="en-US"/>
              </w:rPr>
            </w:pPr>
            <w:r w:rsidRPr="006524DF">
              <w:rPr>
                <w:b/>
                <w:bCs/>
                <w:color w:val="000000"/>
                <w:sz w:val="20"/>
                <w:szCs w:val="20"/>
                <w:lang w:val="en-US"/>
              </w:rPr>
              <w:t>183,416,674</w:t>
            </w:r>
          </w:p>
        </w:tc>
        <w:tc>
          <w:tcPr>
            <w:tcW w:w="784" w:type="pct"/>
            <w:tcBorders>
              <w:top w:val="nil"/>
              <w:left w:val="nil"/>
              <w:bottom w:val="single" w:sz="4" w:space="0" w:color="auto"/>
              <w:right w:val="single" w:sz="4" w:space="0" w:color="auto"/>
            </w:tcBorders>
            <w:shd w:val="clear" w:color="auto" w:fill="auto"/>
            <w:noWrap/>
            <w:tcMar>
              <w:left w:w="115" w:type="dxa"/>
              <w:right w:w="202" w:type="dxa"/>
            </w:tcMar>
            <w:hideMark/>
          </w:tcPr>
          <w:p w14:paraId="657E133D" w14:textId="77777777" w:rsidR="00200F77" w:rsidRPr="006524DF" w:rsidRDefault="00200F77" w:rsidP="00200F77">
            <w:pPr>
              <w:jc w:val="right"/>
              <w:rPr>
                <w:b/>
                <w:bCs/>
                <w:color w:val="000000"/>
                <w:sz w:val="20"/>
                <w:szCs w:val="20"/>
                <w:lang w:val="en-US"/>
              </w:rPr>
            </w:pPr>
            <w:r w:rsidRPr="006524DF">
              <w:rPr>
                <w:b/>
                <w:bCs/>
                <w:color w:val="000000"/>
                <w:sz w:val="20"/>
                <w:szCs w:val="20"/>
                <w:lang w:val="en-US"/>
              </w:rPr>
              <w:t>181,828,285</w:t>
            </w:r>
          </w:p>
        </w:tc>
        <w:tc>
          <w:tcPr>
            <w:tcW w:w="784" w:type="pct"/>
            <w:tcBorders>
              <w:top w:val="nil"/>
              <w:left w:val="nil"/>
              <w:bottom w:val="single" w:sz="4" w:space="0" w:color="auto"/>
              <w:right w:val="single" w:sz="4" w:space="0" w:color="auto"/>
            </w:tcBorders>
            <w:shd w:val="clear" w:color="auto" w:fill="auto"/>
            <w:noWrap/>
            <w:tcMar>
              <w:left w:w="115" w:type="dxa"/>
              <w:right w:w="202" w:type="dxa"/>
            </w:tcMar>
            <w:hideMark/>
          </w:tcPr>
          <w:p w14:paraId="30B4EAEB" w14:textId="77777777" w:rsidR="00200F77" w:rsidRPr="006524DF" w:rsidRDefault="00200F77" w:rsidP="00200F77">
            <w:pPr>
              <w:jc w:val="right"/>
              <w:rPr>
                <w:b/>
                <w:bCs/>
                <w:color w:val="000000"/>
                <w:sz w:val="20"/>
                <w:szCs w:val="20"/>
                <w:lang w:val="en-US"/>
              </w:rPr>
            </w:pPr>
            <w:r w:rsidRPr="006524DF">
              <w:rPr>
                <w:b/>
                <w:bCs/>
                <w:color w:val="000000"/>
                <w:sz w:val="20"/>
                <w:szCs w:val="20"/>
                <w:lang w:val="en-US"/>
              </w:rPr>
              <w:t>124,882</w:t>
            </w:r>
          </w:p>
        </w:tc>
        <w:tc>
          <w:tcPr>
            <w:tcW w:w="784" w:type="pct"/>
            <w:tcBorders>
              <w:top w:val="nil"/>
              <w:left w:val="nil"/>
              <w:bottom w:val="single" w:sz="4" w:space="0" w:color="auto"/>
              <w:right w:val="single" w:sz="4" w:space="0" w:color="auto"/>
            </w:tcBorders>
            <w:shd w:val="clear" w:color="auto" w:fill="auto"/>
            <w:noWrap/>
            <w:tcMar>
              <w:left w:w="115" w:type="dxa"/>
              <w:right w:w="202" w:type="dxa"/>
            </w:tcMar>
            <w:hideMark/>
          </w:tcPr>
          <w:p w14:paraId="27A51875" w14:textId="77777777" w:rsidR="00200F77" w:rsidRPr="006524DF" w:rsidRDefault="00200F77" w:rsidP="00200F77">
            <w:pPr>
              <w:jc w:val="right"/>
              <w:rPr>
                <w:b/>
                <w:bCs/>
                <w:color w:val="000000"/>
                <w:sz w:val="20"/>
                <w:szCs w:val="20"/>
                <w:lang w:val="en-US"/>
              </w:rPr>
            </w:pPr>
            <w:r w:rsidRPr="006524DF">
              <w:rPr>
                <w:b/>
                <w:bCs/>
                <w:color w:val="000000"/>
                <w:sz w:val="20"/>
                <w:szCs w:val="20"/>
                <w:lang w:val="en-US"/>
              </w:rPr>
              <w:t>144,733</w:t>
            </w:r>
          </w:p>
        </w:tc>
        <w:tc>
          <w:tcPr>
            <w:tcW w:w="920" w:type="pct"/>
            <w:tcBorders>
              <w:top w:val="nil"/>
              <w:left w:val="nil"/>
              <w:bottom w:val="single" w:sz="4" w:space="0" w:color="auto"/>
              <w:right w:val="single" w:sz="4" w:space="0" w:color="auto"/>
            </w:tcBorders>
            <w:shd w:val="clear" w:color="auto" w:fill="auto"/>
            <w:noWrap/>
            <w:tcMar>
              <w:left w:w="115" w:type="dxa"/>
              <w:right w:w="202" w:type="dxa"/>
            </w:tcMar>
            <w:hideMark/>
          </w:tcPr>
          <w:p w14:paraId="03A8073D" w14:textId="77777777" w:rsidR="00200F77" w:rsidRPr="006524DF" w:rsidRDefault="00200F77" w:rsidP="00676C3E">
            <w:pPr>
              <w:ind w:right="240"/>
              <w:jc w:val="right"/>
              <w:rPr>
                <w:b/>
                <w:bCs/>
                <w:color w:val="000000"/>
                <w:sz w:val="20"/>
                <w:szCs w:val="20"/>
                <w:lang w:val="en-US"/>
              </w:rPr>
            </w:pPr>
            <w:r w:rsidRPr="006524DF">
              <w:rPr>
                <w:b/>
                <w:bCs/>
                <w:color w:val="000000"/>
                <w:sz w:val="20"/>
                <w:szCs w:val="20"/>
                <w:lang w:val="en-US"/>
              </w:rPr>
              <w:t>6.6</w:t>
            </w:r>
          </w:p>
        </w:tc>
      </w:tr>
    </w:tbl>
    <w:p w14:paraId="57C8B9D9" w14:textId="7BB76D16" w:rsidR="00222C40" w:rsidRPr="006524DF" w:rsidRDefault="006573FE" w:rsidP="006573FE">
      <w:pPr>
        <w:widowControl w:val="0"/>
        <w:spacing w:after="240"/>
        <w:rPr>
          <w:sz w:val="20"/>
          <w:szCs w:val="20"/>
        </w:rPr>
      </w:pPr>
      <w:r w:rsidRPr="00765981">
        <w:rPr>
          <w:sz w:val="20"/>
          <w:szCs w:val="20"/>
        </w:rPr>
        <w:t xml:space="preserve">* The World Bank’s total phase-out includes a production phase-out consisting of 82,222 </w:t>
      </w:r>
      <w:r w:rsidR="007E0EA4" w:rsidRPr="00765981">
        <w:rPr>
          <w:sz w:val="20"/>
          <w:szCs w:val="20"/>
        </w:rPr>
        <w:t xml:space="preserve">approved </w:t>
      </w:r>
      <w:r w:rsidRPr="00765981">
        <w:rPr>
          <w:sz w:val="20"/>
          <w:szCs w:val="20"/>
        </w:rPr>
        <w:t xml:space="preserve">ODP tonnes and 93,799 </w:t>
      </w:r>
      <w:r w:rsidR="007E0EA4" w:rsidRPr="00765981">
        <w:rPr>
          <w:sz w:val="20"/>
          <w:szCs w:val="20"/>
        </w:rPr>
        <w:t xml:space="preserve">actual </w:t>
      </w:r>
      <w:r w:rsidRPr="00765981">
        <w:rPr>
          <w:sz w:val="20"/>
          <w:szCs w:val="20"/>
        </w:rPr>
        <w:t>ODP tonnes, respectively</w:t>
      </w:r>
      <w:r w:rsidR="007E0EA4" w:rsidRPr="00765981">
        <w:rPr>
          <w:sz w:val="20"/>
          <w:szCs w:val="20"/>
        </w:rPr>
        <w:t xml:space="preserve"> phased-out</w:t>
      </w:r>
      <w:r w:rsidRPr="00765981">
        <w:rPr>
          <w:sz w:val="20"/>
          <w:szCs w:val="20"/>
        </w:rPr>
        <w:t>.</w:t>
      </w:r>
    </w:p>
    <w:p w14:paraId="4A8E9B9D" w14:textId="77777777" w:rsidR="00222C40" w:rsidRPr="006524DF" w:rsidRDefault="00222C40" w:rsidP="00676C3E">
      <w:pPr>
        <w:widowControl w:val="0"/>
        <w:spacing w:after="240"/>
        <w:rPr>
          <w:b/>
          <w:szCs w:val="20"/>
        </w:rPr>
      </w:pPr>
      <w:r w:rsidRPr="006524DF">
        <w:rPr>
          <w:b/>
          <w:szCs w:val="20"/>
        </w:rPr>
        <w:t>Reasons for delays</w:t>
      </w:r>
    </w:p>
    <w:p w14:paraId="5BF4B172" w14:textId="77777777" w:rsidR="00C64E51" w:rsidRPr="006524DF" w:rsidRDefault="00C64E51" w:rsidP="00544F4E">
      <w:pPr>
        <w:rPr>
          <w:u w:val="single"/>
          <w:shd w:val="clear" w:color="auto" w:fill="FFFFFF"/>
          <w:lang w:val="en-CA"/>
        </w:rPr>
      </w:pPr>
      <w:r w:rsidRPr="006524DF">
        <w:rPr>
          <w:u w:val="single"/>
          <w:shd w:val="clear" w:color="auto" w:fill="FFFFFF"/>
          <w:lang w:val="en-CA"/>
        </w:rPr>
        <w:t>HCFC phase-out management plans</w:t>
      </w:r>
      <w:r w:rsidR="00C959F1" w:rsidRPr="006524DF">
        <w:rPr>
          <w:u w:val="single"/>
          <w:shd w:val="clear" w:color="auto" w:fill="FFFFFF"/>
          <w:lang w:val="en-CA"/>
        </w:rPr>
        <w:t xml:space="preserve"> (HPMPs)</w:t>
      </w:r>
    </w:p>
    <w:p w14:paraId="55485354" w14:textId="17CF5E32" w:rsidR="00544F4E" w:rsidRPr="006524DF" w:rsidRDefault="00544F4E" w:rsidP="000D338E">
      <w:pPr>
        <w:pStyle w:val="Heading1"/>
        <w:widowControl w:val="0"/>
        <w:numPr>
          <w:ilvl w:val="0"/>
          <w:numId w:val="10"/>
        </w:numPr>
        <w:spacing w:before="240"/>
      </w:pPr>
      <w:r w:rsidRPr="006524DF">
        <w:rPr>
          <w:shd w:val="clear" w:color="auto" w:fill="FFFFFF"/>
          <w:lang w:val="en-CA"/>
        </w:rPr>
        <w:t>C</w:t>
      </w:r>
      <w:r w:rsidR="0052290E" w:rsidRPr="006524DF">
        <w:rPr>
          <w:shd w:val="clear" w:color="auto" w:fill="FFFFFF"/>
          <w:lang w:val="en-CA"/>
        </w:rPr>
        <w:t>ommon reason</w:t>
      </w:r>
      <w:r w:rsidRPr="006524DF">
        <w:rPr>
          <w:shd w:val="clear" w:color="auto" w:fill="FFFFFF"/>
          <w:lang w:val="en-CA"/>
        </w:rPr>
        <w:t>s</w:t>
      </w:r>
      <w:r w:rsidR="0052290E" w:rsidRPr="006524DF">
        <w:rPr>
          <w:shd w:val="clear" w:color="auto" w:fill="FFFFFF"/>
          <w:lang w:val="en-CA"/>
        </w:rPr>
        <w:t xml:space="preserve"> for delay </w:t>
      </w:r>
      <w:r w:rsidRPr="006524DF">
        <w:rPr>
          <w:shd w:val="clear" w:color="auto" w:fill="FFFFFF"/>
          <w:lang w:val="en-CA"/>
        </w:rPr>
        <w:t>were</w:t>
      </w:r>
      <w:r w:rsidR="0052290E" w:rsidRPr="006524DF">
        <w:rPr>
          <w:shd w:val="clear" w:color="auto" w:fill="FFFFFF"/>
          <w:lang w:val="en-CA"/>
        </w:rPr>
        <w:t xml:space="preserve"> reported to be </w:t>
      </w:r>
      <w:r w:rsidRPr="006524DF">
        <w:rPr>
          <w:shd w:val="clear" w:color="auto" w:fill="FFFFFF"/>
          <w:lang w:val="en-CA"/>
        </w:rPr>
        <w:t xml:space="preserve">administrative issues, such as </w:t>
      </w:r>
      <w:r w:rsidRPr="006524DF">
        <w:rPr>
          <w:lang w:val="en-CA"/>
        </w:rPr>
        <w:t xml:space="preserve">delays in signing the </w:t>
      </w:r>
      <w:r w:rsidRPr="006524DF">
        <w:t>Agreement, t</w:t>
      </w:r>
      <w:r w:rsidR="0052290E" w:rsidRPr="006524DF">
        <w:t>he l</w:t>
      </w:r>
      <w:r w:rsidR="006718C9" w:rsidRPr="006524DF">
        <w:t>engthy a</w:t>
      </w:r>
      <w:r w:rsidR="00237B5C" w:rsidRPr="006524DF">
        <w:t>dministrat</w:t>
      </w:r>
      <w:r w:rsidR="006718C9" w:rsidRPr="006524DF">
        <w:t xml:space="preserve">ive </w:t>
      </w:r>
      <w:r w:rsidR="00237B5C" w:rsidRPr="006524DF">
        <w:t>process</w:t>
      </w:r>
      <w:r w:rsidR="006718C9" w:rsidRPr="006524DF">
        <w:t>e</w:t>
      </w:r>
      <w:r w:rsidR="0052290E" w:rsidRPr="006524DF">
        <w:t>s</w:t>
      </w:r>
      <w:r w:rsidR="00237B5C" w:rsidRPr="006524DF">
        <w:t xml:space="preserve"> for some </w:t>
      </w:r>
      <w:r w:rsidRPr="006524DF">
        <w:t xml:space="preserve">project approval and their registration in the relevant government ministries. In </w:t>
      </w:r>
      <w:r w:rsidR="001539E8" w:rsidRPr="006524DF">
        <w:t xml:space="preserve">the Asia Pacific </w:t>
      </w:r>
      <w:r w:rsidRPr="006524DF">
        <w:t xml:space="preserve">region, the issue was resolved by the rapid staffing of UNDP’s Montreal Protocol Unit, which provided the necessary project oversight. </w:t>
      </w:r>
    </w:p>
    <w:p w14:paraId="52B1B374" w14:textId="552FAEFD" w:rsidR="00C64E51" w:rsidRPr="006524DF" w:rsidRDefault="00544F4E" w:rsidP="000D338E">
      <w:pPr>
        <w:pStyle w:val="Heading1"/>
        <w:widowControl w:val="0"/>
        <w:numPr>
          <w:ilvl w:val="0"/>
          <w:numId w:val="10"/>
        </w:numPr>
        <w:spacing w:before="240"/>
      </w:pPr>
      <w:r w:rsidRPr="006524DF">
        <w:t xml:space="preserve">Project implementation issues were mainly due to a project design flaw, such as the cancellation of activities </w:t>
      </w:r>
      <w:r w:rsidR="001539E8" w:rsidRPr="006524DF">
        <w:t>that could not be</w:t>
      </w:r>
      <w:r w:rsidRPr="006524DF">
        <w:t xml:space="preserve"> </w:t>
      </w:r>
      <w:r w:rsidR="001539E8" w:rsidRPr="006524DF">
        <w:t>implemented</w:t>
      </w:r>
      <w:r w:rsidRPr="006524DF">
        <w:t>, which resulted in a reallocation of funds to training activities</w:t>
      </w:r>
      <w:r w:rsidR="001539E8" w:rsidRPr="006524DF">
        <w:t xml:space="preserve">; or </w:t>
      </w:r>
      <w:r w:rsidRPr="006524DF">
        <w:t>lack of components in the global market (i.e., compressors, expansion valves) and very high operational costs, which delayed the initiation of the conversions</w:t>
      </w:r>
      <w:r w:rsidR="004B7666" w:rsidRPr="006524DF">
        <w:t xml:space="preserve"> to HFC-32</w:t>
      </w:r>
      <w:r w:rsidRPr="006524DF">
        <w:t>. When</w:t>
      </w:r>
      <w:r w:rsidR="00C64E51" w:rsidRPr="006524DF">
        <w:t xml:space="preserve"> market conditions improved, enterprises</w:t>
      </w:r>
      <w:r w:rsidRPr="006524DF">
        <w:t xml:space="preserve"> were able to start production of HFC</w:t>
      </w:r>
      <w:r w:rsidRPr="006524DF">
        <w:noBreakHyphen/>
        <w:t>32</w:t>
      </w:r>
      <w:r w:rsidRPr="006524DF">
        <w:noBreakHyphen/>
        <w:t>based refrigeration and air-</w:t>
      </w:r>
      <w:r w:rsidR="00C64E51" w:rsidRPr="006524DF">
        <w:t>conditioning</w:t>
      </w:r>
      <w:r w:rsidRPr="006524DF">
        <w:t xml:space="preserve"> (RAC) equipment </w:t>
      </w:r>
      <w:r w:rsidR="007A6FC5" w:rsidRPr="006524DF">
        <w:t xml:space="preserve">and supply </w:t>
      </w:r>
      <w:r w:rsidRPr="006524DF">
        <w:t>to local market.</w:t>
      </w:r>
    </w:p>
    <w:p w14:paraId="3FE66A01" w14:textId="073859D9" w:rsidR="00E2327A" w:rsidRPr="006524DF" w:rsidRDefault="00F5351A" w:rsidP="000D338E">
      <w:pPr>
        <w:pStyle w:val="Heading1"/>
        <w:widowControl w:val="0"/>
        <w:numPr>
          <w:ilvl w:val="0"/>
          <w:numId w:val="10"/>
        </w:numPr>
        <w:spacing w:before="240"/>
      </w:pPr>
      <w:r w:rsidRPr="006524DF">
        <w:rPr>
          <w:lang w:val="en-CA"/>
        </w:rPr>
        <w:t xml:space="preserve">Limited </w:t>
      </w:r>
      <w:r w:rsidR="007E13D1" w:rsidRPr="006524DF">
        <w:rPr>
          <w:lang w:val="en-CA"/>
        </w:rPr>
        <w:t>communication between the IA and government ministries</w:t>
      </w:r>
      <w:r w:rsidR="00C64E51" w:rsidRPr="006524DF">
        <w:rPr>
          <w:lang w:val="en-CA"/>
        </w:rPr>
        <w:t xml:space="preserve"> and </w:t>
      </w:r>
      <w:r w:rsidR="007E13D1" w:rsidRPr="006524DF">
        <w:rPr>
          <w:lang w:val="en-CA"/>
        </w:rPr>
        <w:t>disagreement on the procurement mechanism led to delays</w:t>
      </w:r>
      <w:r w:rsidR="00C64E51" w:rsidRPr="006524DF">
        <w:rPr>
          <w:lang w:val="en-CA"/>
        </w:rPr>
        <w:t xml:space="preserve"> in one project</w:t>
      </w:r>
      <w:r w:rsidR="007E13D1" w:rsidRPr="006524DF">
        <w:rPr>
          <w:lang w:val="en-CA"/>
        </w:rPr>
        <w:t xml:space="preserve">. The Ministry of Environment considered project </w:t>
      </w:r>
      <w:r w:rsidR="00C64E51" w:rsidRPr="006524DF">
        <w:rPr>
          <w:lang w:val="en-CA"/>
        </w:rPr>
        <w:t>funds</w:t>
      </w:r>
      <w:r w:rsidR="007E13D1" w:rsidRPr="006524DF">
        <w:rPr>
          <w:lang w:val="en-CA"/>
        </w:rPr>
        <w:t xml:space="preserve"> an integral part of their resources and expected to be responsible for the procurement processes according to government regulations, but argue</w:t>
      </w:r>
      <w:r w:rsidR="007A6FC5" w:rsidRPr="006524DF">
        <w:rPr>
          <w:lang w:val="en-CA"/>
        </w:rPr>
        <w:t>d</w:t>
      </w:r>
      <w:r w:rsidR="007E13D1" w:rsidRPr="006524DF">
        <w:rPr>
          <w:lang w:val="en-CA"/>
        </w:rPr>
        <w:t xml:space="preserve"> that </w:t>
      </w:r>
      <w:r w:rsidR="00BE1D11" w:rsidRPr="006524DF">
        <w:rPr>
          <w:lang w:val="en-CA"/>
        </w:rPr>
        <w:t xml:space="preserve">the IA </w:t>
      </w:r>
      <w:r w:rsidR="007E13D1" w:rsidRPr="006524DF">
        <w:rPr>
          <w:lang w:val="en-CA"/>
        </w:rPr>
        <w:t>organized procurement of goods without government approval in contravention of the</w:t>
      </w:r>
      <w:r w:rsidR="007A6FC5" w:rsidRPr="006524DF">
        <w:rPr>
          <w:lang w:val="en-CA"/>
        </w:rPr>
        <w:t>ir signed</w:t>
      </w:r>
      <w:r w:rsidR="007E13D1" w:rsidRPr="006524DF">
        <w:rPr>
          <w:lang w:val="en-CA"/>
        </w:rPr>
        <w:t xml:space="preserve"> Agreement. </w:t>
      </w:r>
      <w:r w:rsidRPr="006524DF">
        <w:rPr>
          <w:lang w:val="en-CA"/>
        </w:rPr>
        <w:t xml:space="preserve">The IA </w:t>
      </w:r>
      <w:r w:rsidR="007E13D1" w:rsidRPr="006524DF">
        <w:rPr>
          <w:lang w:val="en-CA"/>
        </w:rPr>
        <w:t>on the other hand, had to follow its internal procurement rules. Th</w:t>
      </w:r>
      <w:r w:rsidRPr="006524DF">
        <w:rPr>
          <w:lang w:val="en-CA"/>
        </w:rPr>
        <w:t xml:space="preserve">is issue </w:t>
      </w:r>
      <w:r w:rsidR="007E13D1" w:rsidRPr="006524DF">
        <w:rPr>
          <w:lang w:val="en-CA"/>
        </w:rPr>
        <w:t>caused substantial delays in signing the project</w:t>
      </w:r>
      <w:r w:rsidR="007A6FC5" w:rsidRPr="006524DF">
        <w:rPr>
          <w:lang w:val="en-CA"/>
        </w:rPr>
        <w:t xml:space="preserve"> document</w:t>
      </w:r>
      <w:r w:rsidR="007E13D1" w:rsidRPr="006524DF">
        <w:rPr>
          <w:lang w:val="en-CA"/>
        </w:rPr>
        <w:t xml:space="preserve">. </w:t>
      </w:r>
      <w:r w:rsidRPr="006524DF">
        <w:rPr>
          <w:lang w:val="en-CA"/>
        </w:rPr>
        <w:t xml:space="preserve">To mitigate the delay, the IA </w:t>
      </w:r>
      <w:r w:rsidR="007E13D1" w:rsidRPr="006524DF">
        <w:rPr>
          <w:lang w:val="en-CA"/>
        </w:rPr>
        <w:t>initiat</w:t>
      </w:r>
      <w:r w:rsidRPr="006524DF">
        <w:rPr>
          <w:lang w:val="en-CA"/>
        </w:rPr>
        <w:t xml:space="preserve">ed </w:t>
      </w:r>
      <w:r w:rsidR="007E13D1" w:rsidRPr="006524DF">
        <w:rPr>
          <w:lang w:val="en-CA"/>
        </w:rPr>
        <w:t>the bidding processes and documentation for the procurement of project equipment.</w:t>
      </w:r>
    </w:p>
    <w:p w14:paraId="1D0CAF53" w14:textId="2A5A4A3B" w:rsidR="00C64E51" w:rsidRPr="006524DF" w:rsidRDefault="00C64E51" w:rsidP="000D338E">
      <w:pPr>
        <w:pStyle w:val="Heading1"/>
        <w:widowControl w:val="0"/>
        <w:numPr>
          <w:ilvl w:val="0"/>
          <w:numId w:val="10"/>
        </w:numPr>
        <w:spacing w:before="240"/>
      </w:pPr>
      <w:r w:rsidRPr="006524DF">
        <w:t xml:space="preserve">Other delays were due to staff turnover leading to the loss of institutional knowledge, and transportation delays in </w:t>
      </w:r>
      <w:r w:rsidR="007A6FC5" w:rsidRPr="006524DF">
        <w:t xml:space="preserve">equipment delivery in the </w:t>
      </w:r>
      <w:r w:rsidRPr="006524DF">
        <w:t>country.</w:t>
      </w:r>
      <w:r w:rsidR="006B1926" w:rsidRPr="006524DF">
        <w:t xml:space="preserve"> </w:t>
      </w:r>
    </w:p>
    <w:p w14:paraId="0AAEC46B" w14:textId="5FD4454A" w:rsidR="00073086" w:rsidRPr="006524DF" w:rsidRDefault="00073086" w:rsidP="00C64E51">
      <w:pPr>
        <w:pStyle w:val="Heading1"/>
        <w:widowControl w:val="0"/>
        <w:numPr>
          <w:ilvl w:val="0"/>
          <w:numId w:val="0"/>
        </w:numPr>
        <w:spacing w:before="240"/>
        <w:rPr>
          <w:u w:val="single"/>
        </w:rPr>
      </w:pPr>
      <w:r w:rsidRPr="006524DF">
        <w:rPr>
          <w:u w:val="single"/>
        </w:rPr>
        <w:t>Halon</w:t>
      </w:r>
      <w:r w:rsidR="00110DA2" w:rsidRPr="006524DF">
        <w:rPr>
          <w:u w:val="single"/>
        </w:rPr>
        <w:t xml:space="preserve"> sector plan</w:t>
      </w:r>
    </w:p>
    <w:p w14:paraId="6DB1F85D" w14:textId="2930C15D" w:rsidR="002C3FF8" w:rsidRPr="006524DF" w:rsidRDefault="002C3FF8" w:rsidP="000D338E">
      <w:pPr>
        <w:pStyle w:val="Heading1"/>
        <w:widowControl w:val="0"/>
        <w:numPr>
          <w:ilvl w:val="0"/>
          <w:numId w:val="10"/>
        </w:numPr>
        <w:spacing w:before="240"/>
      </w:pPr>
      <w:r w:rsidRPr="006524DF">
        <w:t xml:space="preserve">The relocation and refurbishing of a research institute delayed </w:t>
      </w:r>
      <w:r w:rsidR="00110DA2" w:rsidRPr="006524DF">
        <w:t xml:space="preserve">the completion of </w:t>
      </w:r>
      <w:r w:rsidRPr="006524DF">
        <w:t xml:space="preserve">two technical activities and </w:t>
      </w:r>
      <w:r w:rsidR="00A831F4" w:rsidRPr="006524DF">
        <w:t>t</w:t>
      </w:r>
      <w:r w:rsidRPr="006524DF">
        <w:t xml:space="preserve">wo special </w:t>
      </w:r>
      <w:r w:rsidR="00A831F4" w:rsidRPr="006524DF">
        <w:t>initiatives</w:t>
      </w:r>
      <w:r w:rsidR="00110DA2" w:rsidRPr="006524DF">
        <w:t xml:space="preserve">, and </w:t>
      </w:r>
      <w:r w:rsidRPr="006524DF">
        <w:t>a technical problem in the equipment delivered</w:t>
      </w:r>
      <w:r w:rsidR="00A831F4" w:rsidRPr="006524DF">
        <w:t xml:space="preserve"> by the supplier</w:t>
      </w:r>
      <w:r w:rsidR="00110DA2" w:rsidRPr="006524DF">
        <w:t xml:space="preserve"> </w:t>
      </w:r>
      <w:r w:rsidR="00110DA2" w:rsidRPr="006524DF">
        <w:lastRenderedPageBreak/>
        <w:t>delayed the completion of the sector plan</w:t>
      </w:r>
      <w:r w:rsidR="001755AE" w:rsidRPr="006524DF">
        <w:t>.</w:t>
      </w:r>
    </w:p>
    <w:p w14:paraId="5F91EA2A" w14:textId="5CBAEA97" w:rsidR="001755AE" w:rsidRPr="006524DF" w:rsidRDefault="00A831F4" w:rsidP="000D338E">
      <w:pPr>
        <w:pStyle w:val="Heading1"/>
        <w:widowControl w:val="0"/>
        <w:numPr>
          <w:ilvl w:val="0"/>
          <w:numId w:val="10"/>
        </w:numPr>
        <w:spacing w:before="240"/>
      </w:pPr>
      <w:r w:rsidRPr="006524DF">
        <w:t xml:space="preserve">Additionally, </w:t>
      </w:r>
      <w:r w:rsidR="00110DA2" w:rsidRPr="006524DF">
        <w:t xml:space="preserve">after 2010 one local producer remained with a large halon stock, as those </w:t>
      </w:r>
      <w:r w:rsidR="001755AE" w:rsidRPr="006524DF">
        <w:t xml:space="preserve">stocks </w:t>
      </w:r>
      <w:r w:rsidR="00110DA2" w:rsidRPr="006524DF">
        <w:t>t</w:t>
      </w:r>
      <w:r w:rsidR="002B6E52" w:rsidRPr="006524DF">
        <w:t xml:space="preserve">hat were </w:t>
      </w:r>
      <w:r w:rsidR="001755AE" w:rsidRPr="006524DF">
        <w:t>produced b</w:t>
      </w:r>
      <w:r w:rsidRPr="006524DF">
        <w:t>efore 2010</w:t>
      </w:r>
      <w:r w:rsidR="002B6E52" w:rsidRPr="006524DF">
        <w:t>,</w:t>
      </w:r>
      <w:r w:rsidRPr="006524DF">
        <w:t xml:space="preserve"> were classified as “n</w:t>
      </w:r>
      <w:r w:rsidR="001755AE" w:rsidRPr="006524DF">
        <w:t>ewly produced ODS” and could not be exported to other Article 5 countries after that year.</w:t>
      </w:r>
      <w:r w:rsidR="0080711E" w:rsidRPr="006524DF">
        <w:t xml:space="preserve"> The project was completed in 2011 and the PCR, submitted in 2021, does not provide the information on the fate of this stock.</w:t>
      </w:r>
    </w:p>
    <w:p w14:paraId="7BD13A20" w14:textId="77777777" w:rsidR="00073086" w:rsidRPr="006524DF" w:rsidRDefault="00073086" w:rsidP="00C64E51">
      <w:pPr>
        <w:pStyle w:val="Heading1"/>
        <w:widowControl w:val="0"/>
        <w:numPr>
          <w:ilvl w:val="0"/>
          <w:numId w:val="0"/>
        </w:numPr>
        <w:spacing w:before="240"/>
        <w:rPr>
          <w:u w:val="single"/>
        </w:rPr>
      </w:pPr>
      <w:r w:rsidRPr="006524DF">
        <w:rPr>
          <w:u w:val="single"/>
        </w:rPr>
        <w:t>Process agent</w:t>
      </w:r>
    </w:p>
    <w:p w14:paraId="24AFDAE8" w14:textId="5E20E93C" w:rsidR="00073086" w:rsidRPr="006524DF" w:rsidRDefault="007A6FC5" w:rsidP="000D338E">
      <w:pPr>
        <w:pStyle w:val="Heading1"/>
        <w:widowControl w:val="0"/>
        <w:numPr>
          <w:ilvl w:val="0"/>
          <w:numId w:val="10"/>
        </w:numPr>
        <w:spacing w:before="240"/>
      </w:pPr>
      <w:r w:rsidRPr="006524DF">
        <w:t>D</w:t>
      </w:r>
      <w:r w:rsidR="00073086" w:rsidRPr="006524DF">
        <w:t>elays</w:t>
      </w:r>
      <w:r w:rsidR="00A831F4" w:rsidRPr="006524DF">
        <w:t xml:space="preserve"> in the process agent </w:t>
      </w:r>
      <w:r w:rsidR="00751225" w:rsidRPr="006524DF">
        <w:t xml:space="preserve">sector plan </w:t>
      </w:r>
      <w:r w:rsidR="00A831F4" w:rsidRPr="006524DF">
        <w:t>were</w:t>
      </w:r>
      <w:r w:rsidR="00073086" w:rsidRPr="006524DF">
        <w:t xml:space="preserve"> due to</w:t>
      </w:r>
      <w:r w:rsidR="00073086" w:rsidRPr="006524DF">
        <w:rPr>
          <w:shd w:val="clear" w:color="auto" w:fill="FFFFFF"/>
          <w:lang w:val="en-CA"/>
        </w:rPr>
        <w:t xml:space="preserve"> th</w:t>
      </w:r>
      <w:r w:rsidR="00073086" w:rsidRPr="006524DF">
        <w:rPr>
          <w:lang w:val="en-CA"/>
        </w:rPr>
        <w:t xml:space="preserve">e </w:t>
      </w:r>
      <w:r w:rsidR="00A831F4" w:rsidRPr="006524DF">
        <w:rPr>
          <w:lang w:val="en-CA"/>
        </w:rPr>
        <w:t>enterprises</w:t>
      </w:r>
      <w:r w:rsidR="005A26C2" w:rsidRPr="006524DF">
        <w:rPr>
          <w:lang w:val="en-CA"/>
        </w:rPr>
        <w:t>’</w:t>
      </w:r>
      <w:r w:rsidR="00A831F4" w:rsidRPr="006524DF">
        <w:rPr>
          <w:lang w:val="en-CA"/>
        </w:rPr>
        <w:t xml:space="preserve"> late </w:t>
      </w:r>
      <w:r w:rsidR="008B432D" w:rsidRPr="006524DF">
        <w:rPr>
          <w:lang w:val="en-CA"/>
        </w:rPr>
        <w:t>submission</w:t>
      </w:r>
      <w:r w:rsidR="00A831F4" w:rsidRPr="006524DF">
        <w:rPr>
          <w:lang w:val="en-CA"/>
        </w:rPr>
        <w:t xml:space="preserve"> of subproject completion </w:t>
      </w:r>
      <w:r w:rsidR="00A831F4" w:rsidRPr="006524DF">
        <w:t>report.</w:t>
      </w:r>
      <w:r w:rsidR="0080711E" w:rsidRPr="006524DF">
        <w:t xml:space="preserve"> </w:t>
      </w:r>
      <w:r w:rsidR="00BE1D11" w:rsidRPr="006524DF">
        <w:t>Once the</w:t>
      </w:r>
      <w:r w:rsidR="0080711E" w:rsidRPr="006524DF">
        <w:t xml:space="preserve"> reports were</w:t>
      </w:r>
      <w:r w:rsidR="00BE1D11" w:rsidRPr="006524DF">
        <w:t xml:space="preserve"> </w:t>
      </w:r>
      <w:r w:rsidR="0080711E" w:rsidRPr="006524DF">
        <w:t>submitted and the last payments were made</w:t>
      </w:r>
      <w:r w:rsidR="00BE1D11" w:rsidRPr="006524DF">
        <w:t>, the project was completed successfully</w:t>
      </w:r>
      <w:r w:rsidR="0080711E" w:rsidRPr="006524DF">
        <w:t>.</w:t>
      </w:r>
    </w:p>
    <w:p w14:paraId="096DC4BC" w14:textId="375DFD02" w:rsidR="00222C40" w:rsidRPr="006524DF" w:rsidRDefault="00222C40" w:rsidP="00605D6D">
      <w:pPr>
        <w:pStyle w:val="Heading1"/>
        <w:keepNext/>
        <w:widowControl w:val="0"/>
        <w:numPr>
          <w:ilvl w:val="0"/>
          <w:numId w:val="0"/>
        </w:numPr>
        <w:tabs>
          <w:tab w:val="left" w:pos="720"/>
        </w:tabs>
        <w:rPr>
          <w:b/>
        </w:rPr>
      </w:pPr>
      <w:r w:rsidRPr="006524DF">
        <w:rPr>
          <w:b/>
        </w:rPr>
        <w:t>L</w:t>
      </w:r>
      <w:r w:rsidRPr="006524DF">
        <w:rPr>
          <w:b/>
          <w:lang w:eastAsia="ja-JP"/>
        </w:rPr>
        <w:t>essons learned</w:t>
      </w:r>
      <w:r w:rsidRPr="006524DF">
        <w:rPr>
          <w:vertAlign w:val="superscript"/>
        </w:rPr>
        <w:footnoteReference w:id="3"/>
      </w:r>
      <w:r w:rsidRPr="006524DF">
        <w:t xml:space="preserve"> </w:t>
      </w:r>
    </w:p>
    <w:p w14:paraId="3805F8D5" w14:textId="7755F0BB" w:rsidR="005A26C2" w:rsidRPr="006524DF" w:rsidRDefault="00BE1D11" w:rsidP="00E2327A">
      <w:pPr>
        <w:pStyle w:val="Heading1"/>
        <w:widowControl w:val="0"/>
        <w:numPr>
          <w:ilvl w:val="0"/>
          <w:numId w:val="10"/>
        </w:numPr>
        <w:spacing w:before="240"/>
        <w:rPr>
          <w:lang w:val="en-CA"/>
        </w:rPr>
      </w:pPr>
      <w:bookmarkStart w:id="0" w:name="_Toc370910623"/>
      <w:bookmarkStart w:id="1" w:name="_Toc147920737"/>
      <w:bookmarkStart w:id="2" w:name="_Toc147387247"/>
      <w:bookmarkStart w:id="3" w:name="_Toc147305504"/>
      <w:bookmarkStart w:id="4" w:name="_Toc147305215"/>
      <w:bookmarkStart w:id="5" w:name="_Toc147292222"/>
      <w:bookmarkStart w:id="6" w:name="_Toc147283939"/>
      <w:bookmarkStart w:id="7" w:name="_Toc147217699"/>
      <w:bookmarkStart w:id="8" w:name="_Toc117922249"/>
      <w:bookmarkStart w:id="9" w:name="_Toc56412815"/>
      <w:r w:rsidRPr="006524DF">
        <w:rPr>
          <w:lang w:val="en-CA"/>
        </w:rPr>
        <w:t>Project completion reports</w:t>
      </w:r>
      <w:r w:rsidR="00751225" w:rsidRPr="006524DF">
        <w:rPr>
          <w:lang w:val="en-CA"/>
        </w:rPr>
        <w:t xml:space="preserve"> for MYAs identified areas of improvement </w:t>
      </w:r>
      <w:r w:rsidR="005A26C2" w:rsidRPr="006524DF">
        <w:rPr>
          <w:lang w:val="en-CA"/>
        </w:rPr>
        <w:t xml:space="preserve">in </w:t>
      </w:r>
      <w:r w:rsidR="00751225" w:rsidRPr="006524DF">
        <w:rPr>
          <w:i/>
          <w:lang w:val="en-CA"/>
        </w:rPr>
        <w:t xml:space="preserve">inter alia </w:t>
      </w:r>
      <w:r w:rsidR="005A26C2" w:rsidRPr="006524DF">
        <w:rPr>
          <w:lang w:val="en-CA"/>
        </w:rPr>
        <w:t xml:space="preserve">communication, mechanisms for certification, data collection and capacity-building, </w:t>
      </w:r>
      <w:r w:rsidR="00751225" w:rsidRPr="006524DF">
        <w:rPr>
          <w:lang w:val="en-CA"/>
        </w:rPr>
        <w:t xml:space="preserve">cost </w:t>
      </w:r>
      <w:r w:rsidR="005A26C2" w:rsidRPr="006524DF">
        <w:rPr>
          <w:lang w:val="en-CA"/>
        </w:rPr>
        <w:t xml:space="preserve">consideration </w:t>
      </w:r>
      <w:r w:rsidR="00751225" w:rsidRPr="006524DF">
        <w:rPr>
          <w:lang w:val="en-CA"/>
        </w:rPr>
        <w:t xml:space="preserve">in </w:t>
      </w:r>
      <w:r w:rsidR="005A26C2" w:rsidRPr="006524DF">
        <w:rPr>
          <w:lang w:val="en-CA"/>
        </w:rPr>
        <w:t>adopting new technologies, increased resources for research and development</w:t>
      </w:r>
      <w:r w:rsidR="007F3233" w:rsidRPr="006524DF">
        <w:rPr>
          <w:lang w:val="en-CA"/>
        </w:rPr>
        <w:t xml:space="preserve"> (R&amp;D)-</w:t>
      </w:r>
      <w:r w:rsidR="005A26C2" w:rsidRPr="006524DF">
        <w:rPr>
          <w:lang w:val="en-CA"/>
        </w:rPr>
        <w:t>related phase-out and techn</w:t>
      </w:r>
      <w:r w:rsidR="00E2327A" w:rsidRPr="006524DF">
        <w:rPr>
          <w:lang w:val="en-CA"/>
        </w:rPr>
        <w:t>ology transition, as described below.</w:t>
      </w:r>
    </w:p>
    <w:p w14:paraId="0D97D0EC" w14:textId="77777777" w:rsidR="00C959F1" w:rsidRPr="006524DF" w:rsidRDefault="00C959F1" w:rsidP="00C959F1">
      <w:pPr>
        <w:spacing w:after="240"/>
        <w:rPr>
          <w:u w:val="single"/>
          <w:shd w:val="clear" w:color="auto" w:fill="FFFFFF"/>
          <w:lang w:val="en-CA"/>
        </w:rPr>
      </w:pPr>
      <w:r w:rsidRPr="006524DF">
        <w:rPr>
          <w:u w:val="single"/>
          <w:shd w:val="clear" w:color="auto" w:fill="FFFFFF"/>
          <w:lang w:val="en-CA"/>
        </w:rPr>
        <w:t>HPMPs</w:t>
      </w:r>
    </w:p>
    <w:p w14:paraId="1436ABEE" w14:textId="590F6263" w:rsidR="00A97DF5" w:rsidRPr="006524DF" w:rsidRDefault="00C959F1" w:rsidP="000D338E">
      <w:pPr>
        <w:pStyle w:val="Heading1"/>
        <w:widowControl w:val="0"/>
        <w:numPr>
          <w:ilvl w:val="0"/>
          <w:numId w:val="10"/>
        </w:numPr>
        <w:spacing w:before="240"/>
      </w:pPr>
      <w:r w:rsidRPr="006524DF">
        <w:t xml:space="preserve">Key aspects for the successful implementation of HPMPs </w:t>
      </w:r>
      <w:r w:rsidR="00751225" w:rsidRPr="006524DF">
        <w:t xml:space="preserve">include </w:t>
      </w:r>
      <w:r w:rsidRPr="006524DF">
        <w:t>the importance of having solid and adaptive procurement plans</w:t>
      </w:r>
      <w:r w:rsidR="00751225" w:rsidRPr="006524DF">
        <w:t xml:space="preserve">, </w:t>
      </w:r>
      <w:r w:rsidR="00A97DF5" w:rsidRPr="006524DF">
        <w:t xml:space="preserve">and </w:t>
      </w:r>
      <w:r w:rsidRPr="006524DF">
        <w:t xml:space="preserve">having a team of technical consultants over a long period of time to support implementation, strengthening and cooperating closely with the refrigeration association. </w:t>
      </w:r>
    </w:p>
    <w:p w14:paraId="106E73CC" w14:textId="0D1FCA54" w:rsidR="00A97DF5" w:rsidRPr="006524DF" w:rsidRDefault="00F345E1" w:rsidP="000D338E">
      <w:pPr>
        <w:pStyle w:val="Heading1"/>
        <w:widowControl w:val="0"/>
        <w:numPr>
          <w:ilvl w:val="0"/>
          <w:numId w:val="10"/>
        </w:numPr>
        <w:spacing w:before="240"/>
      </w:pPr>
      <w:r w:rsidRPr="006524DF">
        <w:t xml:space="preserve">Essential requirements to successfully implement </w:t>
      </w:r>
      <w:r w:rsidR="00751225" w:rsidRPr="006524DF">
        <w:t xml:space="preserve">HPMPs include </w:t>
      </w:r>
      <w:r w:rsidRPr="006524DF">
        <w:t xml:space="preserve">having </w:t>
      </w:r>
      <w:r w:rsidR="00B14276" w:rsidRPr="006524DF">
        <w:t>an</w:t>
      </w:r>
      <w:r w:rsidR="00A97DF5" w:rsidRPr="006524DF">
        <w:t xml:space="preserve"> effective </w:t>
      </w:r>
      <w:r w:rsidR="00B14276" w:rsidRPr="006524DF">
        <w:t>certification system</w:t>
      </w:r>
      <w:r w:rsidR="00751225" w:rsidRPr="006524DF">
        <w:t xml:space="preserve"> for technicians</w:t>
      </w:r>
      <w:r w:rsidR="00B14276" w:rsidRPr="006524DF">
        <w:t xml:space="preserve">, </w:t>
      </w:r>
      <w:r w:rsidRPr="006524DF">
        <w:t>a strong mechanism for</w:t>
      </w:r>
      <w:r w:rsidR="00B14276" w:rsidRPr="006524DF">
        <w:t xml:space="preserve"> data </w:t>
      </w:r>
      <w:r w:rsidR="00A97DF5" w:rsidRPr="006524DF">
        <w:t>collection</w:t>
      </w:r>
      <w:r w:rsidR="00751225" w:rsidRPr="006524DF">
        <w:t>,</w:t>
      </w:r>
      <w:r w:rsidR="00A97DF5" w:rsidRPr="006524DF">
        <w:t xml:space="preserve"> </w:t>
      </w:r>
      <w:r w:rsidR="00B14276" w:rsidRPr="006524DF">
        <w:t>adapt</w:t>
      </w:r>
      <w:r w:rsidRPr="006524DF">
        <w:t>ing</w:t>
      </w:r>
      <w:r w:rsidR="00B14276" w:rsidRPr="006524DF">
        <w:t xml:space="preserve"> the</w:t>
      </w:r>
      <w:r w:rsidR="00A97DF5" w:rsidRPr="006524DF">
        <w:t xml:space="preserve"> training needs to </w:t>
      </w:r>
      <w:r w:rsidRPr="006524DF">
        <w:t>th</w:t>
      </w:r>
      <w:r w:rsidR="005F08B4" w:rsidRPr="006524DF">
        <w:t xml:space="preserve">e new challenges arising </w:t>
      </w:r>
      <w:r w:rsidR="00751225" w:rsidRPr="006524DF">
        <w:t>during implementation</w:t>
      </w:r>
      <w:r w:rsidRPr="006524DF">
        <w:t xml:space="preserve">. </w:t>
      </w:r>
      <w:r w:rsidR="00C959F1" w:rsidRPr="006524DF">
        <w:t xml:space="preserve">For </w:t>
      </w:r>
      <w:r w:rsidR="00A97DF5" w:rsidRPr="006524DF">
        <w:t>example</w:t>
      </w:r>
      <w:r w:rsidR="00C959F1" w:rsidRPr="006524DF">
        <w:t xml:space="preserve">, the integration of </w:t>
      </w:r>
      <w:r w:rsidR="00A97DF5" w:rsidRPr="006524DF">
        <w:t>Montreal Protocol</w:t>
      </w:r>
      <w:r w:rsidR="00C959F1" w:rsidRPr="006524DF">
        <w:t xml:space="preserve"> issues in the curricula of custom</w:t>
      </w:r>
      <w:r w:rsidR="008504E3" w:rsidRPr="006524DF">
        <w:t>s</w:t>
      </w:r>
      <w:r w:rsidR="00C959F1" w:rsidRPr="006524DF">
        <w:t xml:space="preserve"> officers and environment inspectors</w:t>
      </w:r>
      <w:r w:rsidR="00C959F1" w:rsidRPr="006524DF">
        <w:rPr>
          <w:lang w:val="en-US"/>
        </w:rPr>
        <w:t xml:space="preserve"> training schools </w:t>
      </w:r>
      <w:r w:rsidRPr="006524DF">
        <w:rPr>
          <w:lang w:val="en-US"/>
        </w:rPr>
        <w:t>would foster</w:t>
      </w:r>
      <w:r w:rsidR="00A97DF5" w:rsidRPr="006524DF">
        <w:rPr>
          <w:lang w:val="en-US"/>
        </w:rPr>
        <w:t xml:space="preserve"> the</w:t>
      </w:r>
      <w:r w:rsidR="00C959F1" w:rsidRPr="006524DF">
        <w:rPr>
          <w:lang w:val="en-US"/>
        </w:rPr>
        <w:t xml:space="preserve"> sustainability of </w:t>
      </w:r>
      <w:r w:rsidRPr="006524DF">
        <w:rPr>
          <w:lang w:val="en-US"/>
        </w:rPr>
        <w:t xml:space="preserve">the </w:t>
      </w:r>
      <w:r w:rsidR="00C959F1" w:rsidRPr="006524DF">
        <w:rPr>
          <w:lang w:val="en-US"/>
        </w:rPr>
        <w:t>HCFC phase</w:t>
      </w:r>
      <w:r w:rsidR="00A97DF5" w:rsidRPr="006524DF">
        <w:rPr>
          <w:lang w:val="en-US"/>
        </w:rPr>
        <w:t>-</w:t>
      </w:r>
      <w:r w:rsidR="00C959F1" w:rsidRPr="006524DF">
        <w:rPr>
          <w:lang w:val="en-US"/>
        </w:rPr>
        <w:t>out.</w:t>
      </w:r>
      <w:r w:rsidR="007F3233" w:rsidRPr="006524DF">
        <w:rPr>
          <w:lang w:val="en-US"/>
        </w:rPr>
        <w:t xml:space="preserve"> These will be important aspect</w:t>
      </w:r>
      <w:r w:rsidR="008504E3" w:rsidRPr="006524DF">
        <w:rPr>
          <w:lang w:val="en-US"/>
        </w:rPr>
        <w:t>s</w:t>
      </w:r>
      <w:r w:rsidR="007F3233" w:rsidRPr="006524DF">
        <w:rPr>
          <w:lang w:val="en-US"/>
        </w:rPr>
        <w:t xml:space="preserve"> to keep in mind when implementing the Kigali Amendment.</w:t>
      </w:r>
    </w:p>
    <w:p w14:paraId="785D24A2" w14:textId="234DB4ED" w:rsidR="00C959F1" w:rsidRPr="006524DF" w:rsidRDefault="00751225" w:rsidP="000D338E">
      <w:pPr>
        <w:pStyle w:val="Heading1"/>
        <w:widowControl w:val="0"/>
        <w:numPr>
          <w:ilvl w:val="0"/>
          <w:numId w:val="10"/>
        </w:numPr>
        <w:spacing w:before="240"/>
      </w:pPr>
      <w:r w:rsidRPr="006524DF">
        <w:rPr>
          <w:lang w:val="en-US"/>
        </w:rPr>
        <w:t>L</w:t>
      </w:r>
      <w:r w:rsidR="00B14276" w:rsidRPr="006524DF">
        <w:rPr>
          <w:lang w:val="en-US"/>
        </w:rPr>
        <w:t xml:space="preserve">essons from the HPMPs </w:t>
      </w:r>
      <w:r w:rsidRPr="006524DF">
        <w:rPr>
          <w:lang w:val="en-US"/>
        </w:rPr>
        <w:t xml:space="preserve">also </w:t>
      </w:r>
      <w:r w:rsidR="00B14276" w:rsidRPr="006524DF">
        <w:rPr>
          <w:lang w:val="en-US"/>
        </w:rPr>
        <w:t>highlight the</w:t>
      </w:r>
      <w:r w:rsidR="00C959F1" w:rsidRPr="006524DF">
        <w:rPr>
          <w:lang w:val="en-US"/>
        </w:rPr>
        <w:t xml:space="preserve"> importan</w:t>
      </w:r>
      <w:r w:rsidR="004E5A3E" w:rsidRPr="006524DF">
        <w:rPr>
          <w:lang w:val="en-US"/>
        </w:rPr>
        <w:t>ce</w:t>
      </w:r>
      <w:r w:rsidR="00C959F1" w:rsidRPr="006524DF">
        <w:rPr>
          <w:lang w:val="en-US"/>
        </w:rPr>
        <w:t xml:space="preserve"> to consider the global supply chain of alternatives and </w:t>
      </w:r>
      <w:r w:rsidR="00A97DF5" w:rsidRPr="006524DF">
        <w:rPr>
          <w:lang w:val="en-US"/>
        </w:rPr>
        <w:t xml:space="preserve">their </w:t>
      </w:r>
      <w:r w:rsidR="00C959F1" w:rsidRPr="006524DF">
        <w:rPr>
          <w:lang w:val="en-US"/>
        </w:rPr>
        <w:t xml:space="preserve">components when designing and initiating project implementation. </w:t>
      </w:r>
      <w:r w:rsidRPr="006524DF">
        <w:rPr>
          <w:lang w:val="en-US"/>
        </w:rPr>
        <w:t>For example, o</w:t>
      </w:r>
      <w:r w:rsidR="00A97DF5" w:rsidRPr="006524DF">
        <w:rPr>
          <w:lang w:val="en-US"/>
        </w:rPr>
        <w:t>ne p</w:t>
      </w:r>
      <w:r w:rsidR="00C959F1" w:rsidRPr="006524DF">
        <w:rPr>
          <w:lang w:val="en-US"/>
        </w:rPr>
        <w:t>roject</w:t>
      </w:r>
      <w:r w:rsidR="00A97DF5" w:rsidRPr="006524DF">
        <w:rPr>
          <w:lang w:val="en-US"/>
        </w:rPr>
        <w:t xml:space="preserve"> on the</w:t>
      </w:r>
      <w:r w:rsidR="00C959F1" w:rsidRPr="006524DF">
        <w:rPr>
          <w:lang w:val="en-US"/>
        </w:rPr>
        <w:t xml:space="preserve"> adoption of HFC-32 </w:t>
      </w:r>
      <w:r w:rsidR="00A97DF5" w:rsidRPr="006524DF">
        <w:rPr>
          <w:lang w:val="en-US"/>
        </w:rPr>
        <w:t>demonstrated the dependence</w:t>
      </w:r>
      <w:r w:rsidR="00C959F1" w:rsidRPr="006524DF">
        <w:rPr>
          <w:lang w:val="en-US"/>
        </w:rPr>
        <w:t xml:space="preserve"> on</w:t>
      </w:r>
      <w:r w:rsidR="00A97DF5" w:rsidRPr="006524DF">
        <w:rPr>
          <w:lang w:val="en-US"/>
        </w:rPr>
        <w:t xml:space="preserve"> the import</w:t>
      </w:r>
      <w:r w:rsidR="00C959F1" w:rsidRPr="006524DF">
        <w:rPr>
          <w:lang w:val="en-US"/>
        </w:rPr>
        <w:t xml:space="preserve"> of RAC components, </w:t>
      </w:r>
      <w:r w:rsidR="00A97DF5" w:rsidRPr="006524DF">
        <w:rPr>
          <w:lang w:val="en-US"/>
        </w:rPr>
        <w:t xml:space="preserve">and the </w:t>
      </w:r>
      <w:r w:rsidR="00B32C8C" w:rsidRPr="006524DF">
        <w:rPr>
          <w:lang w:val="en-US"/>
        </w:rPr>
        <w:t>inadequacy of the</w:t>
      </w:r>
      <w:r w:rsidR="00A97DF5" w:rsidRPr="006524DF">
        <w:rPr>
          <w:lang w:val="en-US"/>
        </w:rPr>
        <w:t xml:space="preserve"> </w:t>
      </w:r>
      <w:r w:rsidR="00B32C8C" w:rsidRPr="006524DF">
        <w:rPr>
          <w:lang w:val="en-US"/>
        </w:rPr>
        <w:t>global markets</w:t>
      </w:r>
      <w:r w:rsidR="00C959F1" w:rsidRPr="006524DF">
        <w:rPr>
          <w:lang w:val="en-US"/>
        </w:rPr>
        <w:t xml:space="preserve"> to supply HFC-32</w:t>
      </w:r>
      <w:r w:rsidR="00BE60DD" w:rsidRPr="006524DF">
        <w:rPr>
          <w:lang w:val="en-US"/>
        </w:rPr>
        <w:t>-based</w:t>
      </w:r>
      <w:r w:rsidR="00C959F1" w:rsidRPr="006524DF">
        <w:rPr>
          <w:lang w:val="en-US"/>
        </w:rPr>
        <w:t xml:space="preserve"> components. </w:t>
      </w:r>
      <w:r w:rsidR="00B32C8C" w:rsidRPr="006524DF">
        <w:rPr>
          <w:lang w:val="en-US"/>
        </w:rPr>
        <w:t>S</w:t>
      </w:r>
      <w:r w:rsidR="00C959F1" w:rsidRPr="006524DF">
        <w:rPr>
          <w:lang w:val="en-US"/>
        </w:rPr>
        <w:t>mall and medium foam enterprises face limited choices in adopting suitable alternative technologies</w:t>
      </w:r>
      <w:r w:rsidR="00655C53" w:rsidRPr="006524DF">
        <w:rPr>
          <w:lang w:val="en-US"/>
        </w:rPr>
        <w:t xml:space="preserve">; this was particularly relevant when addressing </w:t>
      </w:r>
      <w:r w:rsidR="00C959F1" w:rsidRPr="006524DF">
        <w:rPr>
          <w:lang w:val="en-US"/>
        </w:rPr>
        <w:t>flammability</w:t>
      </w:r>
      <w:r w:rsidR="00E2327A" w:rsidRPr="006524DF">
        <w:rPr>
          <w:lang w:val="en-US"/>
        </w:rPr>
        <w:t xml:space="preserve"> issues</w:t>
      </w:r>
      <w:r w:rsidR="00C959F1" w:rsidRPr="006524DF">
        <w:rPr>
          <w:lang w:val="en-US"/>
        </w:rPr>
        <w:t xml:space="preserve"> </w:t>
      </w:r>
      <w:r w:rsidR="00655C53" w:rsidRPr="006524DF">
        <w:rPr>
          <w:lang w:val="en-US"/>
        </w:rPr>
        <w:t xml:space="preserve">of the alternative technology or when </w:t>
      </w:r>
      <w:r w:rsidR="00C959F1" w:rsidRPr="006524DF">
        <w:rPr>
          <w:lang w:val="en-US"/>
        </w:rPr>
        <w:t xml:space="preserve">high capital cost </w:t>
      </w:r>
      <w:r w:rsidR="00655C53" w:rsidRPr="006524DF">
        <w:rPr>
          <w:lang w:val="en-US"/>
        </w:rPr>
        <w:t xml:space="preserve">is required </w:t>
      </w:r>
      <w:r w:rsidR="00C959F1" w:rsidRPr="006524DF">
        <w:rPr>
          <w:lang w:val="en-US"/>
        </w:rPr>
        <w:t xml:space="preserve">to </w:t>
      </w:r>
      <w:r w:rsidR="00E2327A" w:rsidRPr="006524DF">
        <w:rPr>
          <w:lang w:val="en-US"/>
        </w:rPr>
        <w:t xml:space="preserve">adapt safety and security measures for the </w:t>
      </w:r>
      <w:r w:rsidR="00C959F1" w:rsidRPr="006524DF">
        <w:rPr>
          <w:lang w:val="en-US"/>
        </w:rPr>
        <w:t>adopt</w:t>
      </w:r>
      <w:r w:rsidR="00E2327A" w:rsidRPr="006524DF">
        <w:rPr>
          <w:lang w:val="en-US"/>
        </w:rPr>
        <w:t>ion of</w:t>
      </w:r>
      <w:r w:rsidR="00C959F1" w:rsidRPr="006524DF">
        <w:rPr>
          <w:lang w:val="en-US"/>
        </w:rPr>
        <w:t xml:space="preserve"> cyclopentane technology, and</w:t>
      </w:r>
      <w:r w:rsidR="00655C53" w:rsidRPr="006524DF">
        <w:rPr>
          <w:lang w:val="en-US"/>
        </w:rPr>
        <w:t>/or</w:t>
      </w:r>
      <w:r w:rsidR="00C959F1" w:rsidRPr="006524DF">
        <w:rPr>
          <w:lang w:val="en-US"/>
        </w:rPr>
        <w:t xml:space="preserve"> </w:t>
      </w:r>
      <w:r w:rsidR="00655C53" w:rsidRPr="006524DF">
        <w:rPr>
          <w:lang w:val="en-US"/>
        </w:rPr>
        <w:t xml:space="preserve">the </w:t>
      </w:r>
      <w:r w:rsidR="00C959F1" w:rsidRPr="006524DF">
        <w:rPr>
          <w:lang w:val="en-US"/>
        </w:rPr>
        <w:t>limited availability and high price of HFO pre-blended polyols.</w:t>
      </w:r>
    </w:p>
    <w:p w14:paraId="28535EA7" w14:textId="28E874F2" w:rsidR="00C959F1" w:rsidRPr="006524DF" w:rsidRDefault="00B32C8C" w:rsidP="000D338E">
      <w:pPr>
        <w:pStyle w:val="Heading1"/>
        <w:widowControl w:val="0"/>
        <w:numPr>
          <w:ilvl w:val="0"/>
          <w:numId w:val="10"/>
        </w:numPr>
        <w:spacing w:before="240"/>
        <w:rPr>
          <w:lang w:val="en-US"/>
        </w:rPr>
      </w:pPr>
      <w:r w:rsidRPr="006524DF">
        <w:rPr>
          <w:lang w:val="en-US"/>
        </w:rPr>
        <w:t>Another lesson for successful project implementation stems from the need to establish a c</w:t>
      </w:r>
      <w:r w:rsidR="00C959F1" w:rsidRPr="006524DF">
        <w:rPr>
          <w:lang w:val="en-US"/>
        </w:rPr>
        <w:t xml:space="preserve">ontinuous and open dialogue with stakeholders to support transparency of implementation and communicate effectively on the </w:t>
      </w:r>
      <w:r w:rsidRPr="006524DF">
        <w:rPr>
          <w:lang w:val="en-US"/>
        </w:rPr>
        <w:t>global supply chain challenges. Information exchange between enterprises (national and international) is important for creating awareness and improve process efficiency. Once established</w:t>
      </w:r>
      <w:r w:rsidR="00C959F1" w:rsidRPr="006524DF">
        <w:rPr>
          <w:lang w:val="en-US"/>
        </w:rPr>
        <w:t xml:space="preserve">, a number of </w:t>
      </w:r>
      <w:r w:rsidRPr="006524DF">
        <w:rPr>
          <w:lang w:val="en-US"/>
        </w:rPr>
        <w:t>enterprises</w:t>
      </w:r>
      <w:r w:rsidR="00C959F1" w:rsidRPr="006524DF">
        <w:rPr>
          <w:lang w:val="en-US"/>
        </w:rPr>
        <w:t xml:space="preserve"> gained confidence to continue participating in the project. Similarly, </w:t>
      </w:r>
      <w:r w:rsidR="00655C53" w:rsidRPr="006524DF">
        <w:rPr>
          <w:lang w:val="en-US"/>
        </w:rPr>
        <w:t xml:space="preserve">in some cases, </w:t>
      </w:r>
      <w:r w:rsidRPr="006524DF">
        <w:rPr>
          <w:lang w:val="en-US"/>
        </w:rPr>
        <w:t>the e</w:t>
      </w:r>
      <w:r w:rsidR="00C959F1" w:rsidRPr="006524DF">
        <w:rPr>
          <w:lang w:val="en-US"/>
        </w:rPr>
        <w:t xml:space="preserve">xchange of experiences between </w:t>
      </w:r>
      <w:r w:rsidRPr="006524DF">
        <w:rPr>
          <w:lang w:val="en-US"/>
        </w:rPr>
        <w:t>Article 5 and non-</w:t>
      </w:r>
      <w:r w:rsidR="00CA38BF" w:rsidRPr="006524DF">
        <w:rPr>
          <w:lang w:val="en-US"/>
        </w:rPr>
        <w:t>A</w:t>
      </w:r>
      <w:r w:rsidRPr="006524DF">
        <w:rPr>
          <w:lang w:val="en-US"/>
        </w:rPr>
        <w:t>rticle 5 countries</w:t>
      </w:r>
      <w:r w:rsidR="00C959F1" w:rsidRPr="006524DF">
        <w:rPr>
          <w:lang w:val="en-US"/>
        </w:rPr>
        <w:t xml:space="preserve"> were </w:t>
      </w:r>
      <w:r w:rsidR="00655C53" w:rsidRPr="006524DF">
        <w:rPr>
          <w:lang w:val="en-US"/>
        </w:rPr>
        <w:t xml:space="preserve">important </w:t>
      </w:r>
      <w:r w:rsidR="00C959F1" w:rsidRPr="006524DF">
        <w:rPr>
          <w:lang w:val="en-US"/>
        </w:rPr>
        <w:t>to</w:t>
      </w:r>
      <w:r w:rsidRPr="006524DF">
        <w:rPr>
          <w:lang w:val="en-US"/>
        </w:rPr>
        <w:t xml:space="preserve"> support the deployment of the technician’s certification s</w:t>
      </w:r>
      <w:r w:rsidR="00C959F1" w:rsidRPr="006524DF">
        <w:rPr>
          <w:lang w:val="en-US"/>
        </w:rPr>
        <w:t xml:space="preserve">cheme. </w:t>
      </w:r>
      <w:r w:rsidRPr="006524DF">
        <w:rPr>
          <w:lang w:val="en-US"/>
        </w:rPr>
        <w:t>The same applied to the</w:t>
      </w:r>
      <w:r w:rsidR="00C959F1" w:rsidRPr="006524DF">
        <w:rPr>
          <w:lang w:val="en-US"/>
        </w:rPr>
        <w:t xml:space="preserve"> exchange of experience</w:t>
      </w:r>
      <w:r w:rsidR="00CA38BF" w:rsidRPr="006524DF">
        <w:rPr>
          <w:lang w:val="en-US"/>
        </w:rPr>
        <w:t>s</w:t>
      </w:r>
      <w:r w:rsidR="00C959F1" w:rsidRPr="006524DF">
        <w:rPr>
          <w:lang w:val="en-US"/>
        </w:rPr>
        <w:t xml:space="preserve"> betw</w:t>
      </w:r>
      <w:r w:rsidRPr="006524DF">
        <w:rPr>
          <w:lang w:val="en-US"/>
        </w:rPr>
        <w:t>een private sector stakeholders, to provide</w:t>
      </w:r>
      <w:r w:rsidR="00C959F1" w:rsidRPr="006524DF">
        <w:rPr>
          <w:lang w:val="en-US"/>
        </w:rPr>
        <w:t xml:space="preserve"> </w:t>
      </w:r>
      <w:r w:rsidRPr="006524DF">
        <w:rPr>
          <w:lang w:val="en-US"/>
        </w:rPr>
        <w:t xml:space="preserve">the </w:t>
      </w:r>
      <w:r w:rsidR="00C959F1" w:rsidRPr="006524DF">
        <w:rPr>
          <w:lang w:val="en-US"/>
        </w:rPr>
        <w:t xml:space="preserve">confidence required to initiate the </w:t>
      </w:r>
      <w:r w:rsidRPr="006524DF">
        <w:rPr>
          <w:lang w:val="en-US"/>
        </w:rPr>
        <w:t>p</w:t>
      </w:r>
      <w:r w:rsidR="00C959F1" w:rsidRPr="006524DF">
        <w:rPr>
          <w:lang w:val="en-US"/>
        </w:rPr>
        <w:t>rogramme</w:t>
      </w:r>
      <w:r w:rsidR="00CA38BF" w:rsidRPr="006524DF">
        <w:rPr>
          <w:lang w:val="en-US"/>
        </w:rPr>
        <w:t>s</w:t>
      </w:r>
      <w:r w:rsidR="00C959F1" w:rsidRPr="006524DF">
        <w:rPr>
          <w:lang w:val="en-US"/>
        </w:rPr>
        <w:t>.</w:t>
      </w:r>
      <w:r w:rsidR="00C959F1" w:rsidRPr="006524DF">
        <w:t xml:space="preserve"> </w:t>
      </w:r>
      <w:r w:rsidRPr="006524DF">
        <w:t xml:space="preserve">The </w:t>
      </w:r>
      <w:r w:rsidR="008B432D" w:rsidRPr="006524DF">
        <w:rPr>
          <w:lang w:val="en-US"/>
        </w:rPr>
        <w:lastRenderedPageBreak/>
        <w:t>networks</w:t>
      </w:r>
      <w:r w:rsidR="00C959F1" w:rsidRPr="006524DF">
        <w:rPr>
          <w:lang w:val="en-US"/>
        </w:rPr>
        <w:t xml:space="preserve"> created as result of this project need to be maintained and reinforced. </w:t>
      </w:r>
    </w:p>
    <w:p w14:paraId="2162F3A1" w14:textId="139967FA" w:rsidR="00C959F1" w:rsidRPr="006524DF" w:rsidRDefault="00B32C8C" w:rsidP="000D338E">
      <w:pPr>
        <w:pStyle w:val="Heading1"/>
        <w:widowControl w:val="0"/>
        <w:numPr>
          <w:ilvl w:val="0"/>
          <w:numId w:val="10"/>
        </w:numPr>
        <w:spacing w:before="240"/>
        <w:rPr>
          <w:lang w:val="en-US"/>
        </w:rPr>
      </w:pPr>
      <w:r w:rsidRPr="006524DF">
        <w:rPr>
          <w:lang w:val="en-US"/>
        </w:rPr>
        <w:t>Conversely, t</w:t>
      </w:r>
      <w:r w:rsidR="00C959F1" w:rsidRPr="006524DF">
        <w:rPr>
          <w:lang w:val="en-US"/>
        </w:rPr>
        <w:t xml:space="preserve">he lack of adequate communication between </w:t>
      </w:r>
      <w:r w:rsidRPr="006524DF">
        <w:rPr>
          <w:lang w:val="en-US"/>
        </w:rPr>
        <w:t xml:space="preserve">one </w:t>
      </w:r>
      <w:r w:rsidR="00BE60DD" w:rsidRPr="006524DF">
        <w:rPr>
          <w:lang w:val="en-US"/>
        </w:rPr>
        <w:t>IA</w:t>
      </w:r>
      <w:r w:rsidR="007F3233" w:rsidRPr="006524DF">
        <w:rPr>
          <w:lang w:val="en-US"/>
        </w:rPr>
        <w:t xml:space="preserve"> </w:t>
      </w:r>
      <w:r w:rsidR="00C959F1" w:rsidRPr="006524DF">
        <w:rPr>
          <w:lang w:val="en-US"/>
        </w:rPr>
        <w:t xml:space="preserve">and the project stakeholders accounted for </w:t>
      </w:r>
      <w:r w:rsidRPr="006524DF">
        <w:rPr>
          <w:lang w:val="en-US"/>
        </w:rPr>
        <w:t>important</w:t>
      </w:r>
      <w:r w:rsidR="00C959F1" w:rsidRPr="006524DF">
        <w:rPr>
          <w:lang w:val="en-US"/>
        </w:rPr>
        <w:t xml:space="preserve"> misunderstandings</w:t>
      </w:r>
      <w:r w:rsidR="00655C53" w:rsidRPr="006524DF">
        <w:rPr>
          <w:lang w:val="en-US"/>
        </w:rPr>
        <w:t>, which in one case resulted</w:t>
      </w:r>
      <w:r w:rsidR="00C959F1" w:rsidRPr="006524DF">
        <w:rPr>
          <w:lang w:val="en-US"/>
        </w:rPr>
        <w:t xml:space="preserve"> </w:t>
      </w:r>
      <w:r w:rsidR="00655C53" w:rsidRPr="006524DF">
        <w:rPr>
          <w:lang w:val="en-US"/>
        </w:rPr>
        <w:t xml:space="preserve">in </w:t>
      </w:r>
      <w:r w:rsidRPr="006524DF">
        <w:rPr>
          <w:lang w:val="en-US"/>
        </w:rPr>
        <w:t xml:space="preserve">the change of IA in the following phase </w:t>
      </w:r>
      <w:r w:rsidR="00C959F1" w:rsidRPr="006524DF">
        <w:rPr>
          <w:lang w:val="en-US"/>
        </w:rPr>
        <w:t xml:space="preserve">of this project. </w:t>
      </w:r>
      <w:r w:rsidR="00655C53" w:rsidRPr="006524DF">
        <w:rPr>
          <w:lang w:val="en-US"/>
        </w:rPr>
        <w:t>T</w:t>
      </w:r>
      <w:r w:rsidR="00C959F1" w:rsidRPr="006524DF">
        <w:rPr>
          <w:lang w:val="en-US"/>
        </w:rPr>
        <w:t xml:space="preserve">here </w:t>
      </w:r>
      <w:r w:rsidR="00655C53" w:rsidRPr="006524DF">
        <w:rPr>
          <w:lang w:val="en-US"/>
        </w:rPr>
        <w:t xml:space="preserve">also </w:t>
      </w:r>
      <w:r w:rsidR="00C959F1" w:rsidRPr="006524DF">
        <w:rPr>
          <w:lang w:val="en-US"/>
        </w:rPr>
        <w:t xml:space="preserve">seems to be a need </w:t>
      </w:r>
      <w:r w:rsidRPr="006524DF">
        <w:rPr>
          <w:lang w:val="en-US"/>
        </w:rPr>
        <w:t xml:space="preserve">to </w:t>
      </w:r>
      <w:r w:rsidR="00CA38BF" w:rsidRPr="006524DF">
        <w:rPr>
          <w:lang w:val="en-US"/>
        </w:rPr>
        <w:t xml:space="preserve">clarify the level of </w:t>
      </w:r>
      <w:r w:rsidRPr="006524DF">
        <w:rPr>
          <w:lang w:val="en-US"/>
        </w:rPr>
        <w:t>delegation of</w:t>
      </w:r>
      <w:r w:rsidR="00C959F1" w:rsidRPr="006524DF">
        <w:rPr>
          <w:lang w:val="en-US"/>
        </w:rPr>
        <w:t xml:space="preserve"> authority to </w:t>
      </w:r>
      <w:r w:rsidRPr="006524DF">
        <w:rPr>
          <w:lang w:val="en-US"/>
        </w:rPr>
        <w:t xml:space="preserve">the </w:t>
      </w:r>
      <w:r w:rsidR="00BE60DD" w:rsidRPr="006524DF">
        <w:rPr>
          <w:lang w:val="en-US"/>
        </w:rPr>
        <w:t>IA</w:t>
      </w:r>
      <w:r w:rsidRPr="006524DF">
        <w:rPr>
          <w:lang w:val="en-US"/>
        </w:rPr>
        <w:t>’s local re</w:t>
      </w:r>
      <w:r w:rsidR="00C959F1" w:rsidRPr="006524DF">
        <w:rPr>
          <w:lang w:val="en-US"/>
        </w:rPr>
        <w:t>presentative to make the processes of project implementation more efficient.</w:t>
      </w:r>
      <w:r w:rsidR="00CA38BF" w:rsidRPr="006524DF">
        <w:rPr>
          <w:lang w:val="en-US"/>
        </w:rPr>
        <w:t xml:space="preserve"> Procurement</w:t>
      </w:r>
      <w:r w:rsidR="00C71292" w:rsidRPr="006524DF">
        <w:rPr>
          <w:lang w:val="en-US"/>
        </w:rPr>
        <w:noBreakHyphen/>
      </w:r>
      <w:r w:rsidR="00CA38BF" w:rsidRPr="006524DF">
        <w:rPr>
          <w:lang w:val="en-US"/>
        </w:rPr>
        <w:t>related issues need to be well defined upfront in the design of the project so as to avoid potential delays in the phase of implementation.</w:t>
      </w:r>
    </w:p>
    <w:p w14:paraId="00106680" w14:textId="28E1F0D7" w:rsidR="005B6ECB" w:rsidRPr="006524DF" w:rsidRDefault="005B6ECB" w:rsidP="005B6ECB">
      <w:pPr>
        <w:spacing w:after="240"/>
        <w:rPr>
          <w:u w:val="single"/>
          <w:shd w:val="clear" w:color="auto" w:fill="FFFFFF"/>
          <w:lang w:val="en-CA"/>
        </w:rPr>
      </w:pPr>
      <w:r w:rsidRPr="006524DF">
        <w:rPr>
          <w:u w:val="single"/>
          <w:shd w:val="clear" w:color="auto" w:fill="FFFFFF"/>
          <w:lang w:val="en-CA"/>
        </w:rPr>
        <w:t xml:space="preserve">Halon </w:t>
      </w:r>
      <w:r w:rsidR="00FF2B19" w:rsidRPr="006524DF">
        <w:rPr>
          <w:u w:val="single"/>
          <w:shd w:val="clear" w:color="auto" w:fill="FFFFFF"/>
          <w:lang w:val="en-CA"/>
        </w:rPr>
        <w:t xml:space="preserve">and process agents </w:t>
      </w:r>
      <w:r w:rsidR="00655C53" w:rsidRPr="006524DF">
        <w:rPr>
          <w:u w:val="single"/>
          <w:shd w:val="clear" w:color="auto" w:fill="FFFFFF"/>
          <w:lang w:val="en-CA"/>
        </w:rPr>
        <w:t>sector plan</w:t>
      </w:r>
      <w:r w:rsidR="00FF2B19" w:rsidRPr="006524DF">
        <w:rPr>
          <w:u w:val="single"/>
          <w:shd w:val="clear" w:color="auto" w:fill="FFFFFF"/>
          <w:lang w:val="en-CA"/>
        </w:rPr>
        <w:t>s</w:t>
      </w:r>
    </w:p>
    <w:p w14:paraId="1038F91F" w14:textId="4BD8EF92" w:rsidR="004C0ED7" w:rsidRPr="006524DF" w:rsidRDefault="005B6ECB" w:rsidP="000D338E">
      <w:pPr>
        <w:pStyle w:val="Heading1"/>
        <w:widowControl w:val="0"/>
        <w:numPr>
          <w:ilvl w:val="0"/>
          <w:numId w:val="10"/>
        </w:numPr>
        <w:spacing w:before="240"/>
        <w:rPr>
          <w:lang w:val="en-US"/>
        </w:rPr>
      </w:pPr>
      <w:r w:rsidRPr="006524DF">
        <w:rPr>
          <w:lang w:val="en-US"/>
        </w:rPr>
        <w:t xml:space="preserve">An important lesson is the </w:t>
      </w:r>
      <w:r w:rsidR="004C0ED7" w:rsidRPr="006524DF">
        <w:rPr>
          <w:lang w:val="en-US"/>
        </w:rPr>
        <w:t xml:space="preserve">sector plan approach </w:t>
      </w:r>
      <w:r w:rsidRPr="006524DF">
        <w:rPr>
          <w:lang w:val="en-US"/>
        </w:rPr>
        <w:t xml:space="preserve">that </w:t>
      </w:r>
      <w:r w:rsidR="004C0ED7" w:rsidRPr="006524DF">
        <w:rPr>
          <w:lang w:val="en-US"/>
        </w:rPr>
        <w:t xml:space="preserve">allowed </w:t>
      </w:r>
      <w:r w:rsidR="00E8322C" w:rsidRPr="006524DF">
        <w:rPr>
          <w:lang w:val="en-US"/>
        </w:rPr>
        <w:t xml:space="preserve">one </w:t>
      </w:r>
      <w:r w:rsidR="004C0ED7" w:rsidRPr="006524DF">
        <w:rPr>
          <w:lang w:val="en-US"/>
        </w:rPr>
        <w:t xml:space="preserve">country to carry out projects according to the domestic situation. </w:t>
      </w:r>
      <w:r w:rsidR="00655C53" w:rsidRPr="006524DF">
        <w:rPr>
          <w:lang w:val="en-US"/>
        </w:rPr>
        <w:t>M</w:t>
      </w:r>
      <w:r w:rsidR="004C0ED7" w:rsidRPr="006524DF">
        <w:rPr>
          <w:lang w:val="en-US"/>
        </w:rPr>
        <w:t>any technical assistance and special activities were completed</w:t>
      </w:r>
      <w:r w:rsidR="00655C53" w:rsidRPr="006524DF">
        <w:rPr>
          <w:lang w:val="en-US"/>
        </w:rPr>
        <w:t xml:space="preserve">, supported by strict management procedures and operating mechanisms, </w:t>
      </w:r>
      <w:r w:rsidR="004C0ED7" w:rsidRPr="006524DF">
        <w:rPr>
          <w:lang w:val="en-US"/>
        </w:rPr>
        <w:t>en</w:t>
      </w:r>
      <w:r w:rsidRPr="006524DF">
        <w:rPr>
          <w:lang w:val="en-US"/>
        </w:rPr>
        <w:t>sur</w:t>
      </w:r>
      <w:r w:rsidR="00655C53" w:rsidRPr="006524DF">
        <w:rPr>
          <w:lang w:val="en-US"/>
        </w:rPr>
        <w:t>ing</w:t>
      </w:r>
      <w:r w:rsidRPr="006524DF">
        <w:rPr>
          <w:lang w:val="en-US"/>
        </w:rPr>
        <w:t xml:space="preserve"> a smooth phase-out process</w:t>
      </w:r>
      <w:r w:rsidR="004C0ED7" w:rsidRPr="006524DF">
        <w:rPr>
          <w:lang w:val="en-US"/>
        </w:rPr>
        <w:t>.</w:t>
      </w:r>
    </w:p>
    <w:p w14:paraId="74B9CBB7" w14:textId="5F36BCB1" w:rsidR="004C0ED7" w:rsidRPr="006524DF" w:rsidRDefault="005B6ECB" w:rsidP="000D338E">
      <w:pPr>
        <w:pStyle w:val="Heading1"/>
        <w:widowControl w:val="0"/>
        <w:numPr>
          <w:ilvl w:val="0"/>
          <w:numId w:val="10"/>
        </w:numPr>
        <w:spacing w:before="240"/>
        <w:rPr>
          <w:lang w:val="en-US"/>
        </w:rPr>
      </w:pPr>
      <w:r w:rsidRPr="006524DF">
        <w:rPr>
          <w:lang w:val="en-US"/>
        </w:rPr>
        <w:t>The</w:t>
      </w:r>
      <w:r w:rsidR="00BE60DD" w:rsidRPr="006524DF">
        <w:rPr>
          <w:lang w:val="en-US"/>
        </w:rPr>
        <w:t xml:space="preserve"> concept of</w:t>
      </w:r>
      <w:r w:rsidRPr="006524DF">
        <w:rPr>
          <w:lang w:val="en-US"/>
        </w:rPr>
        <w:t xml:space="preserve"> a</w:t>
      </w:r>
      <w:r w:rsidR="004C0ED7" w:rsidRPr="006524DF">
        <w:rPr>
          <w:lang w:val="en-US"/>
        </w:rPr>
        <w:t xml:space="preserve">pproval </w:t>
      </w:r>
      <w:r w:rsidR="00BE60DD" w:rsidRPr="006524DF">
        <w:rPr>
          <w:lang w:val="en-US"/>
        </w:rPr>
        <w:t xml:space="preserve">in principle </w:t>
      </w:r>
      <w:r w:rsidR="004C0ED7" w:rsidRPr="006524DF">
        <w:rPr>
          <w:lang w:val="en-US"/>
        </w:rPr>
        <w:t xml:space="preserve">of an overall sector plan </w:t>
      </w:r>
      <w:r w:rsidR="00BE60DD" w:rsidRPr="006524DF">
        <w:rPr>
          <w:lang w:val="en-US"/>
        </w:rPr>
        <w:t xml:space="preserve">with annual tranches </w:t>
      </w:r>
      <w:r w:rsidR="004C0ED7" w:rsidRPr="006524DF">
        <w:rPr>
          <w:lang w:val="en-US"/>
        </w:rPr>
        <w:t xml:space="preserve">up-front with </w:t>
      </w:r>
      <w:r w:rsidRPr="006524DF">
        <w:rPr>
          <w:lang w:val="en-US"/>
        </w:rPr>
        <w:t xml:space="preserve">the </w:t>
      </w:r>
      <w:r w:rsidR="00BE60DD" w:rsidRPr="006524DF">
        <w:rPr>
          <w:lang w:val="en-US"/>
        </w:rPr>
        <w:t>Multilateral Fund</w:t>
      </w:r>
      <w:r w:rsidR="004C0ED7" w:rsidRPr="006524DF">
        <w:rPr>
          <w:lang w:val="en-US"/>
        </w:rPr>
        <w:t xml:space="preserve"> was important for </w:t>
      </w:r>
      <w:r w:rsidRPr="006524DF">
        <w:rPr>
          <w:lang w:val="en-US"/>
        </w:rPr>
        <w:t>the country</w:t>
      </w:r>
      <w:r w:rsidR="004C0ED7" w:rsidRPr="006524DF">
        <w:rPr>
          <w:lang w:val="en-US"/>
        </w:rPr>
        <w:t xml:space="preserve"> and the industry. </w:t>
      </w:r>
      <w:r w:rsidRPr="006524DF">
        <w:rPr>
          <w:lang w:val="en-US"/>
        </w:rPr>
        <w:t xml:space="preserve">Indeed, knowing the total </w:t>
      </w:r>
      <w:r w:rsidR="004C0ED7" w:rsidRPr="006524DF">
        <w:rPr>
          <w:lang w:val="en-US"/>
        </w:rPr>
        <w:t>funding and annual tranche amounts allow</w:t>
      </w:r>
      <w:r w:rsidRPr="006524DF">
        <w:rPr>
          <w:lang w:val="en-US"/>
        </w:rPr>
        <w:t>ed</w:t>
      </w:r>
      <w:r w:rsidR="004C0ED7" w:rsidRPr="006524DF">
        <w:rPr>
          <w:lang w:val="en-US"/>
        </w:rPr>
        <w:t xml:space="preserve"> the industry to plan the phase-out in the most cost</w:t>
      </w:r>
      <w:r w:rsidR="00BE60DD" w:rsidRPr="006524DF">
        <w:rPr>
          <w:lang w:val="en-US"/>
        </w:rPr>
        <w:t>-</w:t>
      </w:r>
      <w:r w:rsidR="004C0ED7" w:rsidRPr="006524DF">
        <w:rPr>
          <w:lang w:val="en-US"/>
        </w:rPr>
        <w:t>effective way and limit</w:t>
      </w:r>
      <w:r w:rsidR="00655C53" w:rsidRPr="006524DF">
        <w:rPr>
          <w:lang w:val="en-US"/>
        </w:rPr>
        <w:t>ed</w:t>
      </w:r>
      <w:r w:rsidR="004C0ED7" w:rsidRPr="006524DF">
        <w:rPr>
          <w:lang w:val="en-US"/>
        </w:rPr>
        <w:t xml:space="preserve"> the impact</w:t>
      </w:r>
      <w:r w:rsidRPr="006524DF">
        <w:rPr>
          <w:lang w:val="en-US"/>
        </w:rPr>
        <w:t>s</w:t>
      </w:r>
      <w:r w:rsidR="004C0ED7" w:rsidRPr="006524DF">
        <w:rPr>
          <w:lang w:val="en-US"/>
        </w:rPr>
        <w:t xml:space="preserve"> both </w:t>
      </w:r>
      <w:r w:rsidRPr="006524DF">
        <w:rPr>
          <w:lang w:val="en-US"/>
        </w:rPr>
        <w:t>at</w:t>
      </w:r>
      <w:r w:rsidR="004C0ED7" w:rsidRPr="006524DF">
        <w:rPr>
          <w:lang w:val="en-US"/>
        </w:rPr>
        <w:t xml:space="preserve"> the national and enterprise levels. Due to the duration of the sector plan, it was important that </w:t>
      </w:r>
      <w:r w:rsidRPr="006524DF">
        <w:rPr>
          <w:lang w:val="en-US"/>
        </w:rPr>
        <w:t>the country</w:t>
      </w:r>
      <w:r w:rsidR="004C0ED7" w:rsidRPr="006524DF">
        <w:rPr>
          <w:lang w:val="en-US"/>
        </w:rPr>
        <w:t xml:space="preserve"> had the flexibility to use the funding on </w:t>
      </w:r>
      <w:r w:rsidR="00B56FE0" w:rsidRPr="006524DF">
        <w:rPr>
          <w:lang w:val="en-US"/>
        </w:rPr>
        <w:t xml:space="preserve">the </w:t>
      </w:r>
      <w:r w:rsidR="004C0ED7" w:rsidRPr="006524DF">
        <w:rPr>
          <w:lang w:val="en-US"/>
        </w:rPr>
        <w:t xml:space="preserve">ODS </w:t>
      </w:r>
      <w:r w:rsidR="00BE60DD" w:rsidRPr="006524DF">
        <w:rPr>
          <w:lang w:val="en-US"/>
        </w:rPr>
        <w:t xml:space="preserve">phase-out </w:t>
      </w:r>
      <w:r w:rsidR="004C0ED7" w:rsidRPr="006524DF">
        <w:rPr>
          <w:lang w:val="en-US"/>
        </w:rPr>
        <w:t>activities.</w:t>
      </w:r>
      <w:r w:rsidR="00FF2B19" w:rsidRPr="006524DF">
        <w:rPr>
          <w:lang w:val="en-US"/>
        </w:rPr>
        <w:t xml:space="preserve"> Good cooperation and communication between stakeholders has been a key success factor, namely through the IA’s assistance in annual programme preparation, project verification, policy-making, and project management.</w:t>
      </w:r>
    </w:p>
    <w:p w14:paraId="3A3D54C8" w14:textId="07C9B38C" w:rsidR="004C0ED7" w:rsidRPr="006524DF" w:rsidRDefault="005B6ECB" w:rsidP="005C4DAF">
      <w:pPr>
        <w:pStyle w:val="Heading1"/>
        <w:widowControl w:val="0"/>
        <w:numPr>
          <w:ilvl w:val="0"/>
          <w:numId w:val="10"/>
        </w:numPr>
        <w:spacing w:before="240"/>
        <w:rPr>
          <w:lang w:val="en-US"/>
        </w:rPr>
      </w:pPr>
      <w:r w:rsidRPr="006524DF">
        <w:rPr>
          <w:lang w:val="en-US"/>
        </w:rPr>
        <w:t>Project preparation played an important role in t</w:t>
      </w:r>
      <w:r w:rsidR="004C0ED7" w:rsidRPr="006524DF">
        <w:rPr>
          <w:lang w:val="en-US"/>
        </w:rPr>
        <w:t xml:space="preserve">he halon recycling </w:t>
      </w:r>
      <w:r w:rsidRPr="006524DF">
        <w:rPr>
          <w:lang w:val="en-US"/>
        </w:rPr>
        <w:t>project, which had</w:t>
      </w:r>
      <w:r w:rsidR="004C0ED7" w:rsidRPr="006524DF">
        <w:rPr>
          <w:lang w:val="en-US"/>
        </w:rPr>
        <w:t xml:space="preserve"> to rely on recovered and reclaimed halon to cover future demands for critical uses such as civil aviation. In order to have a better unde</w:t>
      </w:r>
      <w:r w:rsidRPr="006524DF">
        <w:rPr>
          <w:lang w:val="en-US"/>
        </w:rPr>
        <w:t>rstanding</w:t>
      </w:r>
      <w:r w:rsidRPr="006524DF">
        <w:rPr>
          <w:rFonts w:ascii="Helvetica" w:hAnsi="Helvetica"/>
          <w:color w:val="000000"/>
          <w:sz w:val="20"/>
          <w:szCs w:val="20"/>
          <w:shd w:val="clear" w:color="auto" w:fill="FFFFFF"/>
        </w:rPr>
        <w:t xml:space="preserve"> </w:t>
      </w:r>
      <w:r w:rsidRPr="006524DF">
        <w:rPr>
          <w:color w:val="000000"/>
          <w:shd w:val="clear" w:color="auto" w:fill="FFFFFF"/>
        </w:rPr>
        <w:t xml:space="preserve">of potential </w:t>
      </w:r>
      <w:r w:rsidRPr="006524DF">
        <w:rPr>
          <w:lang w:val="en-US"/>
        </w:rPr>
        <w:t>availability of</w:t>
      </w:r>
      <w:r w:rsidR="004C0ED7" w:rsidRPr="006524DF">
        <w:rPr>
          <w:lang w:val="en-US"/>
        </w:rPr>
        <w:t xml:space="preserve"> halons, </w:t>
      </w:r>
      <w:r w:rsidRPr="006524DF">
        <w:rPr>
          <w:lang w:val="en-US"/>
        </w:rPr>
        <w:t>the country</w:t>
      </w:r>
      <w:r w:rsidR="004C0ED7" w:rsidRPr="006524DF">
        <w:rPr>
          <w:lang w:val="en-US"/>
        </w:rPr>
        <w:t xml:space="preserve"> conducted a number of studies. The establishment of a national halon recycling and management system was one of the most importan</w:t>
      </w:r>
      <w:r w:rsidRPr="006524DF">
        <w:rPr>
          <w:lang w:val="en-US"/>
        </w:rPr>
        <w:t xml:space="preserve">t activities outlined in </w:t>
      </w:r>
      <w:r w:rsidR="00E8322C" w:rsidRPr="006524DF">
        <w:rPr>
          <w:lang w:val="en-US"/>
        </w:rPr>
        <w:t xml:space="preserve">the </w:t>
      </w:r>
      <w:r w:rsidRPr="006524DF">
        <w:rPr>
          <w:lang w:val="en-US"/>
        </w:rPr>
        <w:t>sector p</w:t>
      </w:r>
      <w:r w:rsidR="004C0ED7" w:rsidRPr="006524DF">
        <w:rPr>
          <w:lang w:val="en-US"/>
        </w:rPr>
        <w:t>hase-o</w:t>
      </w:r>
      <w:r w:rsidRPr="006524DF">
        <w:rPr>
          <w:lang w:val="en-US"/>
        </w:rPr>
        <w:t>ut p</w:t>
      </w:r>
      <w:r w:rsidR="004C0ED7" w:rsidRPr="006524DF">
        <w:rPr>
          <w:lang w:val="en-US"/>
        </w:rPr>
        <w:t xml:space="preserve">lan. </w:t>
      </w:r>
    </w:p>
    <w:p w14:paraId="6A9F74D3" w14:textId="5F4E1F2C" w:rsidR="004842E1" w:rsidRPr="006524DF" w:rsidRDefault="00FF2B19" w:rsidP="00FF2B19">
      <w:pPr>
        <w:pStyle w:val="Heading1"/>
        <w:widowControl w:val="0"/>
        <w:numPr>
          <w:ilvl w:val="0"/>
          <w:numId w:val="10"/>
        </w:numPr>
        <w:spacing w:before="240"/>
        <w:rPr>
          <w:lang w:val="en-US"/>
        </w:rPr>
      </w:pPr>
      <w:r w:rsidRPr="006524DF">
        <w:rPr>
          <w:lang w:val="en-US"/>
        </w:rPr>
        <w:t>In o</w:t>
      </w:r>
      <w:r w:rsidR="00B805BF" w:rsidRPr="006524DF">
        <w:rPr>
          <w:lang w:val="en-US"/>
        </w:rPr>
        <w:t>ne project</w:t>
      </w:r>
      <w:r w:rsidRPr="006524DF">
        <w:rPr>
          <w:lang w:val="en-US"/>
        </w:rPr>
        <w:t>,</w:t>
      </w:r>
      <w:r w:rsidR="00B805BF" w:rsidRPr="006524DF">
        <w:rPr>
          <w:lang w:val="en-US"/>
        </w:rPr>
        <w:t xml:space="preserve"> p</w:t>
      </w:r>
      <w:r w:rsidR="004842E1" w:rsidRPr="006524DF">
        <w:rPr>
          <w:lang w:val="en-US"/>
        </w:rPr>
        <w:t xml:space="preserve">lant closure </w:t>
      </w:r>
      <w:r w:rsidRPr="006524DF">
        <w:rPr>
          <w:lang w:val="en-US"/>
        </w:rPr>
        <w:t xml:space="preserve">was </w:t>
      </w:r>
      <w:r w:rsidR="004842E1" w:rsidRPr="006524DF">
        <w:rPr>
          <w:lang w:val="en-US"/>
        </w:rPr>
        <w:t xml:space="preserve">technically the only </w:t>
      </w:r>
      <w:r w:rsidR="00B805BF" w:rsidRPr="006524DF">
        <w:rPr>
          <w:lang w:val="en-US"/>
        </w:rPr>
        <w:t>phase-out</w:t>
      </w:r>
      <w:r w:rsidR="004842E1" w:rsidRPr="006524DF">
        <w:rPr>
          <w:lang w:val="en-US"/>
        </w:rPr>
        <w:t xml:space="preserve"> approach for ODS process agent due to the non-availability of substitute technology, which result</w:t>
      </w:r>
      <w:r w:rsidRPr="006524DF">
        <w:rPr>
          <w:lang w:val="en-US"/>
        </w:rPr>
        <w:t>ed</w:t>
      </w:r>
      <w:r w:rsidR="004842E1" w:rsidRPr="006524DF">
        <w:rPr>
          <w:lang w:val="en-US"/>
        </w:rPr>
        <w:t xml:space="preserve"> in a loss for the enterprises in the product</w:t>
      </w:r>
      <w:r w:rsidR="00B805BF" w:rsidRPr="006524DF">
        <w:rPr>
          <w:lang w:val="en-US"/>
        </w:rPr>
        <w:t>ion</w:t>
      </w:r>
      <w:r w:rsidR="004842E1" w:rsidRPr="006524DF">
        <w:rPr>
          <w:lang w:val="en-US"/>
        </w:rPr>
        <w:t xml:space="preserve"> market. Technology transfer avenues have not been established between Article </w:t>
      </w:r>
      <w:r w:rsidR="00B805BF" w:rsidRPr="006524DF">
        <w:rPr>
          <w:lang w:val="en-US"/>
        </w:rPr>
        <w:t>5 and non</w:t>
      </w:r>
      <w:r w:rsidR="00C71292" w:rsidRPr="006524DF">
        <w:rPr>
          <w:lang w:val="en-US"/>
        </w:rPr>
        <w:noBreakHyphen/>
      </w:r>
      <w:r w:rsidR="00B805BF" w:rsidRPr="006524DF">
        <w:rPr>
          <w:lang w:val="en-US"/>
        </w:rPr>
        <w:t xml:space="preserve">Article 5 </w:t>
      </w:r>
      <w:r w:rsidR="004842E1" w:rsidRPr="006524DF">
        <w:rPr>
          <w:lang w:val="en-US"/>
        </w:rPr>
        <w:t>countries regarding the alternative technologies for phasing out CTC as process agent</w:t>
      </w:r>
      <w:r w:rsidRPr="006524DF">
        <w:rPr>
          <w:lang w:val="en-US"/>
        </w:rPr>
        <w:t>;</w:t>
      </w:r>
      <w:r w:rsidR="004842E1" w:rsidRPr="006524DF">
        <w:rPr>
          <w:lang w:val="en-US"/>
        </w:rPr>
        <w:t xml:space="preserve"> as a result, the enterprises in </w:t>
      </w:r>
      <w:r w:rsidR="00B805BF" w:rsidRPr="006524DF">
        <w:rPr>
          <w:lang w:val="en-US"/>
        </w:rPr>
        <w:t>the country</w:t>
      </w:r>
      <w:r w:rsidR="004842E1" w:rsidRPr="006524DF">
        <w:rPr>
          <w:lang w:val="en-US"/>
        </w:rPr>
        <w:t xml:space="preserve"> only have limited </w:t>
      </w:r>
      <w:r w:rsidR="00B805BF" w:rsidRPr="006524DF">
        <w:rPr>
          <w:lang w:val="en-US"/>
        </w:rPr>
        <w:t>phase-out</w:t>
      </w:r>
      <w:r w:rsidR="004842E1" w:rsidRPr="006524DF">
        <w:rPr>
          <w:lang w:val="en-US"/>
        </w:rPr>
        <w:t xml:space="preserve"> approaches and need to bear large uncertainties in the implementation of CTC </w:t>
      </w:r>
      <w:r w:rsidR="00B805BF" w:rsidRPr="006524DF">
        <w:rPr>
          <w:lang w:val="en-US"/>
        </w:rPr>
        <w:t>phase</w:t>
      </w:r>
      <w:r w:rsidR="000D5E7F" w:rsidRPr="006524DF">
        <w:rPr>
          <w:lang w:val="en-US"/>
        </w:rPr>
        <w:noBreakHyphen/>
      </w:r>
      <w:r w:rsidR="00B805BF" w:rsidRPr="006524DF">
        <w:rPr>
          <w:lang w:val="en-US"/>
        </w:rPr>
        <w:t>out</w:t>
      </w:r>
      <w:r w:rsidR="004842E1" w:rsidRPr="006524DF">
        <w:rPr>
          <w:lang w:val="en-US"/>
        </w:rPr>
        <w:t xml:space="preserve">. One </w:t>
      </w:r>
      <w:r w:rsidR="00B805BF" w:rsidRPr="006524DF">
        <w:rPr>
          <w:lang w:val="en-US"/>
        </w:rPr>
        <w:t>enterprise was an ex</w:t>
      </w:r>
      <w:r w:rsidR="004842E1" w:rsidRPr="006524DF">
        <w:rPr>
          <w:lang w:val="en-US"/>
        </w:rPr>
        <w:t xml:space="preserve">ception </w:t>
      </w:r>
      <w:r w:rsidR="00B805BF" w:rsidRPr="006524DF">
        <w:rPr>
          <w:lang w:val="en-US"/>
        </w:rPr>
        <w:t>and</w:t>
      </w:r>
      <w:r w:rsidR="004842E1" w:rsidRPr="006524DF">
        <w:rPr>
          <w:lang w:val="en-US"/>
        </w:rPr>
        <w:t xml:space="preserve"> chose emission control technology</w:t>
      </w:r>
      <w:r w:rsidR="00B805BF" w:rsidRPr="006524DF">
        <w:rPr>
          <w:lang w:val="en-US"/>
        </w:rPr>
        <w:t>,</w:t>
      </w:r>
      <w:r w:rsidR="004842E1" w:rsidRPr="006524DF">
        <w:rPr>
          <w:lang w:val="en-US"/>
        </w:rPr>
        <w:t xml:space="preserve"> based on its in-house technology</w:t>
      </w:r>
      <w:r w:rsidR="00B805BF" w:rsidRPr="006524DF">
        <w:rPr>
          <w:lang w:val="en-US"/>
        </w:rPr>
        <w:t>,</w:t>
      </w:r>
      <w:r w:rsidR="004842E1" w:rsidRPr="006524DF">
        <w:rPr>
          <w:lang w:val="en-US"/>
        </w:rPr>
        <w:t xml:space="preserve"> but made great ef</w:t>
      </w:r>
      <w:r w:rsidR="00B805BF" w:rsidRPr="006524DF">
        <w:rPr>
          <w:lang w:val="en-US"/>
        </w:rPr>
        <w:t xml:space="preserve">fort to reach the final target, as it </w:t>
      </w:r>
      <w:r w:rsidR="004842E1" w:rsidRPr="006524DF">
        <w:rPr>
          <w:lang w:val="en-US"/>
        </w:rPr>
        <w:t>did not receive any official help from foreign enterprises or</w:t>
      </w:r>
      <w:r w:rsidR="00B805BF" w:rsidRPr="006524DF">
        <w:rPr>
          <w:lang w:val="en-US"/>
        </w:rPr>
        <w:t xml:space="preserve"> experts on technology exchange. </w:t>
      </w:r>
      <w:r w:rsidR="00E2327A" w:rsidRPr="006524DF">
        <w:rPr>
          <w:lang w:val="en-US"/>
        </w:rPr>
        <w:t xml:space="preserve">Since the substitute technologies are not available for all products and the foreign technologies are patent protected and not transferable, local </w:t>
      </w:r>
      <w:r w:rsidR="007F3233" w:rsidRPr="006524DF">
        <w:rPr>
          <w:lang w:val="en-US"/>
        </w:rPr>
        <w:t>R&amp;D</w:t>
      </w:r>
      <w:r w:rsidR="00B805BF" w:rsidRPr="006524DF">
        <w:rPr>
          <w:lang w:val="en-US"/>
        </w:rPr>
        <w:t xml:space="preserve"> </w:t>
      </w:r>
      <w:r w:rsidRPr="006524DF">
        <w:rPr>
          <w:lang w:val="en-US"/>
        </w:rPr>
        <w:t xml:space="preserve">would have been </w:t>
      </w:r>
      <w:r w:rsidR="004842E1" w:rsidRPr="006524DF">
        <w:rPr>
          <w:lang w:val="en-US"/>
        </w:rPr>
        <w:t xml:space="preserve">necessary for the </w:t>
      </w:r>
      <w:r w:rsidR="00B805BF" w:rsidRPr="006524DF">
        <w:rPr>
          <w:lang w:val="en-US"/>
        </w:rPr>
        <w:t>phase-out</w:t>
      </w:r>
      <w:r w:rsidR="004842E1" w:rsidRPr="006524DF">
        <w:rPr>
          <w:lang w:val="en-US"/>
        </w:rPr>
        <w:t xml:space="preserve"> of ODS process agent</w:t>
      </w:r>
      <w:r w:rsidRPr="006524DF">
        <w:rPr>
          <w:lang w:val="en-US"/>
        </w:rPr>
        <w:t>;</w:t>
      </w:r>
      <w:r w:rsidR="00E2327A" w:rsidRPr="006524DF">
        <w:rPr>
          <w:lang w:val="en-US"/>
        </w:rPr>
        <w:t xml:space="preserve"> </w:t>
      </w:r>
      <w:r w:rsidRPr="006524DF">
        <w:rPr>
          <w:lang w:val="en-US"/>
        </w:rPr>
        <w:t>t</w:t>
      </w:r>
      <w:r w:rsidR="00E2327A" w:rsidRPr="006524DF">
        <w:rPr>
          <w:lang w:val="en-US"/>
        </w:rPr>
        <w:t xml:space="preserve">hus, </w:t>
      </w:r>
      <w:r w:rsidR="00B805BF" w:rsidRPr="006524DF">
        <w:rPr>
          <w:lang w:val="en-US"/>
        </w:rPr>
        <w:t>the country</w:t>
      </w:r>
      <w:r w:rsidR="004842E1" w:rsidRPr="006524DF">
        <w:rPr>
          <w:lang w:val="en-US"/>
        </w:rPr>
        <w:t xml:space="preserve"> would have appreciated </w:t>
      </w:r>
      <w:r w:rsidR="00B805BF" w:rsidRPr="006524DF">
        <w:rPr>
          <w:lang w:val="en-US"/>
        </w:rPr>
        <w:t>to</w:t>
      </w:r>
      <w:r w:rsidR="004842E1" w:rsidRPr="006524DF">
        <w:rPr>
          <w:lang w:val="en-US"/>
        </w:rPr>
        <w:t xml:space="preserve"> be</w:t>
      </w:r>
      <w:r w:rsidR="00E2327A" w:rsidRPr="006524DF">
        <w:rPr>
          <w:lang w:val="en-US"/>
        </w:rPr>
        <w:t xml:space="preserve"> able to</w:t>
      </w:r>
      <w:r w:rsidR="004842E1" w:rsidRPr="006524DF">
        <w:rPr>
          <w:lang w:val="en-US"/>
        </w:rPr>
        <w:t xml:space="preserve"> use some of the funds to support</w:t>
      </w:r>
      <w:r w:rsidR="00E2327A" w:rsidRPr="006524DF">
        <w:rPr>
          <w:lang w:val="en-US"/>
        </w:rPr>
        <w:t xml:space="preserve"> the</w:t>
      </w:r>
      <w:r w:rsidR="004842E1" w:rsidRPr="006524DF">
        <w:rPr>
          <w:lang w:val="en-US"/>
        </w:rPr>
        <w:t xml:space="preserve"> necessary R&amp;D activities</w:t>
      </w:r>
      <w:r w:rsidR="00E2327A" w:rsidRPr="006524DF">
        <w:rPr>
          <w:lang w:val="en-US"/>
        </w:rPr>
        <w:t>.</w:t>
      </w:r>
    </w:p>
    <w:p w14:paraId="0251C33C" w14:textId="74ED852E" w:rsidR="008B7F68" w:rsidRPr="006524DF" w:rsidRDefault="008B7F68" w:rsidP="000D338E">
      <w:pPr>
        <w:pStyle w:val="Heading1"/>
        <w:widowControl w:val="0"/>
        <w:numPr>
          <w:ilvl w:val="0"/>
          <w:numId w:val="10"/>
        </w:numPr>
        <w:spacing w:before="240"/>
        <w:rPr>
          <w:lang w:val="en-US"/>
        </w:rPr>
      </w:pPr>
      <w:r w:rsidRPr="006524DF">
        <w:rPr>
          <w:lang w:val="en-US"/>
        </w:rPr>
        <w:t xml:space="preserve">The aim of the </w:t>
      </w:r>
      <w:r w:rsidR="00B805BF" w:rsidRPr="006524DF">
        <w:rPr>
          <w:lang w:val="en-US"/>
        </w:rPr>
        <w:t xml:space="preserve">process agent </w:t>
      </w:r>
      <w:r w:rsidRPr="006524DF">
        <w:rPr>
          <w:lang w:val="en-US"/>
        </w:rPr>
        <w:t xml:space="preserve">sector plan </w:t>
      </w:r>
      <w:r w:rsidR="000D5E7F" w:rsidRPr="006524DF">
        <w:rPr>
          <w:lang w:val="en-US"/>
        </w:rPr>
        <w:t xml:space="preserve">(phase II) </w:t>
      </w:r>
      <w:r w:rsidRPr="006524DF">
        <w:rPr>
          <w:lang w:val="en-US"/>
        </w:rPr>
        <w:t xml:space="preserve">was to phase-out CTC used in process agent applications which had been added since the approval </w:t>
      </w:r>
      <w:r w:rsidR="00B805BF" w:rsidRPr="006524DF">
        <w:rPr>
          <w:lang w:val="en-US"/>
        </w:rPr>
        <w:t xml:space="preserve">of </w:t>
      </w:r>
      <w:r w:rsidR="000D5E7F" w:rsidRPr="006524DF">
        <w:rPr>
          <w:lang w:val="en-US"/>
        </w:rPr>
        <w:t>phase I</w:t>
      </w:r>
      <w:r w:rsidRPr="006524DF">
        <w:rPr>
          <w:lang w:val="en-US"/>
        </w:rPr>
        <w:t>.</w:t>
      </w:r>
      <w:r w:rsidR="00DA65AF" w:rsidRPr="006524DF">
        <w:rPr>
          <w:lang w:val="en-US"/>
        </w:rPr>
        <w:t xml:space="preserve"> </w:t>
      </w:r>
      <w:r w:rsidR="005A2C01" w:rsidRPr="006524DF">
        <w:rPr>
          <w:lang w:val="en-US"/>
        </w:rPr>
        <w:t xml:space="preserve">The country </w:t>
      </w:r>
      <w:r w:rsidRPr="006524DF">
        <w:rPr>
          <w:lang w:val="en-US"/>
        </w:rPr>
        <w:t xml:space="preserve">agreed that it would not request more assistance if additional process applications were added to the </w:t>
      </w:r>
      <w:r w:rsidR="005A2C01" w:rsidRPr="006524DF">
        <w:rPr>
          <w:lang w:val="en-US"/>
        </w:rPr>
        <w:t>list</w:t>
      </w:r>
      <w:r w:rsidRPr="006524DF">
        <w:rPr>
          <w:lang w:val="en-US"/>
        </w:rPr>
        <w:t xml:space="preserve">, but would instead use </w:t>
      </w:r>
      <w:r w:rsidR="005A2C01" w:rsidRPr="006524DF">
        <w:rPr>
          <w:lang w:val="en-US"/>
        </w:rPr>
        <w:t xml:space="preserve">the </w:t>
      </w:r>
      <w:r w:rsidR="0072601A" w:rsidRPr="006524DF">
        <w:rPr>
          <w:lang w:val="en-US"/>
        </w:rPr>
        <w:t>phase II</w:t>
      </w:r>
      <w:r w:rsidR="005A2C01" w:rsidRPr="006524DF">
        <w:rPr>
          <w:lang w:val="en-US"/>
        </w:rPr>
        <w:t xml:space="preserve"> sector plan</w:t>
      </w:r>
      <w:r w:rsidRPr="006524DF">
        <w:rPr>
          <w:lang w:val="en-US"/>
        </w:rPr>
        <w:t xml:space="preserve"> funding and its own funds for the phase-out of such applications. </w:t>
      </w:r>
      <w:r w:rsidR="005A2C01" w:rsidRPr="006524DF">
        <w:rPr>
          <w:lang w:val="en-US"/>
        </w:rPr>
        <w:t>For example, h</w:t>
      </w:r>
      <w:r w:rsidRPr="006524DF">
        <w:rPr>
          <w:lang w:val="en-US"/>
        </w:rPr>
        <w:t xml:space="preserve">eavy boiling residues </w:t>
      </w:r>
      <w:r w:rsidR="005A2C01" w:rsidRPr="006524DF">
        <w:rPr>
          <w:lang w:val="en-US"/>
        </w:rPr>
        <w:t xml:space="preserve">(HBR) </w:t>
      </w:r>
      <w:r w:rsidRPr="006524DF">
        <w:rPr>
          <w:lang w:val="en-US"/>
        </w:rPr>
        <w:t xml:space="preserve">from CTC production contain some CTC and have been used for other purposes and sold to waste management </w:t>
      </w:r>
      <w:r w:rsidR="005A2C01" w:rsidRPr="006524DF">
        <w:rPr>
          <w:lang w:val="en-US"/>
        </w:rPr>
        <w:t>enterprises</w:t>
      </w:r>
      <w:r w:rsidRPr="006524DF">
        <w:rPr>
          <w:lang w:val="en-US"/>
        </w:rPr>
        <w:t xml:space="preserve"> for destruction. </w:t>
      </w:r>
      <w:r w:rsidR="005A2C01" w:rsidRPr="006524DF">
        <w:rPr>
          <w:lang w:val="en-US"/>
        </w:rPr>
        <w:t>It</w:t>
      </w:r>
      <w:r w:rsidRPr="006524DF">
        <w:rPr>
          <w:lang w:val="en-US"/>
        </w:rPr>
        <w:t xml:space="preserve"> was decided that it could not be sold and it had to be destroyed in-house. In order to ensure that all the CTC producers had the necessary in-house destruction capacity</w:t>
      </w:r>
      <w:r w:rsidR="005A2C01" w:rsidRPr="006524DF">
        <w:rPr>
          <w:lang w:val="en-US"/>
        </w:rPr>
        <w:t>, they</w:t>
      </w:r>
      <w:r w:rsidRPr="006524DF">
        <w:rPr>
          <w:lang w:val="en-US"/>
        </w:rPr>
        <w:t xml:space="preserve"> were offered funding</w:t>
      </w:r>
      <w:r w:rsidR="005A2C01" w:rsidRPr="006524DF">
        <w:rPr>
          <w:lang w:val="en-US"/>
        </w:rPr>
        <w:t xml:space="preserve"> from </w:t>
      </w:r>
      <w:r w:rsidR="0072601A" w:rsidRPr="006524DF">
        <w:rPr>
          <w:lang w:val="en-US"/>
        </w:rPr>
        <w:t xml:space="preserve">phase II of </w:t>
      </w:r>
      <w:r w:rsidR="005A2C01" w:rsidRPr="006524DF">
        <w:rPr>
          <w:lang w:val="en-US"/>
        </w:rPr>
        <w:t>the sector plan</w:t>
      </w:r>
      <w:r w:rsidRPr="006524DF">
        <w:rPr>
          <w:lang w:val="en-US"/>
        </w:rPr>
        <w:t xml:space="preserve"> </w:t>
      </w:r>
      <w:r w:rsidR="005A2C01" w:rsidRPr="006524DF">
        <w:rPr>
          <w:lang w:val="en-US"/>
        </w:rPr>
        <w:t>to adjust</w:t>
      </w:r>
      <w:r w:rsidRPr="006524DF">
        <w:rPr>
          <w:lang w:val="en-US"/>
        </w:rPr>
        <w:t xml:space="preserve"> existing destruction capacity or to set up new destruction facilities.</w:t>
      </w:r>
    </w:p>
    <w:p w14:paraId="15BB7C96" w14:textId="7C3E9A39" w:rsidR="00222C40" w:rsidRPr="006524DF" w:rsidRDefault="00222C40" w:rsidP="00605D6D">
      <w:pPr>
        <w:pStyle w:val="IIntroduction"/>
        <w:keepNext/>
        <w:widowControl w:val="0"/>
        <w:numPr>
          <w:ilvl w:val="0"/>
          <w:numId w:val="0"/>
        </w:numPr>
        <w:tabs>
          <w:tab w:val="left" w:pos="720"/>
        </w:tabs>
        <w:spacing w:before="0"/>
        <w:rPr>
          <w:sz w:val="22"/>
          <w:szCs w:val="22"/>
        </w:rPr>
      </w:pPr>
      <w:r w:rsidRPr="006524DF">
        <w:rPr>
          <w:sz w:val="22"/>
          <w:szCs w:val="22"/>
        </w:rPr>
        <w:lastRenderedPageBreak/>
        <w:t xml:space="preserve">Individual PCRs received </w:t>
      </w:r>
      <w:bookmarkEnd w:id="0"/>
      <w:bookmarkEnd w:id="1"/>
      <w:bookmarkEnd w:id="2"/>
      <w:bookmarkEnd w:id="3"/>
      <w:bookmarkEnd w:id="4"/>
      <w:bookmarkEnd w:id="5"/>
      <w:bookmarkEnd w:id="6"/>
      <w:bookmarkEnd w:id="7"/>
      <w:bookmarkEnd w:id="8"/>
      <w:bookmarkEnd w:id="9"/>
    </w:p>
    <w:p w14:paraId="54A74B47" w14:textId="745DC470" w:rsidR="00222C40" w:rsidRPr="006524DF" w:rsidRDefault="00996278" w:rsidP="00996278">
      <w:pPr>
        <w:pStyle w:val="Heading1"/>
        <w:widowControl w:val="0"/>
        <w:numPr>
          <w:ilvl w:val="0"/>
          <w:numId w:val="10"/>
        </w:numPr>
        <w:tabs>
          <w:tab w:val="clear" w:pos="0"/>
          <w:tab w:val="num" w:pos="720"/>
        </w:tabs>
      </w:pPr>
      <w:r w:rsidRPr="006524DF">
        <w:t xml:space="preserve">Of the total 1,863 investment projects that have been completed, bilateral and IAs have submitted 1,854 PCRs, with a balance of </w:t>
      </w:r>
      <w:r w:rsidR="000D1C6D" w:rsidRPr="006524DF">
        <w:t>nine</w:t>
      </w:r>
      <w:r w:rsidRPr="006524DF">
        <w:t xml:space="preserve"> outstanding PCRs, as shown in Table 3. </w:t>
      </w:r>
    </w:p>
    <w:p w14:paraId="30FFC9E5" w14:textId="77777777" w:rsidR="00222C40" w:rsidRPr="006524DF" w:rsidRDefault="00222C40" w:rsidP="00605D6D">
      <w:pPr>
        <w:pStyle w:val="FootnoteText"/>
        <w:keepNext/>
        <w:keepLines/>
        <w:widowControl w:val="0"/>
        <w:ind w:left="14"/>
        <w:contextualSpacing/>
        <w:rPr>
          <w:b/>
          <w:sz w:val="21"/>
          <w:szCs w:val="21"/>
        </w:rPr>
      </w:pPr>
      <w:r w:rsidRPr="006524DF">
        <w:rPr>
          <w:b/>
          <w:sz w:val="21"/>
          <w:szCs w:val="21"/>
        </w:rPr>
        <w:t>Table 3. PCRs submitted for investment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562"/>
        <w:gridCol w:w="1616"/>
        <w:gridCol w:w="1724"/>
        <w:gridCol w:w="1866"/>
        <w:gridCol w:w="1582"/>
      </w:tblGrid>
      <w:tr w:rsidR="00996278" w:rsidRPr="006524DF" w14:paraId="7833CAEC" w14:textId="77777777" w:rsidTr="00996278">
        <w:trPr>
          <w:cantSplit/>
          <w:tblHeader/>
        </w:trPr>
        <w:tc>
          <w:tcPr>
            <w:tcW w:w="1370" w:type="pct"/>
            <w:tcBorders>
              <w:top w:val="single" w:sz="4" w:space="0" w:color="auto"/>
              <w:left w:val="single" w:sz="4" w:space="0" w:color="auto"/>
              <w:bottom w:val="single" w:sz="4" w:space="0" w:color="auto"/>
              <w:right w:val="single" w:sz="4" w:space="0" w:color="auto"/>
            </w:tcBorders>
            <w:hideMark/>
          </w:tcPr>
          <w:p w14:paraId="6D3B2073" w14:textId="77777777" w:rsidR="00996278" w:rsidRPr="006524DF" w:rsidRDefault="00996278" w:rsidP="00996278">
            <w:pPr>
              <w:keepNext/>
              <w:keepLines/>
              <w:widowControl w:val="0"/>
              <w:suppressAutoHyphens/>
              <w:jc w:val="left"/>
              <w:rPr>
                <w:b/>
                <w:snapToGrid w:val="0"/>
                <w:sz w:val="20"/>
                <w:szCs w:val="20"/>
              </w:rPr>
            </w:pPr>
            <w:r w:rsidRPr="006524DF">
              <w:rPr>
                <w:b/>
                <w:snapToGrid w:val="0"/>
                <w:sz w:val="20"/>
                <w:szCs w:val="20"/>
              </w:rPr>
              <w:t>Agency</w:t>
            </w:r>
          </w:p>
        </w:tc>
        <w:tc>
          <w:tcPr>
            <w:tcW w:w="864" w:type="pct"/>
            <w:tcBorders>
              <w:top w:val="single" w:sz="4" w:space="0" w:color="auto"/>
              <w:left w:val="single" w:sz="4" w:space="0" w:color="auto"/>
              <w:bottom w:val="single" w:sz="4" w:space="0" w:color="auto"/>
              <w:right w:val="single" w:sz="4" w:space="0" w:color="auto"/>
            </w:tcBorders>
            <w:hideMark/>
          </w:tcPr>
          <w:p w14:paraId="1058C6DA" w14:textId="77777777" w:rsidR="00996278" w:rsidRPr="006524DF" w:rsidRDefault="00996278" w:rsidP="00996278">
            <w:pPr>
              <w:keepNext/>
              <w:keepLines/>
              <w:widowControl w:val="0"/>
              <w:suppressAutoHyphens/>
              <w:jc w:val="center"/>
              <w:rPr>
                <w:b/>
                <w:snapToGrid w:val="0"/>
                <w:sz w:val="20"/>
                <w:szCs w:val="20"/>
              </w:rPr>
            </w:pPr>
            <w:r w:rsidRPr="006524DF">
              <w:rPr>
                <w:b/>
                <w:snapToGrid w:val="0"/>
                <w:sz w:val="20"/>
                <w:szCs w:val="20"/>
              </w:rPr>
              <w:t>Completed</w:t>
            </w:r>
          </w:p>
        </w:tc>
        <w:tc>
          <w:tcPr>
            <w:tcW w:w="922" w:type="pct"/>
            <w:tcBorders>
              <w:top w:val="single" w:sz="4" w:space="0" w:color="auto"/>
              <w:left w:val="single" w:sz="4" w:space="0" w:color="auto"/>
              <w:bottom w:val="single" w:sz="4" w:space="0" w:color="auto"/>
              <w:right w:val="single" w:sz="4" w:space="0" w:color="auto"/>
            </w:tcBorders>
            <w:hideMark/>
          </w:tcPr>
          <w:p w14:paraId="38D16267" w14:textId="77777777" w:rsidR="00996278" w:rsidRPr="006524DF" w:rsidRDefault="00996278" w:rsidP="00996278">
            <w:pPr>
              <w:keepNext/>
              <w:keepLines/>
              <w:widowControl w:val="0"/>
              <w:jc w:val="center"/>
              <w:rPr>
                <w:b/>
                <w:sz w:val="20"/>
                <w:szCs w:val="20"/>
              </w:rPr>
            </w:pPr>
            <w:r w:rsidRPr="006524DF">
              <w:rPr>
                <w:b/>
                <w:sz w:val="20"/>
                <w:szCs w:val="20"/>
              </w:rPr>
              <w:t xml:space="preserve">Received prior </w:t>
            </w:r>
          </w:p>
          <w:p w14:paraId="53B8CEA7" w14:textId="77777777" w:rsidR="00996278" w:rsidRPr="006524DF" w:rsidRDefault="00996278" w:rsidP="00996278">
            <w:pPr>
              <w:keepNext/>
              <w:keepLines/>
              <w:widowControl w:val="0"/>
              <w:jc w:val="center"/>
              <w:rPr>
                <w:b/>
                <w:sz w:val="20"/>
                <w:szCs w:val="20"/>
              </w:rPr>
            </w:pPr>
            <w:r w:rsidRPr="006524DF">
              <w:rPr>
                <w:b/>
                <w:sz w:val="20"/>
                <w:szCs w:val="20"/>
              </w:rPr>
              <w:t>87</w:t>
            </w:r>
            <w:r w:rsidRPr="006524DF">
              <w:rPr>
                <w:b/>
                <w:sz w:val="20"/>
                <w:szCs w:val="20"/>
                <w:vertAlign w:val="superscript"/>
              </w:rPr>
              <w:t>th</w:t>
            </w:r>
            <w:r w:rsidRPr="006524DF">
              <w:rPr>
                <w:b/>
                <w:sz w:val="20"/>
                <w:szCs w:val="20"/>
              </w:rPr>
              <w:t xml:space="preserve"> meeting</w:t>
            </w:r>
          </w:p>
        </w:tc>
        <w:tc>
          <w:tcPr>
            <w:tcW w:w="998" w:type="pct"/>
            <w:tcBorders>
              <w:top w:val="single" w:sz="4" w:space="0" w:color="auto"/>
              <w:left w:val="single" w:sz="4" w:space="0" w:color="auto"/>
              <w:bottom w:val="single" w:sz="4" w:space="0" w:color="auto"/>
              <w:right w:val="single" w:sz="4" w:space="0" w:color="auto"/>
            </w:tcBorders>
            <w:hideMark/>
          </w:tcPr>
          <w:p w14:paraId="73DCB036" w14:textId="77777777" w:rsidR="00996278" w:rsidRPr="006524DF" w:rsidRDefault="00996278" w:rsidP="00996278">
            <w:pPr>
              <w:keepNext/>
              <w:keepLines/>
              <w:widowControl w:val="0"/>
              <w:suppressAutoHyphens/>
              <w:jc w:val="center"/>
              <w:rPr>
                <w:b/>
                <w:sz w:val="20"/>
                <w:szCs w:val="20"/>
              </w:rPr>
            </w:pPr>
            <w:r w:rsidRPr="006524DF">
              <w:rPr>
                <w:b/>
                <w:sz w:val="20"/>
                <w:szCs w:val="20"/>
              </w:rPr>
              <w:t xml:space="preserve">Received after the </w:t>
            </w:r>
          </w:p>
          <w:p w14:paraId="7460F5C2" w14:textId="77777777" w:rsidR="00996278" w:rsidRPr="006524DF" w:rsidRDefault="00996278" w:rsidP="00996278">
            <w:pPr>
              <w:keepNext/>
              <w:keepLines/>
              <w:widowControl w:val="0"/>
              <w:suppressAutoHyphens/>
              <w:jc w:val="center"/>
              <w:rPr>
                <w:b/>
                <w:snapToGrid w:val="0"/>
                <w:sz w:val="20"/>
                <w:szCs w:val="20"/>
              </w:rPr>
            </w:pPr>
            <w:r w:rsidRPr="006524DF">
              <w:rPr>
                <w:b/>
                <w:sz w:val="20"/>
                <w:szCs w:val="20"/>
              </w:rPr>
              <w:t>87</w:t>
            </w:r>
            <w:r w:rsidRPr="006524DF">
              <w:rPr>
                <w:b/>
                <w:sz w:val="20"/>
                <w:szCs w:val="20"/>
                <w:vertAlign w:val="superscript"/>
              </w:rPr>
              <w:t>th</w:t>
            </w:r>
            <w:r w:rsidRPr="006524DF">
              <w:rPr>
                <w:b/>
                <w:sz w:val="20"/>
                <w:szCs w:val="20"/>
              </w:rPr>
              <w:t xml:space="preserve"> meeting</w:t>
            </w:r>
          </w:p>
        </w:tc>
        <w:tc>
          <w:tcPr>
            <w:tcW w:w="846" w:type="pct"/>
            <w:tcBorders>
              <w:top w:val="single" w:sz="4" w:space="0" w:color="auto"/>
              <w:left w:val="single" w:sz="4" w:space="0" w:color="auto"/>
              <w:bottom w:val="single" w:sz="4" w:space="0" w:color="auto"/>
              <w:right w:val="single" w:sz="4" w:space="0" w:color="auto"/>
            </w:tcBorders>
            <w:hideMark/>
          </w:tcPr>
          <w:p w14:paraId="46C11447" w14:textId="77777777" w:rsidR="00996278" w:rsidRPr="006524DF" w:rsidRDefault="00996278" w:rsidP="00996278">
            <w:pPr>
              <w:keepNext/>
              <w:keepLines/>
              <w:widowControl w:val="0"/>
              <w:suppressAutoHyphens/>
              <w:jc w:val="center"/>
              <w:rPr>
                <w:b/>
                <w:snapToGrid w:val="0"/>
                <w:sz w:val="20"/>
                <w:szCs w:val="20"/>
              </w:rPr>
            </w:pPr>
            <w:r w:rsidRPr="006524DF">
              <w:rPr>
                <w:b/>
                <w:sz w:val="20"/>
                <w:szCs w:val="20"/>
              </w:rPr>
              <w:t>Outstanding</w:t>
            </w:r>
          </w:p>
        </w:tc>
      </w:tr>
      <w:tr w:rsidR="00996278" w:rsidRPr="006524DF" w14:paraId="44400D0D" w14:textId="77777777" w:rsidTr="007079A4">
        <w:trPr>
          <w:cantSplit/>
          <w:tblHeader/>
        </w:trPr>
        <w:tc>
          <w:tcPr>
            <w:tcW w:w="1370" w:type="pct"/>
            <w:tcBorders>
              <w:top w:val="single" w:sz="4" w:space="0" w:color="auto"/>
              <w:left w:val="single" w:sz="4" w:space="0" w:color="auto"/>
              <w:bottom w:val="single" w:sz="4" w:space="0" w:color="auto"/>
              <w:right w:val="single" w:sz="4" w:space="0" w:color="auto"/>
            </w:tcBorders>
          </w:tcPr>
          <w:p w14:paraId="75FCA57C" w14:textId="77777777" w:rsidR="00996278" w:rsidRPr="006524DF" w:rsidRDefault="00996278" w:rsidP="00996278">
            <w:pPr>
              <w:widowControl w:val="0"/>
              <w:suppressAutoHyphens/>
              <w:jc w:val="left"/>
              <w:rPr>
                <w:snapToGrid w:val="0"/>
                <w:sz w:val="20"/>
                <w:szCs w:val="20"/>
              </w:rPr>
            </w:pPr>
            <w:r w:rsidRPr="006524DF">
              <w:rPr>
                <w:snapToGrid w:val="0"/>
                <w:sz w:val="20"/>
                <w:szCs w:val="20"/>
              </w:rPr>
              <w:t>Canada</w:t>
            </w:r>
          </w:p>
        </w:tc>
        <w:tc>
          <w:tcPr>
            <w:tcW w:w="864" w:type="pct"/>
            <w:tcBorders>
              <w:top w:val="single" w:sz="4" w:space="0" w:color="auto"/>
              <w:left w:val="single" w:sz="4" w:space="0" w:color="auto"/>
              <w:bottom w:val="single" w:sz="4" w:space="0" w:color="auto"/>
              <w:right w:val="single" w:sz="4" w:space="0" w:color="auto"/>
            </w:tcBorders>
            <w:tcMar>
              <w:right w:w="432" w:type="dxa"/>
            </w:tcMar>
          </w:tcPr>
          <w:p w14:paraId="786579A8"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c>
          <w:tcPr>
            <w:tcW w:w="922" w:type="pct"/>
            <w:tcBorders>
              <w:top w:val="single" w:sz="4" w:space="0" w:color="auto"/>
              <w:left w:val="single" w:sz="4" w:space="0" w:color="auto"/>
              <w:bottom w:val="single" w:sz="4" w:space="0" w:color="auto"/>
              <w:right w:val="single" w:sz="4" w:space="0" w:color="auto"/>
            </w:tcBorders>
            <w:tcMar>
              <w:right w:w="432" w:type="dxa"/>
            </w:tcMar>
          </w:tcPr>
          <w:p w14:paraId="67F92CB9" w14:textId="77777777" w:rsidR="00996278" w:rsidRPr="006524DF" w:rsidRDefault="00996278" w:rsidP="007079A4">
            <w:pPr>
              <w:widowControl w:val="0"/>
              <w:jc w:val="right"/>
              <w:rPr>
                <w:snapToGrid w:val="0"/>
                <w:sz w:val="20"/>
                <w:szCs w:val="20"/>
              </w:rPr>
            </w:pPr>
            <w:r w:rsidRPr="006524DF">
              <w:rPr>
                <w:snapToGrid w:val="0"/>
                <w:sz w:val="20"/>
                <w:szCs w:val="20"/>
              </w:rPr>
              <w:t>0</w:t>
            </w:r>
          </w:p>
        </w:tc>
        <w:tc>
          <w:tcPr>
            <w:tcW w:w="998" w:type="pct"/>
            <w:tcBorders>
              <w:top w:val="single" w:sz="4" w:space="0" w:color="auto"/>
              <w:left w:val="single" w:sz="4" w:space="0" w:color="auto"/>
              <w:bottom w:val="single" w:sz="4" w:space="0" w:color="auto"/>
              <w:right w:val="single" w:sz="4" w:space="0" w:color="auto"/>
            </w:tcBorders>
            <w:tcMar>
              <w:right w:w="432" w:type="dxa"/>
            </w:tcMar>
          </w:tcPr>
          <w:p w14:paraId="5D359770"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tcPr>
          <w:p w14:paraId="6BFF828B"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r>
      <w:tr w:rsidR="00996278" w:rsidRPr="006524DF" w14:paraId="5DA2A73C" w14:textId="77777777" w:rsidTr="007079A4">
        <w:trPr>
          <w:cantSplit/>
          <w:trHeight w:val="58"/>
        </w:trPr>
        <w:tc>
          <w:tcPr>
            <w:tcW w:w="1370" w:type="pct"/>
            <w:tcBorders>
              <w:top w:val="single" w:sz="4" w:space="0" w:color="auto"/>
              <w:left w:val="single" w:sz="4" w:space="0" w:color="auto"/>
              <w:bottom w:val="single" w:sz="4" w:space="0" w:color="auto"/>
              <w:right w:val="single" w:sz="4" w:space="0" w:color="auto"/>
            </w:tcBorders>
            <w:hideMark/>
          </w:tcPr>
          <w:p w14:paraId="68417D9E" w14:textId="77777777" w:rsidR="00996278" w:rsidRPr="006524DF" w:rsidRDefault="00996278" w:rsidP="00996278">
            <w:pPr>
              <w:widowControl w:val="0"/>
              <w:suppressAutoHyphens/>
              <w:jc w:val="left"/>
              <w:rPr>
                <w:snapToGrid w:val="0"/>
                <w:sz w:val="20"/>
                <w:szCs w:val="20"/>
              </w:rPr>
            </w:pPr>
            <w:r w:rsidRPr="006524DF">
              <w:rPr>
                <w:snapToGrid w:val="0"/>
                <w:sz w:val="20"/>
                <w:szCs w:val="20"/>
              </w:rPr>
              <w:t>France</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337D04B2"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13</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5E29E286"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13</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07E421EC"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55F61C25"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1FE5A589"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43F682F0" w14:textId="77777777" w:rsidR="00996278" w:rsidRPr="006524DF" w:rsidRDefault="00996278" w:rsidP="00996278">
            <w:pPr>
              <w:widowControl w:val="0"/>
              <w:suppressAutoHyphens/>
              <w:jc w:val="left"/>
              <w:rPr>
                <w:snapToGrid w:val="0"/>
                <w:sz w:val="20"/>
                <w:szCs w:val="20"/>
              </w:rPr>
            </w:pPr>
            <w:r w:rsidRPr="006524DF">
              <w:rPr>
                <w:snapToGrid w:val="0"/>
                <w:sz w:val="20"/>
                <w:szCs w:val="20"/>
              </w:rPr>
              <w:t>Germany</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6309F85E"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20</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108A1D6C"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19</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1D976199"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5387E83F"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r>
      <w:tr w:rsidR="00996278" w:rsidRPr="006524DF" w14:paraId="706FE32D"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480C3AC8" w14:textId="77777777" w:rsidR="00996278" w:rsidRPr="006524DF" w:rsidRDefault="00996278" w:rsidP="00996278">
            <w:pPr>
              <w:widowControl w:val="0"/>
              <w:suppressAutoHyphens/>
              <w:jc w:val="left"/>
              <w:rPr>
                <w:snapToGrid w:val="0"/>
                <w:sz w:val="20"/>
                <w:szCs w:val="20"/>
              </w:rPr>
            </w:pPr>
            <w:r w:rsidRPr="006524DF">
              <w:rPr>
                <w:snapToGrid w:val="0"/>
                <w:sz w:val="20"/>
                <w:szCs w:val="20"/>
              </w:rPr>
              <w:t>Italy</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1837E579"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11</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336B0C2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11</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2CBD182B"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6D54FCB7"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521BCC3F"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0F6B285E" w14:textId="77777777" w:rsidR="00996278" w:rsidRPr="006524DF" w:rsidRDefault="00996278" w:rsidP="00996278">
            <w:pPr>
              <w:widowControl w:val="0"/>
              <w:suppressAutoHyphens/>
              <w:jc w:val="left"/>
              <w:rPr>
                <w:snapToGrid w:val="0"/>
                <w:sz w:val="20"/>
                <w:szCs w:val="20"/>
              </w:rPr>
            </w:pPr>
            <w:r w:rsidRPr="006524DF">
              <w:rPr>
                <w:snapToGrid w:val="0"/>
                <w:sz w:val="20"/>
                <w:szCs w:val="20"/>
              </w:rPr>
              <w:t>Japan</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1CF84ABC" w14:textId="77777777" w:rsidR="00996278" w:rsidRPr="006524DF" w:rsidRDefault="00996278" w:rsidP="007079A4">
            <w:pPr>
              <w:widowControl w:val="0"/>
              <w:suppressAutoHyphens/>
              <w:jc w:val="right"/>
              <w:rPr>
                <w:snapToGrid w:val="0"/>
                <w:sz w:val="20"/>
                <w:szCs w:val="20"/>
              </w:rPr>
            </w:pPr>
            <w:r w:rsidRPr="006524DF">
              <w:rPr>
                <w:snapToGrid w:val="0"/>
                <w:sz w:val="20"/>
                <w:szCs w:val="20"/>
              </w:rPr>
              <w:t>6</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7C57C4B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6</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4E21B58F"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7E3F0124"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6DD9BFB5"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0F7764A2" w14:textId="77777777" w:rsidR="00996278" w:rsidRPr="006524DF" w:rsidRDefault="00996278" w:rsidP="00996278">
            <w:pPr>
              <w:widowControl w:val="0"/>
              <w:suppressAutoHyphens/>
              <w:jc w:val="left"/>
              <w:rPr>
                <w:snapToGrid w:val="0"/>
                <w:sz w:val="20"/>
                <w:szCs w:val="20"/>
              </w:rPr>
            </w:pPr>
            <w:r w:rsidRPr="006524DF">
              <w:rPr>
                <w:snapToGrid w:val="0"/>
                <w:sz w:val="20"/>
                <w:szCs w:val="20"/>
              </w:rPr>
              <w:t>Spain</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725C42DC"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587DF1F9"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72B8C7A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35CF5417"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05345DD2"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559C7C49" w14:textId="77777777" w:rsidR="00996278" w:rsidRPr="006524DF" w:rsidRDefault="00996278" w:rsidP="00996278">
            <w:pPr>
              <w:widowControl w:val="0"/>
              <w:suppressAutoHyphens/>
              <w:jc w:val="left"/>
              <w:rPr>
                <w:snapToGrid w:val="0"/>
                <w:sz w:val="20"/>
                <w:szCs w:val="20"/>
              </w:rPr>
            </w:pPr>
            <w:r w:rsidRPr="006524DF">
              <w:rPr>
                <w:snapToGrid w:val="0"/>
                <w:sz w:val="20"/>
                <w:szCs w:val="20"/>
              </w:rPr>
              <w:t xml:space="preserve">United Kingdom of Great Britain and Northern Ireland </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6F58EE55"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41BC2FB6"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6B7F2445"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079F4C07"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0D3F1872"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44FFFA62" w14:textId="77777777" w:rsidR="00996278" w:rsidRPr="006524DF" w:rsidRDefault="00996278" w:rsidP="00996278">
            <w:pPr>
              <w:widowControl w:val="0"/>
              <w:suppressAutoHyphens/>
              <w:jc w:val="left"/>
              <w:rPr>
                <w:snapToGrid w:val="0"/>
                <w:sz w:val="20"/>
                <w:szCs w:val="20"/>
              </w:rPr>
            </w:pPr>
            <w:r w:rsidRPr="006524DF">
              <w:rPr>
                <w:snapToGrid w:val="0"/>
                <w:sz w:val="20"/>
                <w:szCs w:val="20"/>
              </w:rPr>
              <w:t>United States of America</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2B356B2D"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3B5D749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0B4DA2A4"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3C651763"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r>
      <w:tr w:rsidR="00996278" w:rsidRPr="006524DF" w14:paraId="75891279"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48997AF8" w14:textId="77777777" w:rsidR="00996278" w:rsidRPr="006524DF" w:rsidRDefault="00996278" w:rsidP="00996278">
            <w:pPr>
              <w:widowControl w:val="0"/>
              <w:suppressAutoHyphens/>
              <w:jc w:val="left"/>
              <w:rPr>
                <w:snapToGrid w:val="0"/>
                <w:sz w:val="20"/>
                <w:szCs w:val="20"/>
              </w:rPr>
            </w:pPr>
            <w:r w:rsidRPr="006524DF">
              <w:rPr>
                <w:snapToGrid w:val="0"/>
                <w:sz w:val="20"/>
                <w:szCs w:val="20"/>
              </w:rPr>
              <w:t>UNDP</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430F66B8" w14:textId="77777777" w:rsidR="00996278" w:rsidRPr="006524DF" w:rsidRDefault="00996278" w:rsidP="007079A4">
            <w:pPr>
              <w:widowControl w:val="0"/>
              <w:suppressAutoHyphens/>
              <w:jc w:val="right"/>
              <w:rPr>
                <w:snapToGrid w:val="0"/>
                <w:sz w:val="20"/>
                <w:szCs w:val="20"/>
              </w:rPr>
            </w:pPr>
            <w:r w:rsidRPr="006524DF">
              <w:rPr>
                <w:snapToGrid w:val="0"/>
                <w:sz w:val="20"/>
                <w:szCs w:val="20"/>
              </w:rPr>
              <w:t>898</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40E46687" w14:textId="77777777" w:rsidR="00996278" w:rsidRPr="006524DF" w:rsidRDefault="00996278" w:rsidP="007079A4">
            <w:pPr>
              <w:widowControl w:val="0"/>
              <w:suppressAutoHyphens/>
              <w:jc w:val="right"/>
              <w:rPr>
                <w:snapToGrid w:val="0"/>
                <w:sz w:val="20"/>
                <w:szCs w:val="20"/>
              </w:rPr>
            </w:pPr>
            <w:r w:rsidRPr="006524DF">
              <w:rPr>
                <w:snapToGrid w:val="0"/>
                <w:sz w:val="20"/>
                <w:szCs w:val="20"/>
              </w:rPr>
              <w:t>897</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153E200A"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0B5FCEB1" w14:textId="77777777" w:rsidR="00996278" w:rsidRPr="006524DF" w:rsidRDefault="00996278" w:rsidP="007079A4">
            <w:pPr>
              <w:widowControl w:val="0"/>
              <w:suppressAutoHyphens/>
              <w:jc w:val="right"/>
              <w:rPr>
                <w:snapToGrid w:val="0"/>
                <w:sz w:val="20"/>
                <w:szCs w:val="20"/>
              </w:rPr>
            </w:pPr>
            <w:r w:rsidRPr="006524DF">
              <w:rPr>
                <w:snapToGrid w:val="0"/>
                <w:sz w:val="20"/>
                <w:szCs w:val="20"/>
              </w:rPr>
              <w:t>1</w:t>
            </w:r>
          </w:p>
        </w:tc>
      </w:tr>
      <w:tr w:rsidR="00996278" w:rsidRPr="006524DF" w14:paraId="0223E1C2"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26969250" w14:textId="77777777" w:rsidR="00996278" w:rsidRPr="006524DF" w:rsidRDefault="00996278" w:rsidP="00996278">
            <w:pPr>
              <w:widowControl w:val="0"/>
              <w:suppressAutoHyphens/>
              <w:jc w:val="left"/>
              <w:rPr>
                <w:snapToGrid w:val="0"/>
                <w:sz w:val="20"/>
                <w:szCs w:val="20"/>
              </w:rPr>
            </w:pPr>
            <w:r w:rsidRPr="006524DF">
              <w:rPr>
                <w:snapToGrid w:val="0"/>
                <w:sz w:val="20"/>
                <w:szCs w:val="20"/>
              </w:rPr>
              <w:t>UNIDO</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7977BF55" w14:textId="77777777" w:rsidR="00996278" w:rsidRPr="006524DF" w:rsidRDefault="00996278" w:rsidP="007079A4">
            <w:pPr>
              <w:widowControl w:val="0"/>
              <w:suppressAutoHyphens/>
              <w:jc w:val="right"/>
              <w:rPr>
                <w:snapToGrid w:val="0"/>
                <w:sz w:val="20"/>
                <w:szCs w:val="20"/>
              </w:rPr>
            </w:pPr>
            <w:r w:rsidRPr="006524DF">
              <w:rPr>
                <w:snapToGrid w:val="0"/>
                <w:sz w:val="20"/>
                <w:szCs w:val="20"/>
              </w:rPr>
              <w:t>452</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01F40988" w14:textId="77777777" w:rsidR="00996278" w:rsidRPr="006524DF" w:rsidRDefault="00996278" w:rsidP="007079A4">
            <w:pPr>
              <w:widowControl w:val="0"/>
              <w:suppressAutoHyphens/>
              <w:jc w:val="right"/>
              <w:rPr>
                <w:snapToGrid w:val="0"/>
                <w:sz w:val="20"/>
                <w:szCs w:val="20"/>
              </w:rPr>
            </w:pPr>
            <w:r w:rsidRPr="006524DF">
              <w:rPr>
                <w:snapToGrid w:val="0"/>
                <w:sz w:val="20"/>
                <w:szCs w:val="20"/>
              </w:rPr>
              <w:t>449</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0A1E5E62"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4A177D04" w14:textId="77777777" w:rsidR="00996278" w:rsidRPr="006524DF" w:rsidRDefault="00996278" w:rsidP="007079A4">
            <w:pPr>
              <w:widowControl w:val="0"/>
              <w:suppressAutoHyphens/>
              <w:jc w:val="right"/>
              <w:rPr>
                <w:snapToGrid w:val="0"/>
                <w:sz w:val="20"/>
                <w:szCs w:val="20"/>
              </w:rPr>
            </w:pPr>
            <w:r w:rsidRPr="006524DF">
              <w:rPr>
                <w:snapToGrid w:val="0"/>
                <w:sz w:val="20"/>
                <w:szCs w:val="20"/>
              </w:rPr>
              <w:t>3</w:t>
            </w:r>
          </w:p>
        </w:tc>
      </w:tr>
      <w:tr w:rsidR="00996278" w:rsidRPr="006524DF" w14:paraId="7E3063DA"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35987577" w14:textId="77777777" w:rsidR="00996278" w:rsidRPr="006524DF" w:rsidRDefault="00996278" w:rsidP="00996278">
            <w:pPr>
              <w:widowControl w:val="0"/>
              <w:suppressAutoHyphens/>
              <w:jc w:val="left"/>
              <w:rPr>
                <w:snapToGrid w:val="0"/>
                <w:sz w:val="20"/>
                <w:szCs w:val="20"/>
              </w:rPr>
            </w:pPr>
            <w:r w:rsidRPr="006524DF">
              <w:rPr>
                <w:snapToGrid w:val="0"/>
                <w:sz w:val="20"/>
                <w:szCs w:val="20"/>
              </w:rPr>
              <w:t>World Bank</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34DF3398" w14:textId="77777777" w:rsidR="00996278" w:rsidRPr="006524DF" w:rsidRDefault="00996278" w:rsidP="007079A4">
            <w:pPr>
              <w:widowControl w:val="0"/>
              <w:suppressAutoHyphens/>
              <w:jc w:val="right"/>
              <w:rPr>
                <w:snapToGrid w:val="0"/>
                <w:sz w:val="20"/>
                <w:szCs w:val="20"/>
              </w:rPr>
            </w:pPr>
            <w:r w:rsidRPr="006524DF">
              <w:rPr>
                <w:snapToGrid w:val="0"/>
                <w:sz w:val="20"/>
                <w:szCs w:val="20"/>
              </w:rPr>
              <w:t>457</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71CB2522" w14:textId="77777777" w:rsidR="00996278" w:rsidRPr="006524DF" w:rsidRDefault="00996278" w:rsidP="007079A4">
            <w:pPr>
              <w:widowControl w:val="0"/>
              <w:suppressAutoHyphens/>
              <w:jc w:val="right"/>
              <w:rPr>
                <w:snapToGrid w:val="0"/>
                <w:sz w:val="20"/>
                <w:szCs w:val="20"/>
              </w:rPr>
            </w:pPr>
            <w:r w:rsidRPr="006524DF">
              <w:rPr>
                <w:snapToGrid w:val="0"/>
                <w:sz w:val="20"/>
                <w:szCs w:val="20"/>
              </w:rPr>
              <w:t>455</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195C7E2B" w14:textId="77777777" w:rsidR="00996278" w:rsidRPr="006524DF" w:rsidRDefault="00996278" w:rsidP="007079A4">
            <w:pPr>
              <w:widowControl w:val="0"/>
              <w:suppressAutoHyphens/>
              <w:jc w:val="right"/>
              <w:rPr>
                <w:snapToGrid w:val="0"/>
                <w:sz w:val="20"/>
                <w:szCs w:val="20"/>
              </w:rPr>
            </w:pPr>
            <w:r w:rsidRPr="006524DF">
              <w:rPr>
                <w:snapToGrid w:val="0"/>
                <w:sz w:val="20"/>
                <w:szCs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0C60F1FE" w14:textId="77777777" w:rsidR="00996278" w:rsidRPr="006524DF" w:rsidRDefault="00996278" w:rsidP="007079A4">
            <w:pPr>
              <w:widowControl w:val="0"/>
              <w:suppressAutoHyphens/>
              <w:jc w:val="right"/>
              <w:rPr>
                <w:snapToGrid w:val="0"/>
                <w:sz w:val="20"/>
                <w:szCs w:val="20"/>
              </w:rPr>
            </w:pPr>
            <w:r w:rsidRPr="006524DF">
              <w:rPr>
                <w:snapToGrid w:val="0"/>
                <w:sz w:val="20"/>
                <w:szCs w:val="20"/>
              </w:rPr>
              <w:t>2</w:t>
            </w:r>
          </w:p>
        </w:tc>
      </w:tr>
      <w:tr w:rsidR="00996278" w:rsidRPr="006524DF" w14:paraId="543329C0" w14:textId="77777777" w:rsidTr="007079A4">
        <w:trPr>
          <w:cantSplit/>
        </w:trPr>
        <w:tc>
          <w:tcPr>
            <w:tcW w:w="1370" w:type="pct"/>
            <w:tcBorders>
              <w:top w:val="single" w:sz="4" w:space="0" w:color="auto"/>
              <w:left w:val="single" w:sz="4" w:space="0" w:color="auto"/>
              <w:bottom w:val="single" w:sz="4" w:space="0" w:color="auto"/>
              <w:right w:val="single" w:sz="4" w:space="0" w:color="auto"/>
            </w:tcBorders>
            <w:hideMark/>
          </w:tcPr>
          <w:p w14:paraId="2173A672" w14:textId="77777777" w:rsidR="00996278" w:rsidRPr="006524DF" w:rsidRDefault="00996278" w:rsidP="00996278">
            <w:pPr>
              <w:widowControl w:val="0"/>
              <w:suppressAutoHyphens/>
              <w:jc w:val="left"/>
              <w:rPr>
                <w:b/>
                <w:snapToGrid w:val="0"/>
                <w:sz w:val="20"/>
                <w:szCs w:val="20"/>
              </w:rPr>
            </w:pPr>
            <w:r w:rsidRPr="006524DF">
              <w:rPr>
                <w:b/>
                <w:snapToGrid w:val="0"/>
                <w:sz w:val="20"/>
                <w:szCs w:val="20"/>
              </w:rPr>
              <w:t>Total</w:t>
            </w:r>
          </w:p>
        </w:tc>
        <w:tc>
          <w:tcPr>
            <w:tcW w:w="864" w:type="pct"/>
            <w:tcBorders>
              <w:top w:val="single" w:sz="4" w:space="0" w:color="auto"/>
              <w:left w:val="single" w:sz="4" w:space="0" w:color="auto"/>
              <w:bottom w:val="single" w:sz="4" w:space="0" w:color="auto"/>
              <w:right w:val="single" w:sz="4" w:space="0" w:color="auto"/>
            </w:tcBorders>
            <w:tcMar>
              <w:right w:w="432" w:type="dxa"/>
            </w:tcMar>
            <w:hideMark/>
          </w:tcPr>
          <w:p w14:paraId="6CC52DD1" w14:textId="77777777" w:rsidR="00996278" w:rsidRPr="006524DF" w:rsidRDefault="00996278" w:rsidP="007079A4">
            <w:pPr>
              <w:widowControl w:val="0"/>
              <w:tabs>
                <w:tab w:val="left" w:pos="600"/>
                <w:tab w:val="center" w:pos="915"/>
              </w:tabs>
              <w:suppressAutoHyphens/>
              <w:jc w:val="right"/>
              <w:rPr>
                <w:b/>
                <w:snapToGrid w:val="0"/>
                <w:sz w:val="20"/>
                <w:szCs w:val="20"/>
              </w:rPr>
            </w:pPr>
            <w:r w:rsidRPr="006524DF">
              <w:rPr>
                <w:b/>
                <w:snapToGrid w:val="0"/>
                <w:sz w:val="20"/>
                <w:szCs w:val="20"/>
              </w:rPr>
              <w:t>1,863</w:t>
            </w:r>
          </w:p>
        </w:tc>
        <w:tc>
          <w:tcPr>
            <w:tcW w:w="922" w:type="pct"/>
            <w:tcBorders>
              <w:top w:val="single" w:sz="4" w:space="0" w:color="auto"/>
              <w:left w:val="single" w:sz="4" w:space="0" w:color="auto"/>
              <w:bottom w:val="single" w:sz="4" w:space="0" w:color="auto"/>
              <w:right w:val="single" w:sz="4" w:space="0" w:color="auto"/>
            </w:tcBorders>
            <w:tcMar>
              <w:right w:w="432" w:type="dxa"/>
            </w:tcMar>
            <w:hideMark/>
          </w:tcPr>
          <w:p w14:paraId="637B92ED" w14:textId="77777777" w:rsidR="00996278" w:rsidRPr="006524DF" w:rsidRDefault="00996278" w:rsidP="007079A4">
            <w:pPr>
              <w:widowControl w:val="0"/>
              <w:suppressAutoHyphens/>
              <w:jc w:val="right"/>
              <w:rPr>
                <w:b/>
                <w:snapToGrid w:val="0"/>
                <w:sz w:val="20"/>
                <w:szCs w:val="20"/>
              </w:rPr>
            </w:pPr>
            <w:r w:rsidRPr="006524DF">
              <w:rPr>
                <w:b/>
                <w:sz w:val="20"/>
              </w:rPr>
              <w:t>1,854</w:t>
            </w:r>
          </w:p>
        </w:tc>
        <w:tc>
          <w:tcPr>
            <w:tcW w:w="998" w:type="pct"/>
            <w:tcBorders>
              <w:top w:val="single" w:sz="4" w:space="0" w:color="auto"/>
              <w:left w:val="single" w:sz="4" w:space="0" w:color="auto"/>
              <w:bottom w:val="single" w:sz="4" w:space="0" w:color="auto"/>
              <w:right w:val="single" w:sz="4" w:space="0" w:color="auto"/>
            </w:tcBorders>
            <w:tcMar>
              <w:right w:w="432" w:type="dxa"/>
            </w:tcMar>
            <w:hideMark/>
          </w:tcPr>
          <w:p w14:paraId="16C06C6F" w14:textId="77777777" w:rsidR="00996278" w:rsidRPr="006524DF" w:rsidRDefault="00996278" w:rsidP="007079A4">
            <w:pPr>
              <w:widowControl w:val="0"/>
              <w:suppressAutoHyphens/>
              <w:jc w:val="right"/>
              <w:rPr>
                <w:b/>
                <w:snapToGrid w:val="0"/>
                <w:sz w:val="20"/>
                <w:szCs w:val="20"/>
              </w:rPr>
            </w:pPr>
            <w:r w:rsidRPr="006524DF">
              <w:rPr>
                <w:b/>
                <w:sz w:val="20"/>
              </w:rPr>
              <w:t>0</w:t>
            </w:r>
          </w:p>
        </w:tc>
        <w:tc>
          <w:tcPr>
            <w:tcW w:w="846" w:type="pct"/>
            <w:tcBorders>
              <w:top w:val="single" w:sz="4" w:space="0" w:color="auto"/>
              <w:left w:val="single" w:sz="4" w:space="0" w:color="auto"/>
              <w:bottom w:val="single" w:sz="4" w:space="0" w:color="auto"/>
              <w:right w:val="single" w:sz="4" w:space="0" w:color="auto"/>
            </w:tcBorders>
            <w:tcMar>
              <w:right w:w="432" w:type="dxa"/>
            </w:tcMar>
            <w:hideMark/>
          </w:tcPr>
          <w:p w14:paraId="6F0CAC19" w14:textId="77777777" w:rsidR="00996278" w:rsidRPr="006524DF" w:rsidRDefault="00996278" w:rsidP="007079A4">
            <w:pPr>
              <w:widowControl w:val="0"/>
              <w:suppressAutoHyphens/>
              <w:jc w:val="right"/>
              <w:rPr>
                <w:b/>
                <w:snapToGrid w:val="0"/>
                <w:sz w:val="20"/>
                <w:szCs w:val="20"/>
              </w:rPr>
            </w:pPr>
            <w:r w:rsidRPr="006524DF">
              <w:rPr>
                <w:b/>
                <w:sz w:val="20"/>
              </w:rPr>
              <w:t>9</w:t>
            </w:r>
          </w:p>
        </w:tc>
      </w:tr>
    </w:tbl>
    <w:p w14:paraId="16B595B6" w14:textId="77777777" w:rsidR="00996278" w:rsidRPr="006524DF" w:rsidRDefault="00996278" w:rsidP="00996278">
      <w:pPr>
        <w:pStyle w:val="Heading1"/>
        <w:widowControl w:val="0"/>
        <w:numPr>
          <w:ilvl w:val="0"/>
          <w:numId w:val="10"/>
        </w:numPr>
        <w:tabs>
          <w:tab w:val="clear" w:pos="0"/>
          <w:tab w:val="num" w:pos="720"/>
        </w:tabs>
        <w:spacing w:before="240"/>
      </w:pPr>
      <w:r w:rsidRPr="006524DF">
        <w:t>Of the 1,264 non-investment projects</w:t>
      </w:r>
      <w:r w:rsidRPr="006524DF">
        <w:rPr>
          <w:rStyle w:val="FootnoteReference"/>
        </w:rPr>
        <w:footnoteReference w:id="4"/>
      </w:r>
      <w:r w:rsidRPr="006524DF">
        <w:t xml:space="preserve"> that have been completed, bilateral and IAs have submitted 1,234 PCRs, with a balance of 30 outstanding PCRs, as shown in Table 4. </w:t>
      </w:r>
    </w:p>
    <w:p w14:paraId="64664103" w14:textId="41EC062C" w:rsidR="00222C40" w:rsidRPr="006524DF" w:rsidRDefault="00222C40" w:rsidP="00605D6D">
      <w:pPr>
        <w:pStyle w:val="FootnoteText"/>
        <w:keepNext/>
        <w:keepLines/>
        <w:widowControl w:val="0"/>
        <w:ind w:left="14"/>
        <w:contextualSpacing/>
        <w:rPr>
          <w:b/>
          <w:sz w:val="21"/>
          <w:szCs w:val="21"/>
        </w:rPr>
      </w:pPr>
      <w:r w:rsidRPr="006524DF">
        <w:rPr>
          <w:b/>
          <w:sz w:val="21"/>
          <w:szCs w:val="21"/>
        </w:rPr>
        <w:t>Table 4. PCRs submitted for non-investment projects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867"/>
        <w:gridCol w:w="1868"/>
        <w:gridCol w:w="1867"/>
        <w:gridCol w:w="1868"/>
      </w:tblGrid>
      <w:tr w:rsidR="00996278" w:rsidRPr="006524DF" w14:paraId="6933F228" w14:textId="77777777" w:rsidTr="00996278">
        <w:trPr>
          <w:trHeight w:val="467"/>
          <w:tblHeader/>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7314D0B5" w14:textId="77777777" w:rsidR="00996278" w:rsidRPr="006524DF" w:rsidRDefault="00996278" w:rsidP="00996278">
            <w:pPr>
              <w:widowControl w:val="0"/>
              <w:jc w:val="left"/>
              <w:rPr>
                <w:b/>
                <w:color w:val="000000"/>
                <w:sz w:val="20"/>
                <w:szCs w:val="20"/>
              </w:rPr>
            </w:pPr>
            <w:r w:rsidRPr="006524DF">
              <w:rPr>
                <w:b/>
                <w:color w:val="000000"/>
                <w:sz w:val="20"/>
                <w:szCs w:val="20"/>
              </w:rPr>
              <w:t>Agency</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097AC84" w14:textId="77777777" w:rsidR="00996278" w:rsidRPr="006524DF" w:rsidRDefault="00996278" w:rsidP="00996278">
            <w:pPr>
              <w:widowControl w:val="0"/>
              <w:jc w:val="center"/>
              <w:rPr>
                <w:b/>
                <w:color w:val="000000"/>
                <w:sz w:val="20"/>
                <w:szCs w:val="20"/>
              </w:rPr>
            </w:pPr>
            <w:r w:rsidRPr="006524DF">
              <w:rPr>
                <w:b/>
                <w:color w:val="000000"/>
                <w:sz w:val="20"/>
                <w:szCs w:val="20"/>
              </w:rPr>
              <w:t>Completed</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5C1E1B3" w14:textId="79797CFF" w:rsidR="00996278" w:rsidRPr="006524DF" w:rsidRDefault="00996278" w:rsidP="00547E39">
            <w:pPr>
              <w:widowControl w:val="0"/>
              <w:jc w:val="center"/>
              <w:rPr>
                <w:b/>
                <w:sz w:val="20"/>
                <w:szCs w:val="20"/>
              </w:rPr>
            </w:pPr>
            <w:r w:rsidRPr="006524DF">
              <w:rPr>
                <w:b/>
                <w:sz w:val="20"/>
                <w:szCs w:val="20"/>
              </w:rPr>
              <w:t>Received prior 87</w:t>
            </w:r>
            <w:r w:rsidRPr="006524DF">
              <w:rPr>
                <w:b/>
                <w:sz w:val="20"/>
                <w:szCs w:val="20"/>
                <w:vertAlign w:val="superscript"/>
              </w:rPr>
              <w:t>th</w:t>
            </w:r>
            <w:r w:rsidR="00547E39" w:rsidRPr="006524DF">
              <w:rPr>
                <w:b/>
                <w:sz w:val="20"/>
                <w:szCs w:val="20"/>
              </w:rPr>
              <w:t> </w:t>
            </w:r>
            <w:r w:rsidRPr="006524DF">
              <w:rPr>
                <w:b/>
                <w:sz w:val="20"/>
                <w:szCs w:val="20"/>
              </w:rPr>
              <w:t>meeting</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9FC6E24" w14:textId="77777777" w:rsidR="00996278" w:rsidRPr="006524DF" w:rsidRDefault="00996278" w:rsidP="00996278">
            <w:pPr>
              <w:widowControl w:val="0"/>
              <w:jc w:val="center"/>
              <w:rPr>
                <w:b/>
                <w:sz w:val="20"/>
                <w:szCs w:val="20"/>
              </w:rPr>
            </w:pPr>
            <w:r w:rsidRPr="006524DF">
              <w:rPr>
                <w:b/>
                <w:sz w:val="20"/>
                <w:szCs w:val="20"/>
              </w:rPr>
              <w:t>Received after the 87</w:t>
            </w:r>
            <w:r w:rsidRPr="006524DF">
              <w:rPr>
                <w:b/>
                <w:sz w:val="20"/>
                <w:szCs w:val="20"/>
                <w:vertAlign w:val="superscript"/>
              </w:rPr>
              <w:t>th</w:t>
            </w:r>
            <w:r w:rsidRPr="006524DF">
              <w:rPr>
                <w:b/>
                <w:sz w:val="20"/>
                <w:szCs w:val="20"/>
              </w:rPr>
              <w:t xml:space="preserve"> meeting</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41A1F6A" w14:textId="77777777" w:rsidR="00996278" w:rsidRPr="006524DF" w:rsidRDefault="00996278" w:rsidP="00996278">
            <w:pPr>
              <w:widowControl w:val="0"/>
              <w:jc w:val="center"/>
              <w:rPr>
                <w:b/>
                <w:sz w:val="20"/>
                <w:szCs w:val="20"/>
              </w:rPr>
            </w:pPr>
            <w:r w:rsidRPr="006524DF">
              <w:rPr>
                <w:b/>
                <w:sz w:val="20"/>
                <w:szCs w:val="20"/>
              </w:rPr>
              <w:t>Outstanding</w:t>
            </w:r>
          </w:p>
        </w:tc>
      </w:tr>
      <w:tr w:rsidR="00996278" w:rsidRPr="006524DF" w14:paraId="28582CC1"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08DDE1C5" w14:textId="77777777" w:rsidR="00996278" w:rsidRPr="006524DF" w:rsidRDefault="00996278" w:rsidP="00996278">
            <w:pPr>
              <w:widowControl w:val="0"/>
              <w:jc w:val="left"/>
              <w:rPr>
                <w:color w:val="000000"/>
                <w:sz w:val="20"/>
                <w:szCs w:val="20"/>
              </w:rPr>
            </w:pPr>
            <w:r w:rsidRPr="006524DF">
              <w:rPr>
                <w:color w:val="000000"/>
                <w:sz w:val="20"/>
                <w:szCs w:val="20"/>
              </w:rPr>
              <w:t>Canada</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432AF1FF" w14:textId="77777777" w:rsidR="00996278" w:rsidRPr="006524DF" w:rsidRDefault="00996278" w:rsidP="007079A4">
            <w:pPr>
              <w:widowControl w:val="0"/>
              <w:jc w:val="right"/>
              <w:rPr>
                <w:sz w:val="20"/>
                <w:szCs w:val="20"/>
              </w:rPr>
            </w:pPr>
            <w:r w:rsidRPr="006524DF">
              <w:rPr>
                <w:sz w:val="20"/>
                <w:szCs w:val="20"/>
              </w:rPr>
              <w:t>57</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1929CA6" w14:textId="77777777" w:rsidR="00996278" w:rsidRPr="006524DF" w:rsidRDefault="00996278" w:rsidP="007079A4">
            <w:pPr>
              <w:widowControl w:val="0"/>
              <w:jc w:val="right"/>
              <w:rPr>
                <w:sz w:val="20"/>
                <w:szCs w:val="20"/>
              </w:rPr>
            </w:pPr>
            <w:r w:rsidRPr="006524DF">
              <w:rPr>
                <w:sz w:val="20"/>
                <w:szCs w:val="20"/>
              </w:rPr>
              <w:t>57</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090846A"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334B6DD"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5F81E004"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59B9B43D" w14:textId="77777777" w:rsidR="00996278" w:rsidRPr="006524DF" w:rsidRDefault="00996278" w:rsidP="00996278">
            <w:pPr>
              <w:widowControl w:val="0"/>
              <w:jc w:val="left"/>
              <w:rPr>
                <w:color w:val="000000"/>
                <w:sz w:val="20"/>
                <w:szCs w:val="20"/>
              </w:rPr>
            </w:pPr>
            <w:r w:rsidRPr="006524DF">
              <w:rPr>
                <w:color w:val="000000"/>
                <w:sz w:val="20"/>
                <w:szCs w:val="20"/>
              </w:rPr>
              <w:t>France</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444476FB" w14:textId="77777777" w:rsidR="00996278" w:rsidRPr="006524DF" w:rsidRDefault="00996278" w:rsidP="007079A4">
            <w:pPr>
              <w:widowControl w:val="0"/>
              <w:jc w:val="right"/>
              <w:rPr>
                <w:sz w:val="20"/>
                <w:szCs w:val="20"/>
              </w:rPr>
            </w:pPr>
            <w:r w:rsidRPr="006524DF">
              <w:rPr>
                <w:sz w:val="20"/>
                <w:szCs w:val="20"/>
              </w:rPr>
              <w:t>34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1954777" w14:textId="77777777" w:rsidR="00996278" w:rsidRPr="006524DF" w:rsidRDefault="00996278" w:rsidP="007079A4">
            <w:pPr>
              <w:widowControl w:val="0"/>
              <w:jc w:val="right"/>
              <w:rPr>
                <w:sz w:val="20"/>
                <w:szCs w:val="20"/>
              </w:rPr>
            </w:pPr>
            <w:r w:rsidRPr="006524DF">
              <w:rPr>
                <w:sz w:val="20"/>
                <w:szCs w:val="20"/>
              </w:rPr>
              <w:t>34</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6E35043"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98ADE5F"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0C8B835B"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47BDCE3" w14:textId="77777777" w:rsidR="00996278" w:rsidRPr="006524DF" w:rsidRDefault="00996278" w:rsidP="00996278">
            <w:pPr>
              <w:widowControl w:val="0"/>
              <w:jc w:val="left"/>
              <w:rPr>
                <w:color w:val="000000"/>
                <w:sz w:val="20"/>
                <w:szCs w:val="20"/>
              </w:rPr>
            </w:pPr>
            <w:r w:rsidRPr="006524DF">
              <w:rPr>
                <w:color w:val="000000"/>
                <w:sz w:val="20"/>
                <w:szCs w:val="20"/>
              </w:rPr>
              <w:t>Germany</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6ED5A55D" w14:textId="77777777" w:rsidR="00996278" w:rsidRPr="006524DF" w:rsidRDefault="00996278" w:rsidP="007079A4">
            <w:pPr>
              <w:widowControl w:val="0"/>
              <w:jc w:val="right"/>
              <w:rPr>
                <w:sz w:val="20"/>
                <w:szCs w:val="20"/>
              </w:rPr>
            </w:pPr>
            <w:r w:rsidRPr="006524DF">
              <w:rPr>
                <w:sz w:val="20"/>
                <w:szCs w:val="20"/>
              </w:rPr>
              <w:t>62</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535C3C5" w14:textId="77777777" w:rsidR="00996278" w:rsidRPr="006524DF" w:rsidRDefault="00996278" w:rsidP="007079A4">
            <w:pPr>
              <w:widowControl w:val="0"/>
              <w:jc w:val="right"/>
              <w:rPr>
                <w:sz w:val="20"/>
                <w:szCs w:val="20"/>
              </w:rPr>
            </w:pPr>
            <w:r w:rsidRPr="006524DF">
              <w:rPr>
                <w:sz w:val="20"/>
                <w:szCs w:val="20"/>
              </w:rPr>
              <w:t>60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AA40E18" w14:textId="77777777" w:rsidR="00996278" w:rsidRPr="006524DF" w:rsidRDefault="00996278" w:rsidP="007079A4">
            <w:pPr>
              <w:widowControl w:val="0"/>
              <w:jc w:val="right"/>
              <w:rPr>
                <w:sz w:val="20"/>
                <w:szCs w:val="20"/>
              </w:rPr>
            </w:pPr>
            <w:r w:rsidRPr="006524DF">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2BD8B09" w14:textId="77777777" w:rsidR="00996278" w:rsidRPr="006524DF" w:rsidRDefault="00996278" w:rsidP="007079A4">
            <w:pPr>
              <w:widowControl w:val="0"/>
              <w:jc w:val="right"/>
              <w:rPr>
                <w:sz w:val="20"/>
                <w:szCs w:val="20"/>
              </w:rPr>
            </w:pPr>
            <w:r w:rsidRPr="006524DF">
              <w:rPr>
                <w:sz w:val="20"/>
                <w:szCs w:val="20"/>
              </w:rPr>
              <w:t>1</w:t>
            </w:r>
          </w:p>
        </w:tc>
      </w:tr>
      <w:tr w:rsidR="00996278" w:rsidRPr="006524DF" w14:paraId="3C25CC99"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5F3AFE8B" w14:textId="77777777" w:rsidR="00996278" w:rsidRPr="006524DF" w:rsidRDefault="00996278" w:rsidP="00996278">
            <w:pPr>
              <w:widowControl w:val="0"/>
              <w:jc w:val="left"/>
              <w:rPr>
                <w:color w:val="000000"/>
                <w:sz w:val="20"/>
                <w:szCs w:val="20"/>
              </w:rPr>
            </w:pPr>
            <w:r w:rsidRPr="006524DF">
              <w:rPr>
                <w:color w:val="000000"/>
                <w:sz w:val="20"/>
                <w:szCs w:val="20"/>
              </w:rPr>
              <w:t>Japan</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7543F515" w14:textId="77777777" w:rsidR="00996278" w:rsidRPr="006524DF" w:rsidRDefault="00996278" w:rsidP="007079A4">
            <w:pPr>
              <w:widowControl w:val="0"/>
              <w:jc w:val="right"/>
              <w:rPr>
                <w:sz w:val="20"/>
                <w:szCs w:val="20"/>
              </w:rPr>
            </w:pPr>
            <w:r w:rsidRPr="006524DF">
              <w:rPr>
                <w:sz w:val="20"/>
                <w:szCs w:val="20"/>
              </w:rPr>
              <w:t>17</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B1E179F" w14:textId="77777777" w:rsidR="00996278" w:rsidRPr="006524DF" w:rsidRDefault="00996278" w:rsidP="007079A4">
            <w:pPr>
              <w:widowControl w:val="0"/>
              <w:jc w:val="right"/>
              <w:rPr>
                <w:sz w:val="20"/>
                <w:szCs w:val="20"/>
              </w:rPr>
            </w:pPr>
            <w:r w:rsidRPr="006524DF">
              <w:rPr>
                <w:sz w:val="20"/>
                <w:szCs w:val="20"/>
              </w:rPr>
              <w:t>17</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C7D054D"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4341534F"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0B819E2D"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126EDB0" w14:textId="77777777" w:rsidR="00996278" w:rsidRPr="006524DF" w:rsidRDefault="00996278" w:rsidP="00996278">
            <w:pPr>
              <w:widowControl w:val="0"/>
              <w:jc w:val="left"/>
              <w:rPr>
                <w:color w:val="000000"/>
                <w:sz w:val="20"/>
                <w:szCs w:val="20"/>
              </w:rPr>
            </w:pPr>
            <w:r w:rsidRPr="006524DF">
              <w:rPr>
                <w:color w:val="000000"/>
                <w:sz w:val="20"/>
                <w:szCs w:val="20"/>
              </w:rPr>
              <w:t>Portugal</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1D794631" w14:textId="77777777" w:rsidR="00996278" w:rsidRPr="006524DF" w:rsidRDefault="00996278" w:rsidP="007079A4">
            <w:pPr>
              <w:widowControl w:val="0"/>
              <w:jc w:val="right"/>
              <w:rPr>
                <w:sz w:val="20"/>
                <w:szCs w:val="20"/>
              </w:rPr>
            </w:pPr>
            <w:r w:rsidRPr="006524DF">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08683B1" w14:textId="77777777" w:rsidR="00996278" w:rsidRPr="006524DF" w:rsidRDefault="00996278" w:rsidP="007079A4">
            <w:pPr>
              <w:widowControl w:val="0"/>
              <w:jc w:val="right"/>
              <w:rPr>
                <w:sz w:val="20"/>
                <w:szCs w:val="20"/>
              </w:rPr>
            </w:pPr>
            <w:r w:rsidRPr="006524DF">
              <w:rPr>
                <w:sz w:val="20"/>
                <w:szCs w:val="20"/>
              </w:rPr>
              <w:t>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376F87D"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627AF6D" w14:textId="77777777" w:rsidR="00996278" w:rsidRPr="006524DF" w:rsidRDefault="00996278" w:rsidP="007079A4">
            <w:pPr>
              <w:widowControl w:val="0"/>
              <w:jc w:val="right"/>
              <w:rPr>
                <w:sz w:val="20"/>
                <w:szCs w:val="20"/>
              </w:rPr>
            </w:pPr>
            <w:r w:rsidRPr="006524DF">
              <w:rPr>
                <w:sz w:val="20"/>
                <w:szCs w:val="20"/>
              </w:rPr>
              <w:t>1</w:t>
            </w:r>
          </w:p>
        </w:tc>
      </w:tr>
      <w:tr w:rsidR="00996278" w:rsidRPr="006524DF" w14:paraId="4A6EBA6D"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tcPr>
          <w:p w14:paraId="069DD2F5" w14:textId="77777777" w:rsidR="00996278" w:rsidRPr="006524DF" w:rsidRDefault="00996278" w:rsidP="00996278">
            <w:pPr>
              <w:widowControl w:val="0"/>
              <w:jc w:val="left"/>
              <w:rPr>
                <w:color w:val="000000"/>
                <w:sz w:val="20"/>
                <w:szCs w:val="20"/>
              </w:rPr>
            </w:pPr>
            <w:r w:rsidRPr="006524DF">
              <w:rPr>
                <w:color w:val="000000"/>
                <w:sz w:val="20"/>
                <w:szCs w:val="20"/>
              </w:rPr>
              <w:t>Russian Federation</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tcPr>
          <w:p w14:paraId="6FB2B3BA" w14:textId="77777777" w:rsidR="00996278" w:rsidRPr="006524DF" w:rsidRDefault="00996278" w:rsidP="007079A4">
            <w:pPr>
              <w:widowControl w:val="0"/>
              <w:jc w:val="right"/>
              <w:rPr>
                <w:sz w:val="20"/>
                <w:szCs w:val="20"/>
              </w:rPr>
            </w:pPr>
            <w:r w:rsidRPr="006524DF">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tcPr>
          <w:p w14:paraId="35A5E5A6" w14:textId="77777777" w:rsidR="00996278" w:rsidRPr="006524DF" w:rsidRDefault="00996278" w:rsidP="007079A4">
            <w:pPr>
              <w:widowControl w:val="0"/>
              <w:jc w:val="right"/>
              <w:rPr>
                <w:sz w:val="20"/>
                <w:szCs w:val="20"/>
              </w:rPr>
            </w:pPr>
            <w:r w:rsidRPr="006524DF">
              <w:rPr>
                <w:sz w:val="20"/>
                <w:szCs w:val="20"/>
              </w:rPr>
              <w:t>0</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tcPr>
          <w:p w14:paraId="3867ED8B" w14:textId="77777777" w:rsidR="00996278" w:rsidRPr="006524DF" w:rsidRDefault="00996278" w:rsidP="007079A4">
            <w:pPr>
              <w:widowControl w:val="0"/>
              <w:jc w:val="right"/>
              <w:rPr>
                <w:sz w:val="20"/>
                <w:szCs w:val="20"/>
              </w:rPr>
            </w:pPr>
            <w:r w:rsidRPr="006524DF">
              <w:rPr>
                <w:sz w:val="20"/>
                <w:szCs w:val="20"/>
              </w:rPr>
              <w:t>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tcPr>
          <w:p w14:paraId="0610B7FB"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5C469839"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4F2C1D0" w14:textId="77777777" w:rsidR="00996278" w:rsidRPr="006524DF" w:rsidRDefault="00996278" w:rsidP="00996278">
            <w:pPr>
              <w:widowControl w:val="0"/>
              <w:jc w:val="left"/>
              <w:rPr>
                <w:color w:val="000000"/>
                <w:sz w:val="20"/>
                <w:szCs w:val="20"/>
              </w:rPr>
            </w:pPr>
            <w:r w:rsidRPr="006524DF">
              <w:rPr>
                <w:color w:val="000000"/>
                <w:sz w:val="20"/>
                <w:szCs w:val="20"/>
              </w:rPr>
              <w:t>UNDP</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400216B7" w14:textId="77777777" w:rsidR="00996278" w:rsidRPr="006524DF" w:rsidRDefault="00996278" w:rsidP="007079A4">
            <w:pPr>
              <w:widowControl w:val="0"/>
              <w:jc w:val="right"/>
              <w:rPr>
                <w:sz w:val="20"/>
                <w:szCs w:val="20"/>
              </w:rPr>
            </w:pPr>
            <w:r w:rsidRPr="006524DF">
              <w:rPr>
                <w:sz w:val="20"/>
                <w:szCs w:val="20"/>
              </w:rPr>
              <w:t>299</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B2E2F44" w14:textId="77777777" w:rsidR="00996278" w:rsidRPr="006524DF" w:rsidRDefault="00996278" w:rsidP="007079A4">
            <w:pPr>
              <w:widowControl w:val="0"/>
              <w:jc w:val="right"/>
              <w:rPr>
                <w:sz w:val="20"/>
                <w:szCs w:val="20"/>
              </w:rPr>
            </w:pPr>
            <w:r w:rsidRPr="006524DF">
              <w:rPr>
                <w:sz w:val="20"/>
                <w:szCs w:val="20"/>
              </w:rPr>
              <w:t>295</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5D813CE"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D7C7FFA" w14:textId="77777777" w:rsidR="00996278" w:rsidRPr="006524DF" w:rsidRDefault="00996278" w:rsidP="007079A4">
            <w:pPr>
              <w:widowControl w:val="0"/>
              <w:jc w:val="right"/>
              <w:rPr>
                <w:sz w:val="20"/>
                <w:szCs w:val="20"/>
              </w:rPr>
            </w:pPr>
            <w:r w:rsidRPr="006524DF">
              <w:rPr>
                <w:sz w:val="20"/>
                <w:szCs w:val="20"/>
              </w:rPr>
              <w:t>4</w:t>
            </w:r>
          </w:p>
        </w:tc>
      </w:tr>
      <w:tr w:rsidR="00996278" w:rsidRPr="006524DF" w14:paraId="176F3209"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B4AAD08" w14:textId="77777777" w:rsidR="00996278" w:rsidRPr="006524DF" w:rsidRDefault="00996278" w:rsidP="00996278">
            <w:pPr>
              <w:widowControl w:val="0"/>
              <w:jc w:val="left"/>
              <w:rPr>
                <w:color w:val="000000"/>
                <w:sz w:val="20"/>
                <w:szCs w:val="20"/>
              </w:rPr>
            </w:pPr>
            <w:r w:rsidRPr="006524DF">
              <w:rPr>
                <w:color w:val="000000"/>
                <w:sz w:val="20"/>
                <w:szCs w:val="20"/>
              </w:rPr>
              <w:t>UNEP</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1ADCDC15" w14:textId="77777777" w:rsidR="00996278" w:rsidRPr="006524DF" w:rsidRDefault="00996278" w:rsidP="007079A4">
            <w:pPr>
              <w:widowControl w:val="0"/>
              <w:jc w:val="right"/>
              <w:rPr>
                <w:sz w:val="20"/>
                <w:szCs w:val="20"/>
              </w:rPr>
            </w:pPr>
            <w:r w:rsidRPr="006524DF">
              <w:rPr>
                <w:sz w:val="20"/>
                <w:szCs w:val="20"/>
              </w:rPr>
              <w:t>498</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5F3D2BE" w14:textId="77777777" w:rsidR="00996278" w:rsidRPr="006524DF" w:rsidRDefault="00996278" w:rsidP="007079A4">
            <w:pPr>
              <w:widowControl w:val="0"/>
              <w:jc w:val="right"/>
              <w:rPr>
                <w:sz w:val="20"/>
                <w:szCs w:val="20"/>
              </w:rPr>
            </w:pPr>
            <w:r w:rsidRPr="006524DF">
              <w:rPr>
                <w:sz w:val="20"/>
                <w:szCs w:val="20"/>
              </w:rPr>
              <w:t>472</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5E896F2" w14:textId="77777777" w:rsidR="00996278" w:rsidRPr="006524DF" w:rsidRDefault="00996278" w:rsidP="007079A4">
            <w:pPr>
              <w:widowControl w:val="0"/>
              <w:jc w:val="right"/>
              <w:rPr>
                <w:sz w:val="20"/>
                <w:szCs w:val="20"/>
              </w:rPr>
            </w:pPr>
            <w:r w:rsidRPr="006524DF">
              <w:rPr>
                <w:sz w:val="20"/>
                <w:szCs w:val="20"/>
              </w:rPr>
              <w:t>11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6F3862D" w14:textId="77777777" w:rsidR="00996278" w:rsidRPr="006524DF" w:rsidRDefault="00996278" w:rsidP="007079A4">
            <w:pPr>
              <w:widowControl w:val="0"/>
              <w:jc w:val="right"/>
              <w:rPr>
                <w:sz w:val="20"/>
                <w:szCs w:val="20"/>
              </w:rPr>
            </w:pPr>
            <w:r w:rsidRPr="006524DF">
              <w:rPr>
                <w:sz w:val="20"/>
                <w:szCs w:val="20"/>
              </w:rPr>
              <w:t>15</w:t>
            </w:r>
          </w:p>
        </w:tc>
      </w:tr>
      <w:tr w:rsidR="00996278" w:rsidRPr="006524DF" w14:paraId="40D9F976"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1FDF33E6" w14:textId="77777777" w:rsidR="00996278" w:rsidRPr="006524DF" w:rsidRDefault="00996278" w:rsidP="00996278">
            <w:pPr>
              <w:widowControl w:val="0"/>
              <w:jc w:val="left"/>
              <w:rPr>
                <w:color w:val="000000"/>
                <w:sz w:val="20"/>
                <w:szCs w:val="20"/>
              </w:rPr>
            </w:pPr>
            <w:r w:rsidRPr="006524DF">
              <w:rPr>
                <w:color w:val="000000"/>
                <w:sz w:val="20"/>
                <w:szCs w:val="20"/>
              </w:rPr>
              <w:t>UNIDO</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50D6D3F9" w14:textId="77777777" w:rsidR="00996278" w:rsidRPr="006524DF" w:rsidRDefault="00996278" w:rsidP="007079A4">
            <w:pPr>
              <w:widowControl w:val="0"/>
              <w:jc w:val="right"/>
              <w:rPr>
                <w:sz w:val="20"/>
                <w:szCs w:val="20"/>
              </w:rPr>
            </w:pPr>
            <w:r w:rsidRPr="006524DF">
              <w:rPr>
                <w:sz w:val="20"/>
                <w:szCs w:val="20"/>
              </w:rPr>
              <w:t>160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C8ED3FE" w14:textId="77777777" w:rsidR="00996278" w:rsidRPr="006524DF" w:rsidRDefault="00996278" w:rsidP="007079A4">
            <w:pPr>
              <w:widowControl w:val="0"/>
              <w:jc w:val="right"/>
              <w:rPr>
                <w:sz w:val="20"/>
                <w:szCs w:val="20"/>
              </w:rPr>
            </w:pPr>
            <w:r w:rsidRPr="006524DF">
              <w:rPr>
                <w:sz w:val="20"/>
                <w:szCs w:val="20"/>
              </w:rPr>
              <w:t>154</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E679D9F"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816E19D" w14:textId="77777777" w:rsidR="00996278" w:rsidRPr="006524DF" w:rsidRDefault="00996278" w:rsidP="007079A4">
            <w:pPr>
              <w:widowControl w:val="0"/>
              <w:jc w:val="right"/>
              <w:rPr>
                <w:sz w:val="20"/>
                <w:szCs w:val="20"/>
              </w:rPr>
            </w:pPr>
            <w:r w:rsidRPr="006524DF">
              <w:rPr>
                <w:sz w:val="20"/>
                <w:szCs w:val="20"/>
              </w:rPr>
              <w:t>6</w:t>
            </w:r>
          </w:p>
        </w:tc>
      </w:tr>
      <w:tr w:rsidR="00996278" w:rsidRPr="006524DF" w14:paraId="1561280F"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0543EAE7" w14:textId="77777777" w:rsidR="00996278" w:rsidRPr="006524DF" w:rsidRDefault="00996278" w:rsidP="00996278">
            <w:pPr>
              <w:widowControl w:val="0"/>
              <w:jc w:val="left"/>
              <w:rPr>
                <w:color w:val="000000"/>
                <w:sz w:val="20"/>
                <w:szCs w:val="20"/>
              </w:rPr>
            </w:pPr>
            <w:r w:rsidRPr="006524DF">
              <w:rPr>
                <w:color w:val="000000"/>
                <w:sz w:val="20"/>
                <w:szCs w:val="20"/>
              </w:rPr>
              <w:t>World Bank</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19975AE4" w14:textId="77777777" w:rsidR="00996278" w:rsidRPr="006524DF" w:rsidRDefault="00996278" w:rsidP="007079A4">
            <w:pPr>
              <w:widowControl w:val="0"/>
              <w:jc w:val="right"/>
              <w:rPr>
                <w:sz w:val="20"/>
                <w:szCs w:val="20"/>
              </w:rPr>
            </w:pPr>
            <w:r w:rsidRPr="006524DF">
              <w:rPr>
                <w:sz w:val="20"/>
                <w:szCs w:val="20"/>
              </w:rPr>
              <w:t>44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E868E6E" w14:textId="77777777" w:rsidR="00996278" w:rsidRPr="006524DF" w:rsidRDefault="00996278" w:rsidP="007079A4">
            <w:pPr>
              <w:widowControl w:val="0"/>
              <w:jc w:val="right"/>
              <w:rPr>
                <w:sz w:val="20"/>
                <w:szCs w:val="20"/>
              </w:rPr>
            </w:pPr>
            <w:r w:rsidRPr="006524DF">
              <w:rPr>
                <w:sz w:val="20"/>
                <w:szCs w:val="20"/>
              </w:rPr>
              <w:t>41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6B12F53D"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15718D9" w14:textId="77777777" w:rsidR="00996278" w:rsidRPr="006524DF" w:rsidRDefault="00996278" w:rsidP="007079A4">
            <w:pPr>
              <w:widowControl w:val="0"/>
              <w:jc w:val="right"/>
              <w:rPr>
                <w:sz w:val="20"/>
                <w:szCs w:val="20"/>
              </w:rPr>
            </w:pPr>
            <w:r w:rsidRPr="006524DF">
              <w:rPr>
                <w:sz w:val="20"/>
                <w:szCs w:val="20"/>
              </w:rPr>
              <w:t>3</w:t>
            </w:r>
          </w:p>
        </w:tc>
      </w:tr>
      <w:tr w:rsidR="00996278" w:rsidRPr="006524DF" w14:paraId="0A569B41"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4B4A7827" w14:textId="77777777" w:rsidR="00996278" w:rsidRPr="006524DF" w:rsidRDefault="00996278" w:rsidP="00996278">
            <w:pPr>
              <w:widowControl w:val="0"/>
              <w:jc w:val="left"/>
              <w:rPr>
                <w:color w:val="000000"/>
                <w:sz w:val="20"/>
                <w:szCs w:val="20"/>
              </w:rPr>
            </w:pPr>
            <w:r w:rsidRPr="006524DF">
              <w:rPr>
                <w:color w:val="000000"/>
                <w:sz w:val="20"/>
                <w:szCs w:val="20"/>
              </w:rPr>
              <w:t>Others</w:t>
            </w:r>
            <w:r w:rsidRPr="006524DF">
              <w:rPr>
                <w:rStyle w:val="FootnoteReference"/>
                <w:color w:val="000000"/>
                <w:sz w:val="20"/>
                <w:szCs w:val="20"/>
              </w:rPr>
              <w:footnoteReference w:id="5"/>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02F04C8F" w14:textId="77777777" w:rsidR="00996278" w:rsidRPr="006524DF" w:rsidRDefault="00996278" w:rsidP="007079A4">
            <w:pPr>
              <w:widowControl w:val="0"/>
              <w:jc w:val="right"/>
              <w:rPr>
                <w:sz w:val="20"/>
                <w:szCs w:val="20"/>
              </w:rPr>
            </w:pPr>
            <w:r w:rsidRPr="006524DF">
              <w:rPr>
                <w:sz w:val="20"/>
                <w:szCs w:val="20"/>
              </w:rPr>
              <w:t>91</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57B5BC00" w14:textId="77777777" w:rsidR="00996278" w:rsidRPr="006524DF" w:rsidRDefault="00996278" w:rsidP="007079A4">
            <w:pPr>
              <w:widowControl w:val="0"/>
              <w:jc w:val="right"/>
              <w:rPr>
                <w:sz w:val="20"/>
                <w:szCs w:val="20"/>
              </w:rPr>
            </w:pPr>
            <w:r w:rsidRPr="006524DF">
              <w:rPr>
                <w:sz w:val="20"/>
                <w:szCs w:val="20"/>
              </w:rPr>
              <w:t>91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1FA32BA" w14:textId="77777777" w:rsidR="00996278" w:rsidRPr="006524DF" w:rsidRDefault="00996278" w:rsidP="007079A4">
            <w:pPr>
              <w:widowControl w:val="0"/>
              <w:jc w:val="right"/>
              <w:rPr>
                <w:sz w:val="20"/>
                <w:szCs w:val="20"/>
              </w:rPr>
            </w:pPr>
            <w:r w:rsidRPr="006524DF">
              <w:rPr>
                <w:sz w:val="20"/>
                <w:szCs w:val="20"/>
              </w:rPr>
              <w:t>0</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2678FB8A" w14:textId="77777777" w:rsidR="00996278" w:rsidRPr="006524DF" w:rsidRDefault="00996278" w:rsidP="007079A4">
            <w:pPr>
              <w:widowControl w:val="0"/>
              <w:jc w:val="right"/>
              <w:rPr>
                <w:sz w:val="20"/>
                <w:szCs w:val="20"/>
              </w:rPr>
            </w:pPr>
            <w:r w:rsidRPr="006524DF">
              <w:rPr>
                <w:sz w:val="20"/>
                <w:szCs w:val="20"/>
              </w:rPr>
              <w:t>0</w:t>
            </w:r>
          </w:p>
        </w:tc>
      </w:tr>
      <w:tr w:rsidR="00996278" w:rsidRPr="006524DF" w14:paraId="16E43111" w14:textId="77777777" w:rsidTr="007079A4">
        <w:trPr>
          <w:trHeight w:val="233"/>
        </w:trPr>
        <w:tc>
          <w:tcPr>
            <w:tcW w:w="1890" w:type="dxa"/>
            <w:tcBorders>
              <w:top w:val="single" w:sz="4" w:space="0" w:color="auto"/>
              <w:left w:val="single" w:sz="4" w:space="0" w:color="auto"/>
              <w:bottom w:val="single" w:sz="4" w:space="0" w:color="auto"/>
              <w:right w:val="single" w:sz="4" w:space="0" w:color="auto"/>
            </w:tcBorders>
            <w:noWrap/>
            <w:vAlign w:val="center"/>
            <w:hideMark/>
          </w:tcPr>
          <w:p w14:paraId="378EAFFB" w14:textId="77777777" w:rsidR="00996278" w:rsidRPr="006524DF" w:rsidRDefault="00996278" w:rsidP="00996278">
            <w:pPr>
              <w:widowControl w:val="0"/>
              <w:suppressAutoHyphens/>
              <w:jc w:val="left"/>
              <w:rPr>
                <w:b/>
                <w:snapToGrid w:val="0"/>
                <w:sz w:val="20"/>
                <w:szCs w:val="20"/>
              </w:rPr>
            </w:pPr>
            <w:r w:rsidRPr="006524DF">
              <w:rPr>
                <w:b/>
                <w:snapToGrid w:val="0"/>
                <w:sz w:val="20"/>
                <w:szCs w:val="20"/>
              </w:rPr>
              <w:t>Total</w:t>
            </w:r>
          </w:p>
        </w:tc>
        <w:tc>
          <w:tcPr>
            <w:tcW w:w="1867"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432" w:type="dxa"/>
            </w:tcMar>
            <w:hideMark/>
          </w:tcPr>
          <w:p w14:paraId="7801FFD4" w14:textId="77777777" w:rsidR="00996278" w:rsidRPr="006524DF" w:rsidRDefault="00996278" w:rsidP="007079A4">
            <w:pPr>
              <w:widowControl w:val="0"/>
              <w:suppressAutoHyphens/>
              <w:jc w:val="right"/>
              <w:rPr>
                <w:b/>
                <w:snapToGrid w:val="0"/>
                <w:sz w:val="20"/>
                <w:szCs w:val="20"/>
              </w:rPr>
            </w:pPr>
            <w:r w:rsidRPr="006524DF">
              <w:rPr>
                <w:b/>
                <w:sz w:val="20"/>
                <w:szCs w:val="20"/>
              </w:rPr>
              <w:t>1,264</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7FC06B70" w14:textId="77777777" w:rsidR="00996278" w:rsidRPr="006524DF" w:rsidRDefault="00996278" w:rsidP="007079A4">
            <w:pPr>
              <w:widowControl w:val="0"/>
              <w:suppressAutoHyphens/>
              <w:jc w:val="right"/>
              <w:rPr>
                <w:b/>
                <w:snapToGrid w:val="0"/>
                <w:sz w:val="20"/>
                <w:szCs w:val="20"/>
              </w:rPr>
            </w:pPr>
            <w:r w:rsidRPr="006524DF">
              <w:rPr>
                <w:b/>
                <w:sz w:val="20"/>
                <w:szCs w:val="20"/>
              </w:rPr>
              <w:t>1,221</w:t>
            </w:r>
          </w:p>
        </w:tc>
        <w:tc>
          <w:tcPr>
            <w:tcW w:w="1867"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3E6989C" w14:textId="77777777" w:rsidR="00996278" w:rsidRPr="006524DF" w:rsidRDefault="00996278" w:rsidP="007079A4">
            <w:pPr>
              <w:widowControl w:val="0"/>
              <w:suppressAutoHyphens/>
              <w:jc w:val="right"/>
              <w:rPr>
                <w:b/>
                <w:snapToGrid w:val="0"/>
                <w:sz w:val="20"/>
                <w:szCs w:val="20"/>
              </w:rPr>
            </w:pPr>
            <w:r w:rsidRPr="006524DF">
              <w:rPr>
                <w:b/>
                <w:sz w:val="20"/>
                <w:szCs w:val="20"/>
              </w:rPr>
              <w:t>13</w:t>
            </w:r>
          </w:p>
        </w:tc>
        <w:tc>
          <w:tcPr>
            <w:tcW w:w="1868" w:type="dxa"/>
            <w:tcBorders>
              <w:top w:val="single" w:sz="4" w:space="0" w:color="auto"/>
              <w:left w:val="single" w:sz="4" w:space="0" w:color="auto"/>
              <w:bottom w:val="single" w:sz="4" w:space="0" w:color="auto"/>
              <w:right w:val="single" w:sz="4" w:space="0" w:color="auto"/>
            </w:tcBorders>
            <w:tcMar>
              <w:top w:w="0" w:type="dxa"/>
              <w:left w:w="0" w:type="dxa"/>
              <w:bottom w:w="0" w:type="dxa"/>
              <w:right w:w="432" w:type="dxa"/>
            </w:tcMar>
            <w:hideMark/>
          </w:tcPr>
          <w:p w14:paraId="107941F6" w14:textId="77777777" w:rsidR="00996278" w:rsidRPr="006524DF" w:rsidRDefault="00996278" w:rsidP="007079A4">
            <w:pPr>
              <w:widowControl w:val="0"/>
              <w:suppressAutoHyphens/>
              <w:jc w:val="right"/>
              <w:rPr>
                <w:b/>
                <w:snapToGrid w:val="0"/>
                <w:sz w:val="20"/>
                <w:szCs w:val="20"/>
              </w:rPr>
            </w:pPr>
            <w:r w:rsidRPr="006524DF">
              <w:rPr>
                <w:b/>
                <w:sz w:val="20"/>
                <w:szCs w:val="20"/>
              </w:rPr>
              <w:t>30</w:t>
            </w:r>
          </w:p>
        </w:tc>
      </w:tr>
    </w:tbl>
    <w:p w14:paraId="580A7DD2" w14:textId="51EABA9F" w:rsidR="00222C40" w:rsidRPr="006524DF" w:rsidRDefault="000717D0" w:rsidP="00605D6D">
      <w:pPr>
        <w:pStyle w:val="Heading1"/>
        <w:widowControl w:val="0"/>
        <w:tabs>
          <w:tab w:val="clear" w:pos="0"/>
          <w:tab w:val="num" w:pos="720"/>
        </w:tabs>
        <w:spacing w:before="240"/>
        <w:rPr>
          <w:lang w:val="en-CA"/>
        </w:rPr>
      </w:pPr>
      <w:r w:rsidRPr="006524DF">
        <w:t xml:space="preserve">The list of </w:t>
      </w:r>
      <w:r w:rsidR="00222C40" w:rsidRPr="006524DF">
        <w:t xml:space="preserve">non-investment </w:t>
      </w:r>
      <w:r w:rsidR="000F7A2D" w:rsidRPr="006524DF">
        <w:t>received after the 87</w:t>
      </w:r>
      <w:r w:rsidR="00222C40" w:rsidRPr="006524DF">
        <w:rPr>
          <w:vertAlign w:val="superscript"/>
        </w:rPr>
        <w:t>th</w:t>
      </w:r>
      <w:r w:rsidR="00222C40" w:rsidRPr="006524DF">
        <w:t xml:space="preserve"> meeting is contained in Annex II to the present document. The aggregated results relevant to disbursement, actual phase-out and delays are shown in Table 5.</w:t>
      </w:r>
    </w:p>
    <w:p w14:paraId="2589C4CC" w14:textId="77777777" w:rsidR="00222C40" w:rsidRPr="006524DF" w:rsidRDefault="00222C40" w:rsidP="00605D6D">
      <w:pPr>
        <w:pStyle w:val="Heading1"/>
        <w:keepNext/>
        <w:keepLines/>
        <w:widowControl w:val="0"/>
        <w:numPr>
          <w:ilvl w:val="0"/>
          <w:numId w:val="0"/>
        </w:numPr>
        <w:tabs>
          <w:tab w:val="left" w:pos="720"/>
        </w:tabs>
        <w:spacing w:after="0"/>
        <w:rPr>
          <w:b/>
          <w:sz w:val="21"/>
          <w:szCs w:val="21"/>
        </w:rPr>
      </w:pPr>
      <w:r w:rsidRPr="006524DF">
        <w:rPr>
          <w:b/>
          <w:sz w:val="21"/>
          <w:szCs w:val="21"/>
        </w:rPr>
        <w:lastRenderedPageBreak/>
        <w:t>Table 5. Overview of the budget, ODS phased out and delay of individual projects submitted after the 8</w:t>
      </w:r>
      <w:r w:rsidR="00200F77" w:rsidRPr="006524DF">
        <w:rPr>
          <w:b/>
          <w:sz w:val="21"/>
          <w:szCs w:val="21"/>
        </w:rPr>
        <w:t>7</w:t>
      </w:r>
      <w:r w:rsidRPr="006524DF">
        <w:rPr>
          <w:b/>
          <w:sz w:val="21"/>
          <w:szCs w:val="21"/>
          <w:vertAlign w:val="superscript"/>
        </w:rPr>
        <w:t>th</w:t>
      </w:r>
      <w:r w:rsidR="00DA1B61" w:rsidRPr="006524DF">
        <w:rPr>
          <w:b/>
          <w:sz w:val="21"/>
          <w:szCs w:val="21"/>
        </w:rPr>
        <w:t> </w:t>
      </w:r>
      <w:r w:rsidRPr="006524DF">
        <w:rPr>
          <w:b/>
          <w:sz w:val="21"/>
          <w:szCs w:val="21"/>
        </w:rPr>
        <w:t>meeting</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039"/>
        <w:gridCol w:w="1179"/>
        <w:gridCol w:w="1179"/>
        <w:gridCol w:w="1179"/>
        <w:gridCol w:w="1179"/>
        <w:gridCol w:w="1179"/>
        <w:gridCol w:w="1179"/>
      </w:tblGrid>
      <w:tr w:rsidR="00222C40" w:rsidRPr="006524DF" w14:paraId="47EAF265" w14:textId="77777777" w:rsidTr="00996278">
        <w:trPr>
          <w:tblHeader/>
        </w:trPr>
        <w:tc>
          <w:tcPr>
            <w:tcW w:w="1247" w:type="dxa"/>
            <w:vMerge w:val="restart"/>
            <w:shd w:val="clear" w:color="auto" w:fill="auto"/>
            <w:vAlign w:val="center"/>
            <w:hideMark/>
          </w:tcPr>
          <w:p w14:paraId="314F81FA" w14:textId="77777777" w:rsidR="00222C40" w:rsidRPr="006524DF" w:rsidRDefault="00222C40" w:rsidP="00605D6D">
            <w:pPr>
              <w:widowControl w:val="0"/>
              <w:jc w:val="left"/>
              <w:rPr>
                <w:b/>
                <w:bCs/>
                <w:sz w:val="20"/>
                <w:szCs w:val="20"/>
                <w:lang w:val="en-CA" w:eastAsia="en-CA"/>
              </w:rPr>
            </w:pPr>
            <w:r w:rsidRPr="006524DF">
              <w:rPr>
                <w:b/>
                <w:bCs/>
                <w:sz w:val="20"/>
                <w:szCs w:val="20"/>
                <w:lang w:val="en-CA" w:eastAsia="en-CA"/>
              </w:rPr>
              <w:t>Agency</w:t>
            </w:r>
          </w:p>
        </w:tc>
        <w:tc>
          <w:tcPr>
            <w:tcW w:w="1039" w:type="dxa"/>
            <w:vMerge w:val="restart"/>
            <w:shd w:val="clear" w:color="auto" w:fill="auto"/>
            <w:tcMar>
              <w:left w:w="0" w:type="dxa"/>
              <w:right w:w="0" w:type="dxa"/>
            </w:tcMar>
            <w:vAlign w:val="center"/>
            <w:hideMark/>
          </w:tcPr>
          <w:p w14:paraId="523A32AE" w14:textId="77777777" w:rsidR="00222C40" w:rsidRPr="006524DF" w:rsidRDefault="00222C40" w:rsidP="00605D6D">
            <w:pPr>
              <w:widowControl w:val="0"/>
              <w:jc w:val="center"/>
              <w:rPr>
                <w:b/>
                <w:bCs/>
                <w:sz w:val="20"/>
                <w:szCs w:val="20"/>
                <w:lang w:val="en-CA" w:eastAsia="en-CA"/>
              </w:rPr>
            </w:pPr>
            <w:r w:rsidRPr="006524DF">
              <w:rPr>
                <w:b/>
                <w:bCs/>
                <w:sz w:val="20"/>
                <w:szCs w:val="20"/>
                <w:lang w:val="en-CA" w:eastAsia="en-CA"/>
              </w:rPr>
              <w:t>Number of projects</w:t>
            </w:r>
          </w:p>
        </w:tc>
        <w:tc>
          <w:tcPr>
            <w:tcW w:w="2358" w:type="dxa"/>
            <w:gridSpan w:val="2"/>
            <w:shd w:val="clear" w:color="auto" w:fill="auto"/>
            <w:vAlign w:val="center"/>
            <w:hideMark/>
          </w:tcPr>
          <w:p w14:paraId="1DB71567" w14:textId="0D20BDDE" w:rsidR="00222C40" w:rsidRPr="006524DF" w:rsidRDefault="00222C40" w:rsidP="00605D6D">
            <w:pPr>
              <w:widowControl w:val="0"/>
              <w:jc w:val="center"/>
              <w:rPr>
                <w:b/>
                <w:bCs/>
                <w:sz w:val="20"/>
                <w:szCs w:val="20"/>
                <w:lang w:val="en-CA" w:eastAsia="en-CA"/>
              </w:rPr>
            </w:pPr>
            <w:r w:rsidRPr="006524DF">
              <w:rPr>
                <w:b/>
                <w:bCs/>
                <w:sz w:val="20"/>
                <w:szCs w:val="20"/>
                <w:lang w:val="en-CA" w:eastAsia="en-CA"/>
              </w:rPr>
              <w:t>Funds (US</w:t>
            </w:r>
            <w:r w:rsidR="00747CD0" w:rsidRPr="006524DF">
              <w:rPr>
                <w:b/>
                <w:bCs/>
                <w:sz w:val="20"/>
                <w:szCs w:val="20"/>
                <w:lang w:val="en-CA" w:eastAsia="en-CA"/>
              </w:rPr>
              <w:t> </w:t>
            </w:r>
            <w:r w:rsidRPr="006524DF">
              <w:rPr>
                <w:b/>
                <w:bCs/>
                <w:sz w:val="20"/>
                <w:szCs w:val="20"/>
                <w:lang w:val="en-CA" w:eastAsia="en-CA"/>
              </w:rPr>
              <w:t>$)</w:t>
            </w:r>
          </w:p>
        </w:tc>
        <w:tc>
          <w:tcPr>
            <w:tcW w:w="2358" w:type="dxa"/>
            <w:gridSpan w:val="2"/>
            <w:shd w:val="clear" w:color="auto" w:fill="auto"/>
            <w:vAlign w:val="center"/>
            <w:hideMark/>
          </w:tcPr>
          <w:p w14:paraId="012DA728" w14:textId="04592968" w:rsidR="00222C40" w:rsidRPr="006524DF" w:rsidRDefault="00B93466" w:rsidP="00605D6D">
            <w:pPr>
              <w:widowControl w:val="0"/>
              <w:jc w:val="center"/>
              <w:rPr>
                <w:b/>
                <w:bCs/>
                <w:sz w:val="20"/>
                <w:szCs w:val="20"/>
                <w:lang w:val="en-CA" w:eastAsia="en-CA"/>
              </w:rPr>
            </w:pPr>
            <w:r w:rsidRPr="006524DF">
              <w:rPr>
                <w:b/>
                <w:bCs/>
                <w:sz w:val="20"/>
                <w:szCs w:val="20"/>
                <w:lang w:val="en-CA" w:eastAsia="en-CA"/>
              </w:rPr>
              <w:t>P</w:t>
            </w:r>
            <w:r w:rsidR="00222C40" w:rsidRPr="006524DF">
              <w:rPr>
                <w:b/>
                <w:bCs/>
                <w:sz w:val="20"/>
                <w:szCs w:val="20"/>
                <w:lang w:val="en-CA" w:eastAsia="en-CA"/>
              </w:rPr>
              <w:t>hase</w:t>
            </w:r>
            <w:r w:rsidRPr="006524DF">
              <w:rPr>
                <w:b/>
                <w:bCs/>
                <w:sz w:val="20"/>
                <w:szCs w:val="20"/>
                <w:lang w:val="en-CA" w:eastAsia="en-CA"/>
              </w:rPr>
              <w:t>-</w:t>
            </w:r>
            <w:r w:rsidR="00222C40" w:rsidRPr="006524DF">
              <w:rPr>
                <w:b/>
                <w:bCs/>
                <w:sz w:val="20"/>
                <w:szCs w:val="20"/>
                <w:lang w:val="en-CA" w:eastAsia="en-CA"/>
              </w:rPr>
              <w:t xml:space="preserve"> out</w:t>
            </w:r>
            <w:r w:rsidRPr="006524DF">
              <w:rPr>
                <w:b/>
                <w:bCs/>
                <w:sz w:val="20"/>
                <w:szCs w:val="20"/>
                <w:lang w:val="en-CA" w:eastAsia="en-CA"/>
              </w:rPr>
              <w:t xml:space="preserve"> </w:t>
            </w:r>
          </w:p>
          <w:p w14:paraId="13BCE23E" w14:textId="06E672D2" w:rsidR="00B93466" w:rsidRPr="006524DF" w:rsidRDefault="00B93466" w:rsidP="00605D6D">
            <w:pPr>
              <w:widowControl w:val="0"/>
              <w:jc w:val="center"/>
              <w:rPr>
                <w:b/>
                <w:bCs/>
                <w:sz w:val="20"/>
                <w:szCs w:val="20"/>
                <w:lang w:val="en-CA" w:eastAsia="en-CA"/>
              </w:rPr>
            </w:pPr>
            <w:r w:rsidRPr="006524DF">
              <w:rPr>
                <w:b/>
                <w:bCs/>
                <w:sz w:val="20"/>
                <w:szCs w:val="20"/>
                <w:lang w:val="en-CA" w:eastAsia="en-CA"/>
              </w:rPr>
              <w:t>(ODP tonnes)</w:t>
            </w:r>
          </w:p>
        </w:tc>
        <w:tc>
          <w:tcPr>
            <w:tcW w:w="2358" w:type="dxa"/>
            <w:gridSpan w:val="2"/>
            <w:shd w:val="clear" w:color="auto" w:fill="auto"/>
            <w:vAlign w:val="center"/>
            <w:hideMark/>
          </w:tcPr>
          <w:p w14:paraId="5040257C" w14:textId="399C2991" w:rsidR="00222C40" w:rsidRPr="006524DF" w:rsidRDefault="00222C40" w:rsidP="00605D6D">
            <w:pPr>
              <w:widowControl w:val="0"/>
              <w:jc w:val="center"/>
              <w:rPr>
                <w:b/>
                <w:bCs/>
                <w:sz w:val="20"/>
                <w:szCs w:val="20"/>
                <w:lang w:val="en-CA" w:eastAsia="en-CA"/>
              </w:rPr>
            </w:pPr>
            <w:r w:rsidRPr="006524DF">
              <w:rPr>
                <w:b/>
                <w:bCs/>
                <w:sz w:val="20"/>
                <w:szCs w:val="20"/>
                <w:lang w:val="en-CA" w:eastAsia="en-CA"/>
              </w:rPr>
              <w:t xml:space="preserve">Average </w:t>
            </w:r>
            <w:r w:rsidR="002400A8" w:rsidRPr="006524DF">
              <w:rPr>
                <w:b/>
                <w:bCs/>
                <w:sz w:val="20"/>
                <w:szCs w:val="20"/>
                <w:lang w:val="en-CA" w:eastAsia="en-CA"/>
              </w:rPr>
              <w:t>duration/</w:t>
            </w:r>
            <w:r w:rsidRPr="006524DF">
              <w:rPr>
                <w:b/>
                <w:bCs/>
                <w:sz w:val="20"/>
                <w:szCs w:val="20"/>
                <w:lang w:val="en-CA" w:eastAsia="en-CA"/>
              </w:rPr>
              <w:t>delay</w:t>
            </w:r>
            <w:r w:rsidR="002400A8" w:rsidRPr="006524DF">
              <w:rPr>
                <w:b/>
                <w:bCs/>
                <w:sz w:val="20"/>
                <w:szCs w:val="20"/>
                <w:lang w:val="en-CA" w:eastAsia="en-CA"/>
              </w:rPr>
              <w:t>s</w:t>
            </w:r>
            <w:r w:rsidRPr="006524DF">
              <w:rPr>
                <w:b/>
                <w:bCs/>
                <w:sz w:val="20"/>
                <w:szCs w:val="20"/>
                <w:lang w:val="en-CA" w:eastAsia="en-CA"/>
              </w:rPr>
              <w:t xml:space="preserve"> (months)</w:t>
            </w:r>
            <w:r w:rsidR="00200F77" w:rsidRPr="006524DF">
              <w:rPr>
                <w:rStyle w:val="FootnoteReference"/>
                <w:b/>
                <w:bCs/>
                <w:sz w:val="20"/>
                <w:szCs w:val="20"/>
                <w:lang w:val="en-CA" w:eastAsia="en-CA"/>
              </w:rPr>
              <w:footnoteReference w:id="6"/>
            </w:r>
          </w:p>
        </w:tc>
      </w:tr>
      <w:tr w:rsidR="00222C40" w:rsidRPr="006524DF" w14:paraId="711C0838" w14:textId="77777777" w:rsidTr="00996278">
        <w:trPr>
          <w:tblHeader/>
        </w:trPr>
        <w:tc>
          <w:tcPr>
            <w:tcW w:w="1247" w:type="dxa"/>
            <w:vMerge/>
            <w:vAlign w:val="center"/>
            <w:hideMark/>
          </w:tcPr>
          <w:p w14:paraId="1B61D932" w14:textId="77777777" w:rsidR="00222C40" w:rsidRPr="006524DF" w:rsidRDefault="00222C40" w:rsidP="00605D6D">
            <w:pPr>
              <w:widowControl w:val="0"/>
              <w:jc w:val="left"/>
              <w:rPr>
                <w:b/>
                <w:bCs/>
                <w:sz w:val="20"/>
                <w:szCs w:val="20"/>
                <w:lang w:val="en-CA" w:eastAsia="en-CA"/>
              </w:rPr>
            </w:pPr>
          </w:p>
        </w:tc>
        <w:tc>
          <w:tcPr>
            <w:tcW w:w="1039" w:type="dxa"/>
            <w:vMerge/>
            <w:vAlign w:val="center"/>
            <w:hideMark/>
          </w:tcPr>
          <w:p w14:paraId="13D6181A" w14:textId="77777777" w:rsidR="00222C40" w:rsidRPr="006524DF" w:rsidRDefault="00222C40" w:rsidP="00605D6D">
            <w:pPr>
              <w:widowControl w:val="0"/>
              <w:jc w:val="left"/>
              <w:rPr>
                <w:b/>
                <w:bCs/>
                <w:sz w:val="20"/>
                <w:szCs w:val="20"/>
                <w:lang w:val="en-CA" w:eastAsia="en-CA"/>
              </w:rPr>
            </w:pPr>
          </w:p>
        </w:tc>
        <w:tc>
          <w:tcPr>
            <w:tcW w:w="1179" w:type="dxa"/>
            <w:shd w:val="clear" w:color="auto" w:fill="auto"/>
            <w:vAlign w:val="center"/>
            <w:hideMark/>
          </w:tcPr>
          <w:p w14:paraId="1767551F" w14:textId="77777777" w:rsidR="00222C40" w:rsidRPr="00765981" w:rsidRDefault="00222C40" w:rsidP="00605D6D">
            <w:pPr>
              <w:widowControl w:val="0"/>
              <w:jc w:val="center"/>
              <w:rPr>
                <w:b/>
                <w:bCs/>
                <w:sz w:val="20"/>
                <w:szCs w:val="20"/>
                <w:lang w:val="en-CA" w:eastAsia="en-CA"/>
              </w:rPr>
            </w:pPr>
            <w:r w:rsidRPr="006524DF">
              <w:rPr>
                <w:b/>
                <w:bCs/>
                <w:sz w:val="20"/>
                <w:szCs w:val="20"/>
                <w:lang w:val="en-CA" w:eastAsia="en-CA"/>
              </w:rPr>
              <w:t>Approved</w:t>
            </w:r>
          </w:p>
        </w:tc>
        <w:tc>
          <w:tcPr>
            <w:tcW w:w="1179" w:type="dxa"/>
            <w:shd w:val="clear" w:color="auto" w:fill="auto"/>
            <w:vAlign w:val="center"/>
            <w:hideMark/>
          </w:tcPr>
          <w:p w14:paraId="72393829" w14:textId="77777777" w:rsidR="00222C40" w:rsidRPr="006524DF" w:rsidRDefault="00222C40" w:rsidP="00605D6D">
            <w:pPr>
              <w:widowControl w:val="0"/>
              <w:jc w:val="center"/>
              <w:rPr>
                <w:b/>
                <w:bCs/>
                <w:sz w:val="20"/>
                <w:szCs w:val="20"/>
                <w:lang w:val="en-CA" w:eastAsia="en-CA"/>
              </w:rPr>
            </w:pPr>
            <w:r w:rsidRPr="006524DF">
              <w:rPr>
                <w:b/>
                <w:bCs/>
                <w:sz w:val="20"/>
                <w:szCs w:val="20"/>
                <w:lang w:val="en-CA" w:eastAsia="en-CA"/>
              </w:rPr>
              <w:t>Disbursed</w:t>
            </w:r>
          </w:p>
        </w:tc>
        <w:tc>
          <w:tcPr>
            <w:tcW w:w="1179" w:type="dxa"/>
            <w:shd w:val="clear" w:color="auto" w:fill="auto"/>
            <w:vAlign w:val="center"/>
            <w:hideMark/>
          </w:tcPr>
          <w:p w14:paraId="182C7C0D" w14:textId="77777777" w:rsidR="00222C40" w:rsidRPr="006524DF" w:rsidRDefault="00222C40" w:rsidP="00605D6D">
            <w:pPr>
              <w:widowControl w:val="0"/>
              <w:jc w:val="center"/>
              <w:rPr>
                <w:b/>
                <w:bCs/>
                <w:sz w:val="20"/>
                <w:szCs w:val="20"/>
                <w:lang w:val="en-CA" w:eastAsia="en-CA"/>
              </w:rPr>
            </w:pPr>
            <w:r w:rsidRPr="006524DF">
              <w:rPr>
                <w:b/>
                <w:bCs/>
                <w:sz w:val="20"/>
                <w:szCs w:val="20"/>
                <w:lang w:val="en-CA" w:eastAsia="en-CA"/>
              </w:rPr>
              <w:t>Approved</w:t>
            </w:r>
          </w:p>
        </w:tc>
        <w:tc>
          <w:tcPr>
            <w:tcW w:w="1179" w:type="dxa"/>
            <w:shd w:val="clear" w:color="auto" w:fill="auto"/>
            <w:vAlign w:val="center"/>
            <w:hideMark/>
          </w:tcPr>
          <w:p w14:paraId="7D9FBBA3" w14:textId="77777777" w:rsidR="00222C40" w:rsidRPr="006524DF" w:rsidRDefault="00222C40" w:rsidP="00605D6D">
            <w:pPr>
              <w:widowControl w:val="0"/>
              <w:jc w:val="center"/>
              <w:rPr>
                <w:b/>
                <w:bCs/>
                <w:sz w:val="20"/>
                <w:szCs w:val="20"/>
                <w:lang w:val="en-CA" w:eastAsia="en-CA"/>
              </w:rPr>
            </w:pPr>
            <w:r w:rsidRPr="006524DF">
              <w:rPr>
                <w:b/>
                <w:bCs/>
                <w:sz w:val="20"/>
                <w:szCs w:val="20"/>
                <w:lang w:val="en-CA" w:eastAsia="en-CA"/>
              </w:rPr>
              <w:t>Actual</w:t>
            </w:r>
          </w:p>
        </w:tc>
        <w:tc>
          <w:tcPr>
            <w:tcW w:w="1179" w:type="dxa"/>
            <w:shd w:val="clear" w:color="auto" w:fill="auto"/>
            <w:vAlign w:val="center"/>
            <w:hideMark/>
          </w:tcPr>
          <w:p w14:paraId="73EE4FE7" w14:textId="77777777" w:rsidR="00222C40" w:rsidRPr="006524DF" w:rsidRDefault="00222C40" w:rsidP="00605D6D">
            <w:pPr>
              <w:widowControl w:val="0"/>
              <w:jc w:val="center"/>
              <w:rPr>
                <w:b/>
                <w:bCs/>
                <w:sz w:val="20"/>
                <w:szCs w:val="20"/>
                <w:lang w:val="en-CA" w:eastAsia="en-CA"/>
              </w:rPr>
            </w:pPr>
            <w:r w:rsidRPr="006524DF">
              <w:rPr>
                <w:b/>
                <w:bCs/>
                <w:sz w:val="20"/>
                <w:szCs w:val="20"/>
                <w:lang w:val="en-CA" w:eastAsia="en-CA"/>
              </w:rPr>
              <w:t>Duration</w:t>
            </w:r>
          </w:p>
        </w:tc>
        <w:tc>
          <w:tcPr>
            <w:tcW w:w="1179" w:type="dxa"/>
            <w:shd w:val="clear" w:color="auto" w:fill="auto"/>
            <w:vAlign w:val="center"/>
            <w:hideMark/>
          </w:tcPr>
          <w:p w14:paraId="187C3C25" w14:textId="77777777" w:rsidR="00222C40" w:rsidRPr="006524DF" w:rsidRDefault="00222C40" w:rsidP="00605D6D">
            <w:pPr>
              <w:widowControl w:val="0"/>
              <w:jc w:val="center"/>
              <w:rPr>
                <w:b/>
                <w:bCs/>
                <w:sz w:val="20"/>
                <w:szCs w:val="20"/>
                <w:lang w:val="en-CA" w:eastAsia="en-CA"/>
              </w:rPr>
            </w:pPr>
            <w:r w:rsidRPr="006524DF">
              <w:rPr>
                <w:b/>
                <w:bCs/>
                <w:sz w:val="20"/>
                <w:szCs w:val="20"/>
                <w:lang w:val="en-CA" w:eastAsia="en-CA"/>
              </w:rPr>
              <w:t>Delays</w:t>
            </w:r>
          </w:p>
        </w:tc>
      </w:tr>
      <w:tr w:rsidR="00200F77" w:rsidRPr="006524DF" w14:paraId="501CE151" w14:textId="77777777" w:rsidTr="007079A4">
        <w:tc>
          <w:tcPr>
            <w:tcW w:w="1247" w:type="dxa"/>
            <w:shd w:val="clear" w:color="auto" w:fill="auto"/>
            <w:noWrap/>
            <w:vAlign w:val="center"/>
            <w:hideMark/>
          </w:tcPr>
          <w:p w14:paraId="5B742FB3" w14:textId="77777777" w:rsidR="00200F77" w:rsidRPr="006524DF" w:rsidRDefault="00200F77" w:rsidP="00200F77">
            <w:pPr>
              <w:widowControl w:val="0"/>
              <w:rPr>
                <w:sz w:val="20"/>
                <w:szCs w:val="20"/>
                <w:lang w:val="en-CA" w:eastAsia="en-CA"/>
              </w:rPr>
            </w:pPr>
            <w:r w:rsidRPr="006524DF">
              <w:rPr>
                <w:sz w:val="20"/>
                <w:szCs w:val="20"/>
                <w:lang w:val="en-CA" w:eastAsia="en-CA"/>
              </w:rPr>
              <w:t>Germany</w:t>
            </w:r>
          </w:p>
        </w:tc>
        <w:tc>
          <w:tcPr>
            <w:tcW w:w="1039" w:type="dxa"/>
            <w:shd w:val="clear" w:color="auto" w:fill="auto"/>
            <w:noWrap/>
            <w:tcMar>
              <w:right w:w="288" w:type="dxa"/>
            </w:tcMar>
            <w:hideMark/>
          </w:tcPr>
          <w:p w14:paraId="1356BA79" w14:textId="77777777" w:rsidR="00200F77" w:rsidRPr="006524DF" w:rsidRDefault="00200F77" w:rsidP="007079A4">
            <w:pPr>
              <w:widowControl w:val="0"/>
              <w:jc w:val="right"/>
              <w:rPr>
                <w:sz w:val="20"/>
                <w:szCs w:val="20"/>
              </w:rPr>
            </w:pPr>
            <w:r w:rsidRPr="006524DF">
              <w:rPr>
                <w:sz w:val="20"/>
                <w:szCs w:val="20"/>
                <w:lang w:val="en-CA" w:eastAsia="en-CA"/>
              </w:rPr>
              <w:t>1</w:t>
            </w:r>
          </w:p>
        </w:tc>
        <w:tc>
          <w:tcPr>
            <w:tcW w:w="1179" w:type="dxa"/>
            <w:shd w:val="clear" w:color="auto" w:fill="auto"/>
            <w:noWrap/>
            <w:tcMar>
              <w:left w:w="0" w:type="dxa"/>
              <w:right w:w="288" w:type="dxa"/>
            </w:tcMar>
            <w:hideMark/>
          </w:tcPr>
          <w:p w14:paraId="013C82A3"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30,000</w:t>
            </w:r>
          </w:p>
        </w:tc>
        <w:tc>
          <w:tcPr>
            <w:tcW w:w="1179" w:type="dxa"/>
            <w:shd w:val="clear" w:color="auto" w:fill="auto"/>
            <w:noWrap/>
            <w:tcMar>
              <w:left w:w="0" w:type="dxa"/>
              <w:right w:w="288" w:type="dxa"/>
            </w:tcMar>
            <w:hideMark/>
          </w:tcPr>
          <w:p w14:paraId="096C500E"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30,000</w:t>
            </w:r>
          </w:p>
        </w:tc>
        <w:tc>
          <w:tcPr>
            <w:tcW w:w="1179" w:type="dxa"/>
            <w:shd w:val="clear" w:color="auto" w:fill="auto"/>
            <w:noWrap/>
            <w:tcMar>
              <w:left w:w="0" w:type="dxa"/>
              <w:right w:w="288" w:type="dxa"/>
            </w:tcMar>
            <w:hideMark/>
          </w:tcPr>
          <w:p w14:paraId="1B47DC57"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2EDCBDE0"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656D0869"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31</w:t>
            </w:r>
          </w:p>
        </w:tc>
        <w:tc>
          <w:tcPr>
            <w:tcW w:w="1179" w:type="dxa"/>
            <w:shd w:val="clear" w:color="auto" w:fill="auto"/>
            <w:noWrap/>
            <w:tcMar>
              <w:left w:w="0" w:type="dxa"/>
              <w:right w:w="288" w:type="dxa"/>
            </w:tcMar>
            <w:hideMark/>
          </w:tcPr>
          <w:p w14:paraId="22E89806"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13</w:t>
            </w:r>
          </w:p>
        </w:tc>
      </w:tr>
      <w:tr w:rsidR="00200F77" w:rsidRPr="006524DF" w14:paraId="4D7FE360" w14:textId="77777777" w:rsidTr="007079A4">
        <w:tc>
          <w:tcPr>
            <w:tcW w:w="1247" w:type="dxa"/>
            <w:shd w:val="clear" w:color="auto" w:fill="auto"/>
            <w:noWrap/>
            <w:vAlign w:val="center"/>
            <w:hideMark/>
          </w:tcPr>
          <w:p w14:paraId="7EFCB0AC" w14:textId="77777777" w:rsidR="00200F77" w:rsidRPr="006524DF" w:rsidRDefault="00200F77" w:rsidP="00200F77">
            <w:pPr>
              <w:widowControl w:val="0"/>
              <w:jc w:val="left"/>
              <w:rPr>
                <w:sz w:val="20"/>
                <w:szCs w:val="20"/>
                <w:lang w:val="en-CA" w:eastAsia="en-CA"/>
              </w:rPr>
            </w:pPr>
            <w:r w:rsidRPr="006524DF">
              <w:rPr>
                <w:sz w:val="20"/>
                <w:szCs w:val="20"/>
                <w:lang w:val="en-CA" w:eastAsia="en-CA"/>
              </w:rPr>
              <w:t>Russian Federation</w:t>
            </w:r>
          </w:p>
        </w:tc>
        <w:tc>
          <w:tcPr>
            <w:tcW w:w="1039" w:type="dxa"/>
            <w:shd w:val="clear" w:color="auto" w:fill="auto"/>
            <w:noWrap/>
            <w:tcMar>
              <w:right w:w="288" w:type="dxa"/>
            </w:tcMar>
            <w:hideMark/>
          </w:tcPr>
          <w:p w14:paraId="3F12A4EE"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1</w:t>
            </w:r>
          </w:p>
        </w:tc>
        <w:tc>
          <w:tcPr>
            <w:tcW w:w="1179" w:type="dxa"/>
            <w:shd w:val="clear" w:color="auto" w:fill="auto"/>
            <w:noWrap/>
            <w:tcMar>
              <w:left w:w="0" w:type="dxa"/>
              <w:right w:w="288" w:type="dxa"/>
            </w:tcMar>
            <w:hideMark/>
          </w:tcPr>
          <w:p w14:paraId="494E0E69"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591,600</w:t>
            </w:r>
          </w:p>
        </w:tc>
        <w:tc>
          <w:tcPr>
            <w:tcW w:w="1179" w:type="dxa"/>
            <w:shd w:val="clear" w:color="auto" w:fill="auto"/>
            <w:noWrap/>
            <w:tcMar>
              <w:left w:w="0" w:type="dxa"/>
              <w:right w:w="288" w:type="dxa"/>
            </w:tcMar>
            <w:hideMark/>
          </w:tcPr>
          <w:p w14:paraId="528BA4B7"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591,235</w:t>
            </w:r>
          </w:p>
        </w:tc>
        <w:tc>
          <w:tcPr>
            <w:tcW w:w="1179" w:type="dxa"/>
            <w:shd w:val="clear" w:color="auto" w:fill="auto"/>
            <w:noWrap/>
            <w:tcMar>
              <w:left w:w="0" w:type="dxa"/>
              <w:right w:w="288" w:type="dxa"/>
            </w:tcMar>
            <w:hideMark/>
          </w:tcPr>
          <w:p w14:paraId="523AE0C3"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37CD8257"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620E13DA"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43</w:t>
            </w:r>
          </w:p>
        </w:tc>
        <w:tc>
          <w:tcPr>
            <w:tcW w:w="1179" w:type="dxa"/>
            <w:shd w:val="clear" w:color="auto" w:fill="auto"/>
            <w:noWrap/>
            <w:tcMar>
              <w:left w:w="0" w:type="dxa"/>
              <w:right w:w="288" w:type="dxa"/>
            </w:tcMar>
            <w:hideMark/>
          </w:tcPr>
          <w:p w14:paraId="511C80A4"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7</w:t>
            </w:r>
          </w:p>
        </w:tc>
      </w:tr>
      <w:tr w:rsidR="00200F77" w:rsidRPr="006524DF" w14:paraId="4C58C237" w14:textId="77777777" w:rsidTr="007079A4">
        <w:tc>
          <w:tcPr>
            <w:tcW w:w="1247" w:type="dxa"/>
            <w:shd w:val="clear" w:color="auto" w:fill="auto"/>
            <w:noWrap/>
            <w:vAlign w:val="center"/>
            <w:hideMark/>
          </w:tcPr>
          <w:p w14:paraId="3E42C4DF" w14:textId="77777777" w:rsidR="00200F77" w:rsidRPr="006524DF" w:rsidRDefault="00200F77" w:rsidP="00200F77">
            <w:pPr>
              <w:widowControl w:val="0"/>
              <w:jc w:val="left"/>
              <w:rPr>
                <w:sz w:val="20"/>
                <w:szCs w:val="20"/>
                <w:lang w:val="en-CA" w:eastAsia="en-CA"/>
              </w:rPr>
            </w:pPr>
            <w:r w:rsidRPr="006524DF">
              <w:rPr>
                <w:sz w:val="20"/>
                <w:szCs w:val="20"/>
                <w:lang w:val="en-CA" w:eastAsia="en-CA"/>
              </w:rPr>
              <w:t>UNEP</w:t>
            </w:r>
          </w:p>
        </w:tc>
        <w:tc>
          <w:tcPr>
            <w:tcW w:w="1039" w:type="dxa"/>
            <w:shd w:val="clear" w:color="auto" w:fill="auto"/>
            <w:noWrap/>
            <w:tcMar>
              <w:right w:w="288" w:type="dxa"/>
            </w:tcMar>
            <w:hideMark/>
          </w:tcPr>
          <w:p w14:paraId="2287878A"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11</w:t>
            </w:r>
          </w:p>
        </w:tc>
        <w:tc>
          <w:tcPr>
            <w:tcW w:w="1179" w:type="dxa"/>
            <w:shd w:val="clear" w:color="auto" w:fill="auto"/>
            <w:noWrap/>
            <w:tcMar>
              <w:left w:w="0" w:type="dxa"/>
              <w:right w:w="288" w:type="dxa"/>
            </w:tcMar>
            <w:hideMark/>
          </w:tcPr>
          <w:p w14:paraId="44677B85"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330,000</w:t>
            </w:r>
          </w:p>
        </w:tc>
        <w:tc>
          <w:tcPr>
            <w:tcW w:w="1179" w:type="dxa"/>
            <w:shd w:val="clear" w:color="auto" w:fill="auto"/>
            <w:noWrap/>
            <w:tcMar>
              <w:left w:w="0" w:type="dxa"/>
              <w:right w:w="288" w:type="dxa"/>
            </w:tcMar>
            <w:hideMark/>
          </w:tcPr>
          <w:p w14:paraId="50FA749B"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275,770</w:t>
            </w:r>
          </w:p>
        </w:tc>
        <w:tc>
          <w:tcPr>
            <w:tcW w:w="1179" w:type="dxa"/>
            <w:shd w:val="clear" w:color="auto" w:fill="auto"/>
            <w:noWrap/>
            <w:tcMar>
              <w:left w:w="0" w:type="dxa"/>
              <w:right w:w="288" w:type="dxa"/>
            </w:tcMar>
            <w:hideMark/>
          </w:tcPr>
          <w:p w14:paraId="33584F9A"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5DF292FF"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c>
          <w:tcPr>
            <w:tcW w:w="1179" w:type="dxa"/>
            <w:shd w:val="clear" w:color="auto" w:fill="auto"/>
            <w:noWrap/>
            <w:tcMar>
              <w:left w:w="0" w:type="dxa"/>
              <w:right w:w="288" w:type="dxa"/>
            </w:tcMar>
            <w:hideMark/>
          </w:tcPr>
          <w:p w14:paraId="3DFE287D"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26.18</w:t>
            </w:r>
          </w:p>
        </w:tc>
        <w:tc>
          <w:tcPr>
            <w:tcW w:w="1179" w:type="dxa"/>
            <w:shd w:val="clear" w:color="auto" w:fill="auto"/>
            <w:noWrap/>
            <w:tcMar>
              <w:left w:w="0" w:type="dxa"/>
              <w:right w:w="288" w:type="dxa"/>
            </w:tcMar>
            <w:hideMark/>
          </w:tcPr>
          <w:p w14:paraId="5A6413CF" w14:textId="77777777" w:rsidR="00200F77" w:rsidRPr="006524DF" w:rsidRDefault="00200F77" w:rsidP="007079A4">
            <w:pPr>
              <w:widowControl w:val="0"/>
              <w:jc w:val="right"/>
              <w:rPr>
                <w:sz w:val="20"/>
                <w:szCs w:val="20"/>
                <w:lang w:val="en-CA" w:eastAsia="en-CA"/>
              </w:rPr>
            </w:pPr>
            <w:r w:rsidRPr="006524DF">
              <w:rPr>
                <w:sz w:val="20"/>
                <w:szCs w:val="20"/>
                <w:lang w:val="en-CA" w:eastAsia="en-CA"/>
              </w:rPr>
              <w:t>0</w:t>
            </w:r>
          </w:p>
        </w:tc>
      </w:tr>
      <w:tr w:rsidR="00200F77" w:rsidRPr="006524DF" w14:paraId="26BE0F19" w14:textId="77777777" w:rsidTr="007079A4">
        <w:tc>
          <w:tcPr>
            <w:tcW w:w="1247" w:type="dxa"/>
            <w:shd w:val="clear" w:color="auto" w:fill="auto"/>
            <w:noWrap/>
            <w:vAlign w:val="center"/>
            <w:hideMark/>
          </w:tcPr>
          <w:p w14:paraId="041FA5E7" w14:textId="77777777" w:rsidR="00200F77" w:rsidRPr="006524DF" w:rsidRDefault="00200F77" w:rsidP="00200F77">
            <w:pPr>
              <w:widowControl w:val="0"/>
              <w:jc w:val="left"/>
              <w:rPr>
                <w:b/>
                <w:bCs/>
                <w:sz w:val="20"/>
                <w:szCs w:val="20"/>
                <w:lang w:val="en-CA" w:eastAsia="en-CA"/>
              </w:rPr>
            </w:pPr>
            <w:r w:rsidRPr="006524DF">
              <w:rPr>
                <w:b/>
                <w:bCs/>
                <w:sz w:val="20"/>
                <w:szCs w:val="20"/>
                <w:lang w:val="en-CA" w:eastAsia="en-CA"/>
              </w:rPr>
              <w:t>Total</w:t>
            </w:r>
          </w:p>
        </w:tc>
        <w:tc>
          <w:tcPr>
            <w:tcW w:w="1039" w:type="dxa"/>
            <w:shd w:val="clear" w:color="auto" w:fill="auto"/>
            <w:noWrap/>
            <w:tcMar>
              <w:right w:w="288" w:type="dxa"/>
            </w:tcMar>
            <w:hideMark/>
          </w:tcPr>
          <w:p w14:paraId="4D2C544D" w14:textId="77777777" w:rsidR="00200F77" w:rsidRPr="006524DF" w:rsidRDefault="00200F77" w:rsidP="007079A4">
            <w:pPr>
              <w:widowControl w:val="0"/>
              <w:jc w:val="right"/>
              <w:rPr>
                <w:b/>
                <w:bCs/>
                <w:sz w:val="20"/>
                <w:szCs w:val="20"/>
              </w:rPr>
            </w:pPr>
            <w:r w:rsidRPr="006524DF">
              <w:rPr>
                <w:b/>
                <w:bCs/>
                <w:sz w:val="20"/>
                <w:szCs w:val="20"/>
                <w:lang w:val="en-CA" w:eastAsia="en-CA"/>
              </w:rPr>
              <w:t>13</w:t>
            </w:r>
          </w:p>
        </w:tc>
        <w:tc>
          <w:tcPr>
            <w:tcW w:w="1179" w:type="dxa"/>
            <w:shd w:val="clear" w:color="auto" w:fill="auto"/>
            <w:noWrap/>
            <w:tcMar>
              <w:left w:w="0" w:type="dxa"/>
              <w:right w:w="288" w:type="dxa"/>
            </w:tcMar>
            <w:hideMark/>
          </w:tcPr>
          <w:p w14:paraId="38AAEF75"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951,600</w:t>
            </w:r>
          </w:p>
        </w:tc>
        <w:tc>
          <w:tcPr>
            <w:tcW w:w="1179" w:type="dxa"/>
            <w:shd w:val="clear" w:color="auto" w:fill="auto"/>
            <w:noWrap/>
            <w:tcMar>
              <w:left w:w="0" w:type="dxa"/>
              <w:right w:w="288" w:type="dxa"/>
            </w:tcMar>
            <w:hideMark/>
          </w:tcPr>
          <w:p w14:paraId="10B11B0C"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897,005</w:t>
            </w:r>
          </w:p>
        </w:tc>
        <w:tc>
          <w:tcPr>
            <w:tcW w:w="1179" w:type="dxa"/>
            <w:shd w:val="clear" w:color="auto" w:fill="auto"/>
            <w:noWrap/>
            <w:tcMar>
              <w:left w:w="0" w:type="dxa"/>
              <w:right w:w="288" w:type="dxa"/>
            </w:tcMar>
            <w:hideMark/>
          </w:tcPr>
          <w:p w14:paraId="75675008"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0</w:t>
            </w:r>
          </w:p>
        </w:tc>
        <w:tc>
          <w:tcPr>
            <w:tcW w:w="1179" w:type="dxa"/>
            <w:shd w:val="clear" w:color="auto" w:fill="auto"/>
            <w:noWrap/>
            <w:tcMar>
              <w:left w:w="0" w:type="dxa"/>
              <w:right w:w="288" w:type="dxa"/>
            </w:tcMar>
            <w:hideMark/>
          </w:tcPr>
          <w:p w14:paraId="17763759"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0</w:t>
            </w:r>
          </w:p>
        </w:tc>
        <w:tc>
          <w:tcPr>
            <w:tcW w:w="1179" w:type="dxa"/>
            <w:shd w:val="clear" w:color="auto" w:fill="auto"/>
            <w:noWrap/>
            <w:tcMar>
              <w:left w:w="0" w:type="dxa"/>
              <w:right w:w="288" w:type="dxa"/>
            </w:tcMar>
            <w:hideMark/>
          </w:tcPr>
          <w:p w14:paraId="2D360F4D"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27.84</w:t>
            </w:r>
          </w:p>
        </w:tc>
        <w:tc>
          <w:tcPr>
            <w:tcW w:w="1179" w:type="dxa"/>
            <w:shd w:val="clear" w:color="auto" w:fill="auto"/>
            <w:noWrap/>
            <w:tcMar>
              <w:left w:w="0" w:type="dxa"/>
              <w:right w:w="288" w:type="dxa"/>
            </w:tcMar>
            <w:hideMark/>
          </w:tcPr>
          <w:p w14:paraId="0DF5B8C5" w14:textId="77777777" w:rsidR="00200F77" w:rsidRPr="006524DF" w:rsidRDefault="00200F77" w:rsidP="007079A4">
            <w:pPr>
              <w:widowControl w:val="0"/>
              <w:jc w:val="right"/>
              <w:rPr>
                <w:b/>
                <w:sz w:val="20"/>
                <w:szCs w:val="20"/>
                <w:lang w:val="en-CA" w:eastAsia="en-CA"/>
              </w:rPr>
            </w:pPr>
            <w:r w:rsidRPr="006524DF">
              <w:rPr>
                <w:b/>
                <w:sz w:val="20"/>
                <w:szCs w:val="20"/>
                <w:lang w:val="en-CA" w:eastAsia="en-CA"/>
              </w:rPr>
              <w:t>0</w:t>
            </w:r>
          </w:p>
        </w:tc>
      </w:tr>
    </w:tbl>
    <w:p w14:paraId="6455E807" w14:textId="77777777" w:rsidR="00222C40" w:rsidRPr="006524DF" w:rsidRDefault="00222C40" w:rsidP="007D6E7B">
      <w:pPr>
        <w:keepNext/>
        <w:keepLines/>
        <w:widowControl w:val="0"/>
        <w:spacing w:before="240" w:after="240"/>
        <w:rPr>
          <w:b/>
          <w:lang w:val="en-CA" w:eastAsia="ja-JP"/>
        </w:rPr>
      </w:pPr>
      <w:r w:rsidRPr="006524DF">
        <w:rPr>
          <w:b/>
          <w:lang w:val="en-CA" w:eastAsia="ja-JP"/>
        </w:rPr>
        <w:t xml:space="preserve">Reasons for delays </w:t>
      </w:r>
    </w:p>
    <w:p w14:paraId="4EB34C5A" w14:textId="52C15B05" w:rsidR="0065233E" w:rsidRPr="006524DF" w:rsidRDefault="0065233E" w:rsidP="000D338E">
      <w:pPr>
        <w:pStyle w:val="Heading1"/>
        <w:widowControl w:val="0"/>
        <w:numPr>
          <w:ilvl w:val="0"/>
          <w:numId w:val="10"/>
        </w:numPr>
        <w:spacing w:before="240"/>
      </w:pPr>
      <w:r w:rsidRPr="006524DF">
        <w:t xml:space="preserve">Verification reports were delayed due to a variety of reasons ranging from </w:t>
      </w:r>
      <w:r w:rsidR="00873DDC" w:rsidRPr="006524DF">
        <w:t xml:space="preserve">travel restrictions, short time frame </w:t>
      </w:r>
      <w:r w:rsidR="00E2327A" w:rsidRPr="006524DF">
        <w:t xml:space="preserve">to conduct </w:t>
      </w:r>
      <w:r w:rsidR="00873DDC" w:rsidRPr="006524DF">
        <w:t xml:space="preserve">the verification, incomplete information and misclassification of Harmonized System (HS) codes. </w:t>
      </w:r>
      <w:r w:rsidRPr="006524DF">
        <w:t>These issues were all resolved th</w:t>
      </w:r>
      <w:r w:rsidR="00B93466" w:rsidRPr="006524DF">
        <w:t>r</w:t>
      </w:r>
      <w:r w:rsidRPr="006524DF">
        <w:t xml:space="preserve">ough the cooperation </w:t>
      </w:r>
      <w:r w:rsidR="00243CD2" w:rsidRPr="006524DF">
        <w:t xml:space="preserve">between </w:t>
      </w:r>
      <w:r w:rsidRPr="006524DF">
        <w:t xml:space="preserve">the consultants, the IAs and the different stakeholders at the country level. </w:t>
      </w:r>
    </w:p>
    <w:p w14:paraId="4F85038B" w14:textId="5D5CFE9B" w:rsidR="00873DDC" w:rsidRPr="006524DF" w:rsidRDefault="00894B2D" w:rsidP="000D338E">
      <w:pPr>
        <w:pStyle w:val="Heading1"/>
        <w:widowControl w:val="0"/>
        <w:numPr>
          <w:ilvl w:val="0"/>
          <w:numId w:val="10"/>
        </w:numPr>
        <w:spacing w:before="240"/>
        <w:rPr>
          <w:lang w:val="en-CA"/>
        </w:rPr>
      </w:pPr>
      <w:r w:rsidRPr="006524DF">
        <w:rPr>
          <w:color w:val="000000"/>
          <w:shd w:val="clear" w:color="auto" w:fill="FFFFFF"/>
          <w:lang w:val="en-CA"/>
        </w:rPr>
        <w:t xml:space="preserve">Due to the travel restrictions caused by the COVID-19 pandemic, </w:t>
      </w:r>
      <w:r w:rsidR="00873DDC" w:rsidRPr="006524DF">
        <w:rPr>
          <w:color w:val="000000"/>
          <w:shd w:val="clear" w:color="auto" w:fill="FFFFFF"/>
          <w:lang w:val="en-CA"/>
        </w:rPr>
        <w:t xml:space="preserve">one </w:t>
      </w:r>
      <w:r w:rsidRPr="006524DF">
        <w:rPr>
          <w:color w:val="000000"/>
          <w:shd w:val="clear" w:color="auto" w:fill="FFFFFF"/>
          <w:lang w:val="en-CA"/>
        </w:rPr>
        <w:t>auditor</w:t>
      </w:r>
      <w:r w:rsidR="00873DDC" w:rsidRPr="006524DF">
        <w:rPr>
          <w:color w:val="000000"/>
          <w:shd w:val="clear" w:color="auto" w:fill="FFFFFF"/>
          <w:lang w:val="en-CA"/>
        </w:rPr>
        <w:t xml:space="preserve"> was unable to visit the country to</w:t>
      </w:r>
      <w:r w:rsidRPr="006524DF">
        <w:rPr>
          <w:color w:val="000000"/>
          <w:shd w:val="clear" w:color="auto" w:fill="FFFFFF"/>
          <w:lang w:val="en-CA"/>
        </w:rPr>
        <w:t xml:space="preserve"> conduct </w:t>
      </w:r>
      <w:r w:rsidR="00873DDC" w:rsidRPr="006524DF">
        <w:rPr>
          <w:color w:val="000000"/>
          <w:shd w:val="clear" w:color="auto" w:fill="FFFFFF"/>
          <w:lang w:val="en-CA"/>
        </w:rPr>
        <w:t>in-person</w:t>
      </w:r>
      <w:r w:rsidRPr="006524DF">
        <w:rPr>
          <w:color w:val="000000"/>
          <w:shd w:val="clear" w:color="auto" w:fill="FFFFFF"/>
          <w:lang w:val="en-CA"/>
        </w:rPr>
        <w:t xml:space="preserve"> discussion meetings with the stakeholders </w:t>
      </w:r>
      <w:r w:rsidR="00873DDC" w:rsidRPr="006524DF">
        <w:rPr>
          <w:color w:val="000000"/>
          <w:shd w:val="clear" w:color="auto" w:fill="FFFFFF"/>
          <w:lang w:val="en-CA"/>
        </w:rPr>
        <w:t>and</w:t>
      </w:r>
      <w:r w:rsidRPr="006524DF">
        <w:rPr>
          <w:color w:val="000000"/>
          <w:shd w:val="clear" w:color="auto" w:fill="FFFFFF"/>
          <w:lang w:val="en-CA"/>
        </w:rPr>
        <w:t xml:space="preserve"> verify the </w:t>
      </w:r>
      <w:r w:rsidR="00873DDC" w:rsidRPr="006524DF">
        <w:rPr>
          <w:color w:val="000000"/>
          <w:shd w:val="clear" w:color="auto" w:fill="FFFFFF"/>
          <w:lang w:val="en-CA"/>
        </w:rPr>
        <w:t>original</w:t>
      </w:r>
      <w:r w:rsidRPr="006524DF">
        <w:rPr>
          <w:color w:val="000000"/>
          <w:shd w:val="clear" w:color="auto" w:fill="FFFFFF"/>
          <w:lang w:val="en-CA"/>
        </w:rPr>
        <w:t xml:space="preserve"> documents. The NOU </w:t>
      </w:r>
      <w:r w:rsidR="00873DDC" w:rsidRPr="006524DF">
        <w:rPr>
          <w:color w:val="000000"/>
          <w:shd w:val="clear" w:color="auto" w:fill="FFFFFF"/>
          <w:lang w:val="en-CA"/>
        </w:rPr>
        <w:t xml:space="preserve">facilitated virtual meetings </w:t>
      </w:r>
      <w:r w:rsidR="00243CD2" w:rsidRPr="006524DF">
        <w:rPr>
          <w:color w:val="000000"/>
          <w:shd w:val="clear" w:color="auto" w:fill="FFFFFF"/>
          <w:lang w:val="en-CA"/>
        </w:rPr>
        <w:t xml:space="preserve">between </w:t>
      </w:r>
      <w:r w:rsidR="00873DDC" w:rsidRPr="006524DF">
        <w:rPr>
          <w:color w:val="000000"/>
          <w:shd w:val="clear" w:color="auto" w:fill="FFFFFF"/>
          <w:lang w:val="en-CA"/>
        </w:rPr>
        <w:t>the auditor and stakeholders</w:t>
      </w:r>
      <w:r w:rsidR="00243CD2" w:rsidRPr="006524DF">
        <w:rPr>
          <w:color w:val="000000"/>
          <w:shd w:val="clear" w:color="auto" w:fill="FFFFFF"/>
          <w:lang w:val="en-CA"/>
        </w:rPr>
        <w:t>,</w:t>
      </w:r>
      <w:r w:rsidR="00873DDC" w:rsidRPr="006524DF">
        <w:rPr>
          <w:color w:val="000000"/>
          <w:shd w:val="clear" w:color="auto" w:fill="FFFFFF"/>
          <w:lang w:val="en-CA"/>
        </w:rPr>
        <w:t xml:space="preserve"> </w:t>
      </w:r>
      <w:r w:rsidRPr="006524DF">
        <w:rPr>
          <w:color w:val="000000"/>
          <w:shd w:val="clear" w:color="auto" w:fill="FFFFFF"/>
          <w:lang w:val="en-CA"/>
        </w:rPr>
        <w:t xml:space="preserve">coordinated with </w:t>
      </w:r>
      <w:r w:rsidR="00243CD2" w:rsidRPr="006524DF">
        <w:rPr>
          <w:color w:val="000000"/>
          <w:shd w:val="clear" w:color="auto" w:fill="FFFFFF"/>
          <w:lang w:val="en-CA"/>
        </w:rPr>
        <w:t>them</w:t>
      </w:r>
      <w:r w:rsidRPr="006524DF">
        <w:rPr>
          <w:color w:val="000000"/>
          <w:shd w:val="clear" w:color="auto" w:fill="FFFFFF"/>
          <w:lang w:val="en-CA"/>
        </w:rPr>
        <w:t xml:space="preserve"> and sent all required information and documents to the auditor through e-mail. </w:t>
      </w:r>
    </w:p>
    <w:p w14:paraId="55ED049F" w14:textId="6DA8EE06" w:rsidR="00894B2D" w:rsidRPr="006524DF" w:rsidRDefault="00894B2D" w:rsidP="002B6E52">
      <w:pPr>
        <w:pStyle w:val="Heading1"/>
        <w:widowControl w:val="0"/>
        <w:numPr>
          <w:ilvl w:val="0"/>
          <w:numId w:val="10"/>
        </w:numPr>
        <w:spacing w:before="240"/>
        <w:rPr>
          <w:lang w:val="en-CA"/>
        </w:rPr>
      </w:pPr>
      <w:r w:rsidRPr="00765981">
        <w:rPr>
          <w:lang w:val="en-CA"/>
        </w:rPr>
        <w:t xml:space="preserve">One country mentioned </w:t>
      </w:r>
      <w:r w:rsidR="007F3233" w:rsidRPr="00765981">
        <w:rPr>
          <w:lang w:val="en-CA"/>
        </w:rPr>
        <w:t xml:space="preserve">that the </w:t>
      </w:r>
      <w:r w:rsidR="00B14196" w:rsidRPr="00765981">
        <w:rPr>
          <w:lang w:val="en-CA"/>
        </w:rPr>
        <w:t>time allocated</w:t>
      </w:r>
      <w:r w:rsidRPr="00765981">
        <w:rPr>
          <w:lang w:val="en-CA"/>
        </w:rPr>
        <w:t xml:space="preserve"> </w:t>
      </w:r>
      <w:r w:rsidR="00873DDC" w:rsidRPr="00765981">
        <w:rPr>
          <w:lang w:val="en-CA"/>
        </w:rPr>
        <w:t>between the reception of the 2019</w:t>
      </w:r>
      <w:r w:rsidRPr="00765981">
        <w:rPr>
          <w:lang w:val="en-CA"/>
        </w:rPr>
        <w:t xml:space="preserve"> information </w:t>
      </w:r>
      <w:r w:rsidR="007F3233" w:rsidRPr="00765981">
        <w:rPr>
          <w:lang w:val="en-CA"/>
        </w:rPr>
        <w:t xml:space="preserve">from the stakeholders (e.g., </w:t>
      </w:r>
      <w:r w:rsidR="00B14196" w:rsidRPr="00765981">
        <w:rPr>
          <w:lang w:val="en-CA"/>
        </w:rPr>
        <w:t>customs</w:t>
      </w:r>
      <w:r w:rsidR="007F3233" w:rsidRPr="00765981">
        <w:rPr>
          <w:lang w:val="en-CA"/>
        </w:rPr>
        <w:t xml:space="preserve">) and </w:t>
      </w:r>
      <w:r w:rsidRPr="00765981">
        <w:rPr>
          <w:lang w:val="en-CA"/>
        </w:rPr>
        <w:t xml:space="preserve">the </w:t>
      </w:r>
      <w:r w:rsidR="007F3233" w:rsidRPr="00765981">
        <w:rPr>
          <w:lang w:val="en-CA"/>
        </w:rPr>
        <w:t xml:space="preserve">due </w:t>
      </w:r>
      <w:r w:rsidRPr="00765981">
        <w:rPr>
          <w:lang w:val="en-CA"/>
        </w:rPr>
        <w:t xml:space="preserve">submission date </w:t>
      </w:r>
      <w:r w:rsidR="007F3233" w:rsidRPr="00765981">
        <w:rPr>
          <w:lang w:val="en-CA"/>
        </w:rPr>
        <w:t xml:space="preserve">of the </w:t>
      </w:r>
      <w:r w:rsidR="00B14196" w:rsidRPr="00765981">
        <w:rPr>
          <w:lang w:val="en-CA"/>
        </w:rPr>
        <w:t xml:space="preserve">verification </w:t>
      </w:r>
      <w:r w:rsidR="007F3233" w:rsidRPr="00765981">
        <w:rPr>
          <w:lang w:val="en-CA"/>
        </w:rPr>
        <w:t xml:space="preserve">report </w:t>
      </w:r>
      <w:r w:rsidRPr="00765981">
        <w:rPr>
          <w:lang w:val="en-CA"/>
        </w:rPr>
        <w:t>in 2020</w:t>
      </w:r>
      <w:r w:rsidR="00854001" w:rsidRPr="00765981">
        <w:rPr>
          <w:lang w:val="en-CA"/>
        </w:rPr>
        <w:t>,</w:t>
      </w:r>
      <w:r w:rsidR="007F3233" w:rsidRPr="00765981">
        <w:rPr>
          <w:lang w:val="en-CA"/>
        </w:rPr>
        <w:t xml:space="preserve"> for consideration by the Secretariat to review the next tranche request, was </w:t>
      </w:r>
      <w:r w:rsidR="00B14196" w:rsidRPr="00765981">
        <w:rPr>
          <w:lang w:val="en-CA"/>
        </w:rPr>
        <w:t>too</w:t>
      </w:r>
      <w:r w:rsidR="007F3233" w:rsidRPr="00765981">
        <w:rPr>
          <w:lang w:val="en-CA"/>
        </w:rPr>
        <w:t xml:space="preserve"> short</w:t>
      </w:r>
      <w:r w:rsidR="00B14196" w:rsidRPr="00765981">
        <w:rPr>
          <w:lang w:val="en-CA"/>
        </w:rPr>
        <w:t xml:space="preserve"> given the amount of information to review, thus leading to delays</w:t>
      </w:r>
      <w:r w:rsidR="00873DDC" w:rsidRPr="00765981">
        <w:rPr>
          <w:lang w:val="en-CA"/>
        </w:rPr>
        <w:t>.</w:t>
      </w:r>
      <w:r w:rsidR="00873DDC" w:rsidRPr="006524DF">
        <w:rPr>
          <w:lang w:val="en-CA"/>
        </w:rPr>
        <w:t xml:space="preserve"> </w:t>
      </w:r>
      <w:r w:rsidR="004E0D8F" w:rsidRPr="006524DF">
        <w:rPr>
          <w:lang w:val="en-CA"/>
        </w:rPr>
        <w:t xml:space="preserve">Timing was an issue for the auditor in charge of conducting four </w:t>
      </w:r>
      <w:r w:rsidR="00341652" w:rsidRPr="006524DF">
        <w:rPr>
          <w:lang w:val="en-CA"/>
        </w:rPr>
        <w:t xml:space="preserve">simultaneous </w:t>
      </w:r>
      <w:r w:rsidR="004E0D8F" w:rsidRPr="006524DF">
        <w:rPr>
          <w:lang w:val="en-CA"/>
        </w:rPr>
        <w:t>verifications in the Pacific Island Countries (PIC) to maintain the consistency in</w:t>
      </w:r>
      <w:r w:rsidR="002B6E52" w:rsidRPr="006524DF">
        <w:rPr>
          <w:lang w:val="en-CA"/>
        </w:rPr>
        <w:t xml:space="preserve"> consumption</w:t>
      </w:r>
      <w:r w:rsidR="004E0D8F" w:rsidRPr="006524DF">
        <w:rPr>
          <w:lang w:val="en-CA"/>
        </w:rPr>
        <w:t xml:space="preserve"> data validation and analysis. </w:t>
      </w:r>
      <w:r w:rsidR="00341652" w:rsidRPr="006524DF">
        <w:rPr>
          <w:lang w:val="en-CA"/>
        </w:rPr>
        <w:t>Some of the</w:t>
      </w:r>
      <w:r w:rsidR="004E0D8F" w:rsidRPr="006524DF">
        <w:rPr>
          <w:lang w:val="en-CA"/>
        </w:rPr>
        <w:t xml:space="preserve"> </w:t>
      </w:r>
      <w:r w:rsidR="00341652" w:rsidRPr="006524DF">
        <w:rPr>
          <w:lang w:val="en-CA"/>
        </w:rPr>
        <w:t>verifications in the PIC</w:t>
      </w:r>
      <w:r w:rsidR="004E0D8F" w:rsidRPr="006524DF">
        <w:rPr>
          <w:lang w:val="en-CA"/>
        </w:rPr>
        <w:t xml:space="preserve"> were conducted for </w:t>
      </w:r>
      <w:r w:rsidR="00341652" w:rsidRPr="006524DF">
        <w:rPr>
          <w:lang w:val="en-CA"/>
        </w:rPr>
        <w:t xml:space="preserve">the first time, which resulted in delays due to </w:t>
      </w:r>
      <w:r w:rsidR="00243CD2" w:rsidRPr="006524DF">
        <w:rPr>
          <w:lang w:val="en-CA"/>
        </w:rPr>
        <w:t xml:space="preserve">the </w:t>
      </w:r>
      <w:r w:rsidR="00341652" w:rsidRPr="006524DF">
        <w:rPr>
          <w:lang w:val="en-CA"/>
        </w:rPr>
        <w:t>lack</w:t>
      </w:r>
      <w:r w:rsidR="00E23709" w:rsidRPr="006524DF">
        <w:rPr>
          <w:lang w:val="en-CA"/>
        </w:rPr>
        <w:t xml:space="preserve"> of</w:t>
      </w:r>
      <w:r w:rsidR="004E0D8F" w:rsidRPr="006524DF">
        <w:rPr>
          <w:lang w:val="en-CA"/>
        </w:rPr>
        <w:t xml:space="preserve"> </w:t>
      </w:r>
      <w:r w:rsidR="00243CD2" w:rsidRPr="006524DF">
        <w:rPr>
          <w:lang w:val="en-CA"/>
        </w:rPr>
        <w:t xml:space="preserve">stakeholders’ </w:t>
      </w:r>
      <w:r w:rsidR="004E0D8F" w:rsidRPr="006524DF">
        <w:rPr>
          <w:lang w:val="en-CA"/>
        </w:rPr>
        <w:t>experiences</w:t>
      </w:r>
      <w:r w:rsidR="00E23709" w:rsidRPr="006524DF">
        <w:rPr>
          <w:lang w:val="en-CA"/>
        </w:rPr>
        <w:t xml:space="preserve"> </w:t>
      </w:r>
      <w:r w:rsidR="004E0D8F" w:rsidRPr="006524DF">
        <w:rPr>
          <w:lang w:val="en-CA"/>
        </w:rPr>
        <w:t>and</w:t>
      </w:r>
      <w:r w:rsidR="00E23709" w:rsidRPr="006524DF">
        <w:rPr>
          <w:lang w:val="en-CA"/>
        </w:rPr>
        <w:t xml:space="preserve"> the</w:t>
      </w:r>
      <w:r w:rsidR="004E0D8F" w:rsidRPr="006524DF">
        <w:rPr>
          <w:lang w:val="en-CA"/>
        </w:rPr>
        <w:t xml:space="preserve"> need to fully understand the scope and details of </w:t>
      </w:r>
      <w:r w:rsidR="00E23709" w:rsidRPr="006524DF">
        <w:rPr>
          <w:lang w:val="en-CA"/>
        </w:rPr>
        <w:t>the</w:t>
      </w:r>
      <w:r w:rsidR="004E0D8F" w:rsidRPr="006524DF">
        <w:rPr>
          <w:lang w:val="en-CA"/>
        </w:rPr>
        <w:t xml:space="preserve"> </w:t>
      </w:r>
      <w:r w:rsidR="00243CD2" w:rsidRPr="006524DF">
        <w:rPr>
          <w:lang w:val="en-CA"/>
        </w:rPr>
        <w:t xml:space="preserve">required </w:t>
      </w:r>
      <w:r w:rsidR="004E0D8F" w:rsidRPr="006524DF">
        <w:rPr>
          <w:lang w:val="en-CA"/>
        </w:rPr>
        <w:t>cooperation.</w:t>
      </w:r>
      <w:r w:rsidR="00E23709" w:rsidRPr="006524DF">
        <w:rPr>
          <w:lang w:val="en-CA"/>
        </w:rPr>
        <w:t xml:space="preserve"> </w:t>
      </w:r>
      <w:r w:rsidR="002B6E52" w:rsidRPr="006524DF">
        <w:rPr>
          <w:lang w:val="en-CA"/>
        </w:rPr>
        <w:t xml:space="preserve">In some countries, </w:t>
      </w:r>
      <w:r w:rsidR="004E0D8F" w:rsidRPr="006524DF">
        <w:rPr>
          <w:lang w:val="en-CA"/>
        </w:rPr>
        <w:t xml:space="preserve">Customs and Border Protection </w:t>
      </w:r>
      <w:r w:rsidR="002B6E52" w:rsidRPr="006524DF">
        <w:rPr>
          <w:lang w:val="en-CA"/>
        </w:rPr>
        <w:t xml:space="preserve">was </w:t>
      </w:r>
      <w:r w:rsidR="00E522AC" w:rsidRPr="006524DF">
        <w:rPr>
          <w:lang w:val="en-CA"/>
        </w:rPr>
        <w:t>un</w:t>
      </w:r>
      <w:r w:rsidR="004E0D8F" w:rsidRPr="006524DF">
        <w:rPr>
          <w:lang w:val="en-CA"/>
        </w:rPr>
        <w:t xml:space="preserve">able to provide customs declaration due to confidentiality </w:t>
      </w:r>
      <w:r w:rsidR="00243CD2" w:rsidRPr="006524DF">
        <w:rPr>
          <w:lang w:val="en-CA"/>
        </w:rPr>
        <w:t>l</w:t>
      </w:r>
      <w:r w:rsidR="00C8250D" w:rsidRPr="006524DF">
        <w:rPr>
          <w:lang w:val="en-CA"/>
        </w:rPr>
        <w:t>aws;</w:t>
      </w:r>
      <w:r w:rsidR="00E522AC" w:rsidRPr="006524DF">
        <w:rPr>
          <w:lang w:val="en-CA"/>
        </w:rPr>
        <w:t xml:space="preserve"> missing documentation</w:t>
      </w:r>
      <w:r w:rsidR="00C8250D" w:rsidRPr="006524DF">
        <w:rPr>
          <w:lang w:val="en-CA"/>
        </w:rPr>
        <w:t xml:space="preserve"> or incomplete/insufficient information </w:t>
      </w:r>
      <w:r w:rsidR="002B6E52" w:rsidRPr="006524DF">
        <w:rPr>
          <w:lang w:val="en-CA"/>
        </w:rPr>
        <w:t xml:space="preserve">was presented </w:t>
      </w:r>
      <w:r w:rsidR="00C8250D" w:rsidRPr="006524DF">
        <w:rPr>
          <w:lang w:val="en-CA"/>
        </w:rPr>
        <w:t>in initial reports;</w:t>
      </w:r>
      <w:r w:rsidR="00E522AC" w:rsidRPr="006524DF">
        <w:rPr>
          <w:lang w:val="en-CA"/>
        </w:rPr>
        <w:t xml:space="preserve"> delays in r</w:t>
      </w:r>
      <w:r w:rsidR="004E0D8F" w:rsidRPr="006524DF">
        <w:rPr>
          <w:lang w:val="en-CA"/>
        </w:rPr>
        <w:t xml:space="preserve">etrieving data from the </w:t>
      </w:r>
      <w:r w:rsidR="002400A8" w:rsidRPr="006524DF">
        <w:rPr>
          <w:lang w:val="en-CA"/>
        </w:rPr>
        <w:t>Automated System for Customs Data (</w:t>
      </w:r>
      <w:r w:rsidR="004E0D8F" w:rsidRPr="006524DF">
        <w:rPr>
          <w:lang w:val="en-CA"/>
        </w:rPr>
        <w:t>ASYCUDA</w:t>
      </w:r>
      <w:r w:rsidR="002400A8" w:rsidRPr="006524DF">
        <w:rPr>
          <w:lang w:val="en-CA"/>
        </w:rPr>
        <w:t>)</w:t>
      </w:r>
      <w:r w:rsidR="004E0D8F" w:rsidRPr="006524DF">
        <w:rPr>
          <w:lang w:val="en-CA"/>
        </w:rPr>
        <w:t xml:space="preserve"> </w:t>
      </w:r>
      <w:r w:rsidR="002B6E52" w:rsidRPr="006524DF">
        <w:rPr>
          <w:lang w:val="en-CA"/>
        </w:rPr>
        <w:t xml:space="preserve">were </w:t>
      </w:r>
      <w:r w:rsidR="004E0D8F" w:rsidRPr="006524DF">
        <w:rPr>
          <w:lang w:val="en-CA"/>
        </w:rPr>
        <w:t>due to mis</w:t>
      </w:r>
      <w:r w:rsidR="00C8250D" w:rsidRPr="006524DF">
        <w:rPr>
          <w:lang w:val="en-CA"/>
        </w:rPr>
        <w:t xml:space="preserve">classification of HS codes; and </w:t>
      </w:r>
      <w:r w:rsidRPr="006524DF">
        <w:rPr>
          <w:lang w:val="en-CA"/>
        </w:rPr>
        <w:t xml:space="preserve">customs declaration of shipments </w:t>
      </w:r>
      <w:r w:rsidR="002B6E52" w:rsidRPr="006524DF">
        <w:rPr>
          <w:lang w:val="en-CA"/>
        </w:rPr>
        <w:t xml:space="preserve">were </w:t>
      </w:r>
      <w:r w:rsidRPr="006524DF">
        <w:rPr>
          <w:lang w:val="en-CA"/>
        </w:rPr>
        <w:t xml:space="preserve">not </w:t>
      </w:r>
      <w:r w:rsidR="00F84557" w:rsidRPr="006524DF">
        <w:rPr>
          <w:lang w:val="en-CA"/>
        </w:rPr>
        <w:t>documented</w:t>
      </w:r>
      <w:r w:rsidRPr="006524DF">
        <w:rPr>
          <w:lang w:val="en-CA"/>
        </w:rPr>
        <w:t xml:space="preserve"> by the NOU.</w:t>
      </w:r>
    </w:p>
    <w:p w14:paraId="00D71E4F" w14:textId="1F2C4FD3" w:rsidR="00894B2D" w:rsidRPr="006524DF" w:rsidRDefault="00894B2D" w:rsidP="000D338E">
      <w:pPr>
        <w:pStyle w:val="Heading1"/>
        <w:widowControl w:val="0"/>
        <w:numPr>
          <w:ilvl w:val="0"/>
          <w:numId w:val="10"/>
        </w:numPr>
        <w:spacing w:before="240"/>
      </w:pPr>
      <w:r w:rsidRPr="006524DF">
        <w:rPr>
          <w:color w:val="000000"/>
          <w:shd w:val="clear" w:color="auto" w:fill="FFFFFF"/>
          <w:lang w:val="en-CA"/>
        </w:rPr>
        <w:t xml:space="preserve">One technical assistance </w:t>
      </w:r>
      <w:r w:rsidR="002A5AEA" w:rsidRPr="006524DF">
        <w:rPr>
          <w:color w:val="000000"/>
          <w:shd w:val="clear" w:color="auto" w:fill="FFFFFF"/>
          <w:lang w:val="en-CA"/>
        </w:rPr>
        <w:t>project</w:t>
      </w:r>
      <w:r w:rsidRPr="006524DF">
        <w:rPr>
          <w:color w:val="000000"/>
          <w:shd w:val="clear" w:color="auto" w:fill="FFFFFF"/>
          <w:lang w:val="en-CA"/>
        </w:rPr>
        <w:t xml:space="preserve"> </w:t>
      </w:r>
      <w:r w:rsidR="00243CD2" w:rsidRPr="006524DF">
        <w:rPr>
          <w:color w:val="000000"/>
          <w:shd w:val="clear" w:color="auto" w:fill="FFFFFF"/>
          <w:lang w:val="en-CA"/>
        </w:rPr>
        <w:t xml:space="preserve">to create </w:t>
      </w:r>
      <w:r w:rsidRPr="006524DF">
        <w:rPr>
          <w:color w:val="000000"/>
          <w:shd w:val="clear" w:color="auto" w:fill="FFFFFF"/>
          <w:lang w:val="en-CA"/>
        </w:rPr>
        <w:t>cent</w:t>
      </w:r>
      <w:r w:rsidR="002B6E52" w:rsidRPr="006524DF">
        <w:rPr>
          <w:color w:val="000000"/>
          <w:shd w:val="clear" w:color="auto" w:fill="FFFFFF"/>
          <w:lang w:val="en-CA"/>
        </w:rPr>
        <w:t>r</w:t>
      </w:r>
      <w:r w:rsidRPr="006524DF">
        <w:rPr>
          <w:color w:val="000000"/>
          <w:shd w:val="clear" w:color="auto" w:fill="FFFFFF"/>
          <w:lang w:val="en-CA"/>
        </w:rPr>
        <w:t>es for excellence</w:t>
      </w:r>
      <w:r w:rsidR="00C8250D" w:rsidRPr="006524DF">
        <w:rPr>
          <w:color w:val="000000"/>
          <w:shd w:val="clear" w:color="auto" w:fill="FFFFFF"/>
          <w:lang w:val="en-CA"/>
        </w:rPr>
        <w:t xml:space="preserve"> </w:t>
      </w:r>
      <w:r w:rsidR="00243CD2" w:rsidRPr="006524DF">
        <w:rPr>
          <w:color w:val="000000"/>
          <w:shd w:val="clear" w:color="auto" w:fill="FFFFFF"/>
          <w:lang w:val="en-CA"/>
        </w:rPr>
        <w:t xml:space="preserve">experienced delays in implementation </w:t>
      </w:r>
      <w:r w:rsidR="00C8250D" w:rsidRPr="006524DF">
        <w:rPr>
          <w:color w:val="000000"/>
          <w:shd w:val="clear" w:color="auto" w:fill="FFFFFF"/>
          <w:lang w:val="en-CA"/>
        </w:rPr>
        <w:t>due to the challenges in identifying</w:t>
      </w:r>
      <w:r w:rsidRPr="006524DF">
        <w:rPr>
          <w:color w:val="000000"/>
          <w:shd w:val="clear" w:color="auto" w:fill="FFFFFF"/>
          <w:lang w:val="en-CA"/>
        </w:rPr>
        <w:t xml:space="preserve"> </w:t>
      </w:r>
      <w:r w:rsidR="00C8250D" w:rsidRPr="006524DF">
        <w:rPr>
          <w:color w:val="000000"/>
          <w:shd w:val="clear" w:color="auto" w:fill="FFFFFF"/>
          <w:lang w:val="en-CA"/>
        </w:rPr>
        <w:t xml:space="preserve">and replacing </w:t>
      </w:r>
      <w:r w:rsidRPr="006524DF">
        <w:rPr>
          <w:color w:val="000000"/>
          <w:shd w:val="clear" w:color="auto" w:fill="FFFFFF"/>
          <w:lang w:val="en-CA"/>
        </w:rPr>
        <w:t xml:space="preserve">beneficiaries for the </w:t>
      </w:r>
      <w:r w:rsidR="00C8250D" w:rsidRPr="006524DF">
        <w:rPr>
          <w:color w:val="000000"/>
          <w:shd w:val="clear" w:color="auto" w:fill="FFFFFF"/>
          <w:lang w:val="en-CA"/>
        </w:rPr>
        <w:t>regional cent</w:t>
      </w:r>
      <w:r w:rsidR="002B6E52" w:rsidRPr="006524DF">
        <w:rPr>
          <w:color w:val="000000"/>
          <w:shd w:val="clear" w:color="auto" w:fill="FFFFFF"/>
          <w:lang w:val="en-CA"/>
        </w:rPr>
        <w:t>re</w:t>
      </w:r>
      <w:r w:rsidR="00C8250D" w:rsidRPr="006524DF">
        <w:rPr>
          <w:color w:val="000000"/>
          <w:shd w:val="clear" w:color="auto" w:fill="FFFFFF"/>
          <w:lang w:val="en-CA"/>
        </w:rPr>
        <w:t xml:space="preserve"> of e</w:t>
      </w:r>
      <w:r w:rsidRPr="006524DF">
        <w:rPr>
          <w:color w:val="000000"/>
          <w:shd w:val="clear" w:color="auto" w:fill="FFFFFF"/>
          <w:lang w:val="en-CA"/>
        </w:rPr>
        <w:t>xcellence</w:t>
      </w:r>
      <w:r w:rsidR="00C8250D" w:rsidRPr="006524DF">
        <w:rPr>
          <w:color w:val="000000"/>
          <w:shd w:val="clear" w:color="auto" w:fill="FFFFFF"/>
          <w:lang w:val="en-CA"/>
        </w:rPr>
        <w:t xml:space="preserve"> and the related lengthy </w:t>
      </w:r>
      <w:r w:rsidRPr="006524DF">
        <w:rPr>
          <w:color w:val="000000"/>
          <w:shd w:val="clear" w:color="auto" w:fill="FFFFFF"/>
          <w:lang w:val="en-CA"/>
        </w:rPr>
        <w:t>bidding processes</w:t>
      </w:r>
      <w:r w:rsidR="00E2327A" w:rsidRPr="006524DF">
        <w:rPr>
          <w:color w:val="000000"/>
          <w:shd w:val="clear" w:color="auto" w:fill="FFFFFF"/>
          <w:lang w:val="en-CA"/>
        </w:rPr>
        <w:t>.</w:t>
      </w:r>
      <w:r w:rsidR="005C5C35" w:rsidRPr="006524DF">
        <w:rPr>
          <w:color w:val="000000"/>
          <w:shd w:val="clear" w:color="auto" w:fill="FFFFFF"/>
          <w:lang w:val="en-CA"/>
        </w:rPr>
        <w:t xml:space="preserve"> </w:t>
      </w:r>
      <w:r w:rsidR="00243CD2" w:rsidRPr="006524DF">
        <w:rPr>
          <w:color w:val="000000"/>
          <w:shd w:val="clear" w:color="auto" w:fill="FFFFFF"/>
          <w:lang w:val="en-CA"/>
        </w:rPr>
        <w:t xml:space="preserve">Other delays resulted from </w:t>
      </w:r>
      <w:r w:rsidR="00E2327A" w:rsidRPr="006524DF">
        <w:rPr>
          <w:color w:val="000000"/>
          <w:shd w:val="clear" w:color="auto" w:fill="FFFFFF"/>
          <w:lang w:val="en-CA"/>
        </w:rPr>
        <w:t xml:space="preserve">internal </w:t>
      </w:r>
      <w:r w:rsidRPr="006524DF">
        <w:rPr>
          <w:color w:val="000000"/>
          <w:shd w:val="clear" w:color="auto" w:fill="FFFFFF"/>
          <w:lang w:val="en-CA"/>
        </w:rPr>
        <w:t xml:space="preserve">political reforms that impeded the </w:t>
      </w:r>
      <w:r w:rsidR="00243CD2" w:rsidRPr="006524DF">
        <w:rPr>
          <w:color w:val="000000"/>
          <w:shd w:val="clear" w:color="auto" w:fill="FFFFFF"/>
          <w:lang w:val="en-CA"/>
        </w:rPr>
        <w:t xml:space="preserve">launch </w:t>
      </w:r>
      <w:r w:rsidRPr="006524DF">
        <w:rPr>
          <w:color w:val="000000"/>
          <w:shd w:val="clear" w:color="auto" w:fill="FFFFFF"/>
          <w:lang w:val="en-CA"/>
        </w:rPr>
        <w:t xml:space="preserve">of </w:t>
      </w:r>
      <w:r w:rsidR="00C8250D" w:rsidRPr="006524DF">
        <w:rPr>
          <w:color w:val="000000"/>
          <w:shd w:val="clear" w:color="auto" w:fill="FFFFFF"/>
          <w:lang w:val="en-CA"/>
        </w:rPr>
        <w:t xml:space="preserve">some activities and </w:t>
      </w:r>
      <w:r w:rsidR="005C5C35" w:rsidRPr="006524DF">
        <w:rPr>
          <w:color w:val="000000"/>
          <w:shd w:val="clear" w:color="auto" w:fill="FFFFFF"/>
          <w:lang w:val="en-CA"/>
        </w:rPr>
        <w:t>timely transfer of</w:t>
      </w:r>
      <w:r w:rsidRPr="006524DF">
        <w:rPr>
          <w:color w:val="000000"/>
          <w:shd w:val="clear" w:color="auto" w:fill="FFFFFF"/>
          <w:lang w:val="en-CA"/>
        </w:rPr>
        <w:t xml:space="preserve"> fund</w:t>
      </w:r>
      <w:r w:rsidR="00C8250D" w:rsidRPr="006524DF">
        <w:rPr>
          <w:color w:val="000000"/>
          <w:shd w:val="clear" w:color="auto" w:fill="FFFFFF"/>
          <w:lang w:val="en-CA"/>
        </w:rPr>
        <w:t>s</w:t>
      </w:r>
      <w:r w:rsidRPr="006524DF">
        <w:rPr>
          <w:color w:val="000000"/>
          <w:shd w:val="clear" w:color="auto" w:fill="FFFFFF"/>
          <w:lang w:val="en-CA"/>
        </w:rPr>
        <w:t>.</w:t>
      </w:r>
    </w:p>
    <w:p w14:paraId="57B2684E" w14:textId="14E51FB3" w:rsidR="00222C40" w:rsidRPr="006524DF" w:rsidRDefault="00222C40" w:rsidP="00605D6D">
      <w:pPr>
        <w:pStyle w:val="Heading1"/>
        <w:keepNext/>
        <w:keepLines/>
        <w:widowControl w:val="0"/>
        <w:numPr>
          <w:ilvl w:val="0"/>
          <w:numId w:val="0"/>
        </w:numPr>
        <w:tabs>
          <w:tab w:val="left" w:pos="720"/>
        </w:tabs>
        <w:rPr>
          <w:b/>
        </w:rPr>
      </w:pPr>
      <w:r w:rsidRPr="006524DF">
        <w:rPr>
          <w:b/>
        </w:rPr>
        <w:t>Lessons learned</w:t>
      </w:r>
      <w:r w:rsidRPr="006524DF">
        <w:rPr>
          <w:vertAlign w:val="superscript"/>
        </w:rPr>
        <w:footnoteReference w:id="7"/>
      </w:r>
    </w:p>
    <w:p w14:paraId="72586D99" w14:textId="5CCE10EE" w:rsidR="00222C40" w:rsidRPr="006524DF" w:rsidRDefault="00222C40" w:rsidP="00605D6D">
      <w:pPr>
        <w:pStyle w:val="Heading1"/>
        <w:widowControl w:val="0"/>
        <w:tabs>
          <w:tab w:val="clear" w:pos="0"/>
          <w:tab w:val="num" w:pos="720"/>
        </w:tabs>
        <w:spacing w:before="240"/>
        <w:rPr>
          <w:lang w:val="en-CA"/>
        </w:rPr>
      </w:pPr>
      <w:r w:rsidRPr="006524DF">
        <w:rPr>
          <w:lang w:val="en-CA"/>
        </w:rPr>
        <w:t>Recurring lessons stemmed</w:t>
      </w:r>
      <w:r w:rsidR="00041030" w:rsidRPr="006524DF">
        <w:rPr>
          <w:lang w:val="en-CA"/>
        </w:rPr>
        <w:t xml:space="preserve"> from</w:t>
      </w:r>
      <w:r w:rsidRPr="006524DF">
        <w:rPr>
          <w:lang w:val="en-CA"/>
        </w:rPr>
        <w:t xml:space="preserve">, </w:t>
      </w:r>
      <w:r w:rsidRPr="006524DF">
        <w:rPr>
          <w:i/>
          <w:lang w:val="en-CA"/>
        </w:rPr>
        <w:t>inter alia</w:t>
      </w:r>
      <w:r w:rsidRPr="006524DF">
        <w:rPr>
          <w:lang w:val="en-CA"/>
        </w:rPr>
        <w:t>:</w:t>
      </w:r>
      <w:r w:rsidR="002A5AEA" w:rsidRPr="006524DF">
        <w:rPr>
          <w:lang w:val="en-CA"/>
        </w:rPr>
        <w:t xml:space="preserve"> </w:t>
      </w:r>
      <w:r w:rsidR="008B432D" w:rsidRPr="006524DF">
        <w:rPr>
          <w:lang w:val="en-CA"/>
        </w:rPr>
        <w:t xml:space="preserve">communication, data classification and training needs; </w:t>
      </w:r>
      <w:r w:rsidR="002A5AEA" w:rsidRPr="006524DF">
        <w:rPr>
          <w:lang w:val="en-CA"/>
        </w:rPr>
        <w:t>new project with stakeholders lacking experience; travel</w:t>
      </w:r>
      <w:r w:rsidR="008B432D" w:rsidRPr="006524DF">
        <w:rPr>
          <w:lang w:val="en-CA"/>
        </w:rPr>
        <w:t xml:space="preserve"> restrictions</w:t>
      </w:r>
      <w:r w:rsidR="002A5AEA" w:rsidRPr="006524DF">
        <w:rPr>
          <w:lang w:val="en-CA"/>
        </w:rPr>
        <w:t>;</w:t>
      </w:r>
      <w:r w:rsidR="008B432D" w:rsidRPr="006524DF">
        <w:rPr>
          <w:lang w:val="en-CA"/>
        </w:rPr>
        <w:t xml:space="preserve"> regulation enforcement; and the necessity for a thorough assessment of the country’s overall situation and needs. </w:t>
      </w:r>
    </w:p>
    <w:p w14:paraId="45717626" w14:textId="77777777" w:rsidR="00222C40" w:rsidRPr="006524DF" w:rsidRDefault="000E7546" w:rsidP="00996C4C">
      <w:pPr>
        <w:pStyle w:val="Heading1"/>
        <w:widowControl w:val="0"/>
        <w:numPr>
          <w:ilvl w:val="0"/>
          <w:numId w:val="0"/>
        </w:numPr>
        <w:spacing w:before="240"/>
        <w:rPr>
          <w:u w:val="single"/>
        </w:rPr>
      </w:pPr>
      <w:r w:rsidRPr="006524DF">
        <w:rPr>
          <w:u w:val="single"/>
        </w:rPr>
        <w:t>Ve</w:t>
      </w:r>
      <w:r w:rsidR="00222C40" w:rsidRPr="006524DF">
        <w:rPr>
          <w:u w:val="single"/>
        </w:rPr>
        <w:t>rification report</w:t>
      </w:r>
      <w:r w:rsidR="00A0644B" w:rsidRPr="006524DF">
        <w:rPr>
          <w:u w:val="single"/>
        </w:rPr>
        <w:t>s</w:t>
      </w:r>
    </w:p>
    <w:p w14:paraId="2CCE7B7A" w14:textId="3EA7395B" w:rsidR="00CD5E5A" w:rsidRPr="006524DF" w:rsidRDefault="00222C40" w:rsidP="00D86027">
      <w:pPr>
        <w:pStyle w:val="Heading1"/>
        <w:widowControl w:val="0"/>
        <w:tabs>
          <w:tab w:val="clear" w:pos="0"/>
          <w:tab w:val="num" w:pos="720"/>
        </w:tabs>
        <w:spacing w:before="240"/>
        <w:rPr>
          <w:lang w:val="en-CA"/>
        </w:rPr>
      </w:pPr>
      <w:r w:rsidRPr="006524DF">
        <w:rPr>
          <w:lang w:val="en-CA"/>
        </w:rPr>
        <w:t xml:space="preserve">Verification reports contained a series of recommendations for ongoing and future projects, </w:t>
      </w:r>
      <w:r w:rsidR="008B432D" w:rsidRPr="006524DF">
        <w:rPr>
          <w:lang w:val="en-CA"/>
        </w:rPr>
        <w:t>m</w:t>
      </w:r>
      <w:r w:rsidR="002A5AEA" w:rsidRPr="006524DF">
        <w:rPr>
          <w:lang w:val="en-CA"/>
        </w:rPr>
        <w:t xml:space="preserve">any </w:t>
      </w:r>
      <w:r w:rsidR="002A5AEA" w:rsidRPr="006524DF">
        <w:rPr>
          <w:lang w:val="en-CA"/>
        </w:rPr>
        <w:lastRenderedPageBreak/>
        <w:t xml:space="preserve">reports raised the issue of the travel restrictions. This slowed the process and encumbered data collection. Discrepancies in data </w:t>
      </w:r>
      <w:r w:rsidR="002B6E52" w:rsidRPr="006524DF">
        <w:rPr>
          <w:lang w:val="en-CA"/>
        </w:rPr>
        <w:t xml:space="preserve">reporting </w:t>
      </w:r>
      <w:r w:rsidR="001B086A" w:rsidRPr="006524DF">
        <w:rPr>
          <w:lang w:val="en-CA"/>
        </w:rPr>
        <w:t>were resolved through</w:t>
      </w:r>
      <w:r w:rsidR="002A5AEA" w:rsidRPr="006524DF">
        <w:rPr>
          <w:lang w:val="en-CA"/>
        </w:rPr>
        <w:t xml:space="preserve"> enhanced cooperation and communication </w:t>
      </w:r>
      <w:r w:rsidR="001B086A" w:rsidRPr="006524DF">
        <w:rPr>
          <w:lang w:val="en-CA"/>
        </w:rPr>
        <w:t xml:space="preserve">with the relevant stakeholders and coordination by the NOU, which </w:t>
      </w:r>
      <w:r w:rsidR="008B432D" w:rsidRPr="006524DF">
        <w:rPr>
          <w:lang w:val="en-CA"/>
        </w:rPr>
        <w:t>allowed</w:t>
      </w:r>
      <w:r w:rsidR="002A5AEA" w:rsidRPr="006524DF">
        <w:rPr>
          <w:lang w:val="en-CA"/>
        </w:rPr>
        <w:t xml:space="preserve"> the </w:t>
      </w:r>
      <w:r w:rsidR="002B6E52" w:rsidRPr="006524DF">
        <w:rPr>
          <w:lang w:val="en-CA"/>
        </w:rPr>
        <w:t xml:space="preserve">verifier </w:t>
      </w:r>
      <w:r w:rsidR="002A5AEA" w:rsidRPr="006524DF">
        <w:rPr>
          <w:lang w:val="en-CA"/>
        </w:rPr>
        <w:t xml:space="preserve">to complete the assignment. </w:t>
      </w:r>
    </w:p>
    <w:p w14:paraId="0863D1D6" w14:textId="49F579A6" w:rsidR="00CD5E5A" w:rsidRPr="006524DF" w:rsidRDefault="00CD5E5A" w:rsidP="00CD5E5A">
      <w:pPr>
        <w:pStyle w:val="Heading1"/>
        <w:rPr>
          <w:lang w:val="en-CA"/>
        </w:rPr>
      </w:pPr>
      <w:r w:rsidRPr="006524DF">
        <w:rPr>
          <w:lang w:val="en-CA"/>
        </w:rPr>
        <w:t>One report mentioned the frequent changes in personnel, in the custom</w:t>
      </w:r>
      <w:r w:rsidR="007D7674" w:rsidRPr="006524DF">
        <w:rPr>
          <w:lang w:val="en-CA"/>
        </w:rPr>
        <w:t>s</w:t>
      </w:r>
      <w:r w:rsidRPr="006524DF">
        <w:rPr>
          <w:lang w:val="en-CA"/>
        </w:rPr>
        <w:t xml:space="preserve"> department especially, which resulted in a lack of counterpart for the NOU in the customs department to keep up the necessary monitoring over</w:t>
      </w:r>
      <w:r w:rsidR="004132C6" w:rsidRPr="006524DF">
        <w:rPr>
          <w:lang w:val="en-CA"/>
        </w:rPr>
        <w:t xml:space="preserve"> </w:t>
      </w:r>
      <w:r w:rsidRPr="006524DF">
        <w:rPr>
          <w:lang w:val="en-CA"/>
        </w:rPr>
        <w:t xml:space="preserve">time. It </w:t>
      </w:r>
      <w:r w:rsidR="004132C6" w:rsidRPr="006524DF">
        <w:rPr>
          <w:lang w:val="en-CA"/>
        </w:rPr>
        <w:t>recommended</w:t>
      </w:r>
      <w:r w:rsidRPr="006524DF">
        <w:rPr>
          <w:lang w:val="en-CA"/>
        </w:rPr>
        <w:t xml:space="preserve"> that governmental </w:t>
      </w:r>
      <w:r w:rsidR="004132C6" w:rsidRPr="006524DF">
        <w:rPr>
          <w:lang w:val="en-CA"/>
        </w:rPr>
        <w:t xml:space="preserve">institutions </w:t>
      </w:r>
      <w:r w:rsidRPr="006524DF">
        <w:rPr>
          <w:lang w:val="en-CA"/>
        </w:rPr>
        <w:t xml:space="preserve">in charge </w:t>
      </w:r>
      <w:r w:rsidR="004132C6" w:rsidRPr="006524DF">
        <w:rPr>
          <w:lang w:val="en-CA"/>
        </w:rPr>
        <w:t>should establish</w:t>
      </w:r>
      <w:r w:rsidRPr="006524DF">
        <w:rPr>
          <w:lang w:val="en-CA"/>
        </w:rPr>
        <w:t xml:space="preserve"> mechanism</w:t>
      </w:r>
      <w:r w:rsidR="004132C6" w:rsidRPr="006524DF">
        <w:rPr>
          <w:lang w:val="en-CA"/>
        </w:rPr>
        <w:t>s</w:t>
      </w:r>
      <w:r w:rsidRPr="006524DF">
        <w:rPr>
          <w:lang w:val="en-CA"/>
        </w:rPr>
        <w:t xml:space="preserve"> </w:t>
      </w:r>
      <w:r w:rsidR="004132C6" w:rsidRPr="006524DF">
        <w:rPr>
          <w:lang w:val="en-CA"/>
        </w:rPr>
        <w:t>to maintain</w:t>
      </w:r>
      <w:r w:rsidRPr="006524DF">
        <w:rPr>
          <w:lang w:val="en-CA"/>
        </w:rPr>
        <w:t xml:space="preserve"> constant communication channels </w:t>
      </w:r>
      <w:r w:rsidR="004132C6" w:rsidRPr="006524DF">
        <w:rPr>
          <w:lang w:val="en-CA"/>
        </w:rPr>
        <w:t xml:space="preserve">independently from staff turnover. </w:t>
      </w:r>
    </w:p>
    <w:p w14:paraId="7875C266" w14:textId="279DCC33" w:rsidR="0077335C" w:rsidRPr="006524DF" w:rsidRDefault="0077335C" w:rsidP="00BA4CCB">
      <w:pPr>
        <w:pStyle w:val="Heading1"/>
        <w:rPr>
          <w:lang w:val="en-CA"/>
        </w:rPr>
      </w:pPr>
      <w:r w:rsidRPr="006524DF">
        <w:rPr>
          <w:lang w:val="en-CA"/>
        </w:rPr>
        <w:t xml:space="preserve">Periodical data reconciliation among the different sources </w:t>
      </w:r>
      <w:r w:rsidR="004132C6" w:rsidRPr="006524DF">
        <w:rPr>
          <w:lang w:val="en-CA"/>
        </w:rPr>
        <w:t xml:space="preserve">is </w:t>
      </w:r>
      <w:r w:rsidRPr="006524DF">
        <w:rPr>
          <w:lang w:val="en-CA"/>
        </w:rPr>
        <w:t>important to report accurately the country’s</w:t>
      </w:r>
      <w:r w:rsidR="00AE6605" w:rsidRPr="006524DF">
        <w:rPr>
          <w:lang w:val="en-CA"/>
        </w:rPr>
        <w:t xml:space="preserve"> </w:t>
      </w:r>
      <w:r w:rsidR="00777755" w:rsidRPr="006524DF">
        <w:rPr>
          <w:lang w:val="en-CA"/>
        </w:rPr>
        <w:t xml:space="preserve">consumption </w:t>
      </w:r>
      <w:r w:rsidR="00AE6605" w:rsidRPr="006524DF">
        <w:rPr>
          <w:lang w:val="en-CA"/>
        </w:rPr>
        <w:t xml:space="preserve">data. </w:t>
      </w:r>
      <w:r w:rsidR="00BA4CCB" w:rsidRPr="006524DF">
        <w:rPr>
          <w:lang w:val="en-CA"/>
        </w:rPr>
        <w:t>Three</w:t>
      </w:r>
      <w:r w:rsidRPr="006524DF">
        <w:rPr>
          <w:lang w:val="en-CA"/>
        </w:rPr>
        <w:t xml:space="preserve"> </w:t>
      </w:r>
      <w:r w:rsidR="00BA4CCB" w:rsidRPr="006524DF">
        <w:rPr>
          <w:lang w:val="en-CA"/>
        </w:rPr>
        <w:t>countries</w:t>
      </w:r>
      <w:r w:rsidRPr="006524DF">
        <w:rPr>
          <w:lang w:val="en-CA"/>
        </w:rPr>
        <w:t xml:space="preserve"> mentioned that although </w:t>
      </w:r>
      <w:r w:rsidR="00BA4CCB" w:rsidRPr="006524DF">
        <w:rPr>
          <w:lang w:val="en-CA"/>
        </w:rPr>
        <w:t>they</w:t>
      </w:r>
      <w:r w:rsidRPr="006524DF">
        <w:rPr>
          <w:lang w:val="en-CA"/>
        </w:rPr>
        <w:t xml:space="preserve"> had implemented the post</w:t>
      </w:r>
      <w:r w:rsidR="007D7674" w:rsidRPr="006524DF">
        <w:rPr>
          <w:lang w:val="en-CA"/>
        </w:rPr>
        <w:noBreakHyphen/>
      </w:r>
      <w:r w:rsidRPr="006524DF">
        <w:rPr>
          <w:lang w:val="en-CA"/>
        </w:rPr>
        <w:t xml:space="preserve">clearance reporting requirement as per the recommendation from the previous verification, this was only applied to the shipments </w:t>
      </w:r>
      <w:r w:rsidR="00F84557" w:rsidRPr="006524DF">
        <w:rPr>
          <w:lang w:val="en-CA"/>
        </w:rPr>
        <w:t>documented</w:t>
      </w:r>
      <w:r w:rsidRPr="006524DF">
        <w:rPr>
          <w:lang w:val="en-CA"/>
        </w:rPr>
        <w:t xml:space="preserve"> by the NOU. The verification process identified missing shipping declaration from the Customs Department, which were not taken into account by the NOU. </w:t>
      </w:r>
      <w:r w:rsidR="00BA4CCB" w:rsidRPr="006524DF">
        <w:rPr>
          <w:lang w:val="en-CA"/>
        </w:rPr>
        <w:t>One of the countr</w:t>
      </w:r>
      <w:r w:rsidR="00114F90" w:rsidRPr="006524DF">
        <w:rPr>
          <w:lang w:val="en-CA"/>
        </w:rPr>
        <w:t>ies</w:t>
      </w:r>
      <w:r w:rsidR="00BA4CCB" w:rsidRPr="006524DF">
        <w:rPr>
          <w:lang w:val="en-CA"/>
        </w:rPr>
        <w:t xml:space="preserve"> mentioned that Customs data recording was in the process of moving to an online system, which </w:t>
      </w:r>
      <w:r w:rsidR="00114F90" w:rsidRPr="006524DF">
        <w:rPr>
          <w:lang w:val="en-CA"/>
        </w:rPr>
        <w:t xml:space="preserve">would </w:t>
      </w:r>
      <w:r w:rsidR="00BA4CCB" w:rsidRPr="006524DF">
        <w:rPr>
          <w:lang w:val="en-CA"/>
        </w:rPr>
        <w:t>facilitate data reconciliation in the future.</w:t>
      </w:r>
    </w:p>
    <w:p w14:paraId="58AFC414" w14:textId="5BF04C0F" w:rsidR="0077335C" w:rsidRPr="006524DF" w:rsidRDefault="001F6D5C" w:rsidP="0077335C">
      <w:pPr>
        <w:pStyle w:val="Heading1"/>
        <w:rPr>
          <w:lang w:val="en-CA"/>
        </w:rPr>
      </w:pPr>
      <w:r w:rsidRPr="00765981">
        <w:rPr>
          <w:lang w:val="en-CA"/>
        </w:rPr>
        <w:t>The verification report</w:t>
      </w:r>
      <w:r w:rsidR="0077335C" w:rsidRPr="00765981">
        <w:rPr>
          <w:lang w:val="en-CA"/>
        </w:rPr>
        <w:t xml:space="preserve"> recommended </w:t>
      </w:r>
      <w:r w:rsidRPr="00765981">
        <w:rPr>
          <w:lang w:val="en-CA"/>
        </w:rPr>
        <w:t xml:space="preserve">to one government </w:t>
      </w:r>
      <w:r w:rsidR="0077335C" w:rsidRPr="00765981">
        <w:rPr>
          <w:lang w:val="en-CA"/>
        </w:rPr>
        <w:t xml:space="preserve">to enforce </w:t>
      </w:r>
      <w:r w:rsidR="00A2037D" w:rsidRPr="00765981">
        <w:t xml:space="preserve">import quota and licensing system </w:t>
      </w:r>
      <w:r w:rsidR="0077335C" w:rsidRPr="00765981">
        <w:rPr>
          <w:lang w:val="en-CA"/>
        </w:rPr>
        <w:t>and prosecute importers who do not follow the regulation</w:t>
      </w:r>
      <w:r w:rsidR="00B93466" w:rsidRPr="006524DF">
        <w:rPr>
          <w:lang w:val="en-CA"/>
        </w:rPr>
        <w:t>.</w:t>
      </w:r>
    </w:p>
    <w:p w14:paraId="6A022B60" w14:textId="5A72792C" w:rsidR="007C5160" w:rsidRPr="006524DF" w:rsidRDefault="007C5160" w:rsidP="007C5160">
      <w:pPr>
        <w:pStyle w:val="Heading1"/>
        <w:numPr>
          <w:ilvl w:val="0"/>
          <w:numId w:val="0"/>
        </w:numPr>
        <w:rPr>
          <w:u w:val="single"/>
          <w:lang w:val="en-US"/>
        </w:rPr>
      </w:pPr>
      <w:r w:rsidRPr="006524DF">
        <w:rPr>
          <w:u w:val="single"/>
          <w:lang w:val="en-US"/>
        </w:rPr>
        <w:t>Cent</w:t>
      </w:r>
      <w:r w:rsidR="00D1509A" w:rsidRPr="006524DF">
        <w:rPr>
          <w:u w:val="single"/>
          <w:lang w:val="en-US"/>
        </w:rPr>
        <w:t>re</w:t>
      </w:r>
      <w:r w:rsidRPr="006524DF">
        <w:rPr>
          <w:u w:val="single"/>
          <w:lang w:val="en-US"/>
        </w:rPr>
        <w:t xml:space="preserve"> for excellence</w:t>
      </w:r>
      <w:r w:rsidR="00D1509A" w:rsidRPr="006524DF">
        <w:rPr>
          <w:u w:val="single"/>
          <w:lang w:val="en-US"/>
        </w:rPr>
        <w:t xml:space="preserve"> </w:t>
      </w:r>
    </w:p>
    <w:p w14:paraId="26496BAD" w14:textId="77777777" w:rsidR="00282747" w:rsidRPr="006524DF" w:rsidRDefault="00282747" w:rsidP="00795ED5">
      <w:pPr>
        <w:pStyle w:val="Heading1"/>
        <w:rPr>
          <w:lang w:val="en-US"/>
        </w:rPr>
      </w:pPr>
      <w:r w:rsidRPr="006524DF">
        <w:rPr>
          <w:lang w:val="en-US"/>
        </w:rPr>
        <w:t xml:space="preserve">There is a need to thoroughly assess the country’s situation in the project design at the inception phases. For example, a lack of vocational schools and universities, qualified specialists, co-financing sources as well as temporary political instability in a given country at the time of project implementation can result in substantial implementation delays. These factors should be included in the risk framework at the design phase of the project proposal. </w:t>
      </w:r>
    </w:p>
    <w:p w14:paraId="72B6E344" w14:textId="31D07C9D" w:rsidR="00282747" w:rsidRPr="006524DF" w:rsidRDefault="00282747" w:rsidP="00795ED5">
      <w:pPr>
        <w:pStyle w:val="Heading1"/>
        <w:rPr>
          <w:lang w:val="en-US"/>
        </w:rPr>
      </w:pPr>
      <w:r w:rsidRPr="006524DF">
        <w:rPr>
          <w:lang w:val="en-US"/>
        </w:rPr>
        <w:t>Another lesson stressed the importance of end-users (i.e., refrigeration systems owners and potential customers) training in similar future projects’ implementation, as they are the real decision-makers on the local markets.</w:t>
      </w:r>
    </w:p>
    <w:p w14:paraId="4824271F" w14:textId="12928C1A" w:rsidR="00795ED5" w:rsidRPr="006524DF" w:rsidRDefault="00282747" w:rsidP="00B14196">
      <w:pPr>
        <w:pStyle w:val="Heading1"/>
        <w:rPr>
          <w:lang w:val="en-US"/>
        </w:rPr>
      </w:pPr>
      <w:r w:rsidRPr="006524DF">
        <w:rPr>
          <w:lang w:val="en-CA"/>
        </w:rPr>
        <w:t>In one case, t</w:t>
      </w:r>
      <w:r w:rsidR="001B086A" w:rsidRPr="006524DF">
        <w:rPr>
          <w:lang w:val="en-CA"/>
        </w:rPr>
        <w:t xml:space="preserve">he </w:t>
      </w:r>
      <w:r w:rsidR="00D1509A" w:rsidRPr="006524DF">
        <w:rPr>
          <w:lang w:val="en-CA"/>
        </w:rPr>
        <w:t>centre</w:t>
      </w:r>
      <w:r w:rsidR="001B086A" w:rsidRPr="006524DF">
        <w:rPr>
          <w:lang w:val="en-CA"/>
        </w:rPr>
        <w:t xml:space="preserve"> for </w:t>
      </w:r>
      <w:r w:rsidR="007C5160" w:rsidRPr="006524DF">
        <w:rPr>
          <w:lang w:val="en-CA"/>
        </w:rPr>
        <w:t>e</w:t>
      </w:r>
      <w:r w:rsidR="001B086A" w:rsidRPr="006524DF">
        <w:rPr>
          <w:lang w:val="en-CA"/>
        </w:rPr>
        <w:t xml:space="preserve">xcellence project </w:t>
      </w:r>
      <w:r w:rsidR="00D1509A" w:rsidRPr="006524DF">
        <w:rPr>
          <w:lang w:val="en-CA"/>
        </w:rPr>
        <w:t xml:space="preserve">was </w:t>
      </w:r>
      <w:r w:rsidR="001B086A" w:rsidRPr="006524DF">
        <w:rPr>
          <w:lang w:val="en-CA"/>
        </w:rPr>
        <w:t xml:space="preserve">approved </w:t>
      </w:r>
      <w:r w:rsidR="00E4533C" w:rsidRPr="006524DF">
        <w:rPr>
          <w:lang w:val="en-CA"/>
        </w:rPr>
        <w:t xml:space="preserve">with a </w:t>
      </w:r>
      <w:r w:rsidR="003575C8" w:rsidRPr="006524DF">
        <w:rPr>
          <w:lang w:val="en-CA"/>
        </w:rPr>
        <w:t xml:space="preserve">budget </w:t>
      </w:r>
      <w:r w:rsidR="00E4533C" w:rsidRPr="006524DF">
        <w:rPr>
          <w:lang w:val="en-CA"/>
        </w:rPr>
        <w:t>reduce</w:t>
      </w:r>
      <w:r w:rsidR="00114F90" w:rsidRPr="006524DF">
        <w:rPr>
          <w:lang w:val="en-CA"/>
        </w:rPr>
        <w:t>d</w:t>
      </w:r>
      <w:r w:rsidR="00E4533C" w:rsidRPr="006524DF">
        <w:rPr>
          <w:lang w:val="en-CA"/>
        </w:rPr>
        <w:t xml:space="preserve"> </w:t>
      </w:r>
      <w:r w:rsidR="003575C8" w:rsidRPr="006524DF">
        <w:rPr>
          <w:lang w:val="en-CA"/>
        </w:rPr>
        <w:t>by</w:t>
      </w:r>
      <w:r w:rsidR="001B086A" w:rsidRPr="006524DF">
        <w:rPr>
          <w:lang w:val="en-CA"/>
        </w:rPr>
        <w:t xml:space="preserve"> over </w:t>
      </w:r>
      <w:r w:rsidR="008B432D" w:rsidRPr="006524DF">
        <w:rPr>
          <w:lang w:val="en-CA"/>
        </w:rPr>
        <w:t>30 per cent</w:t>
      </w:r>
      <w:r w:rsidR="00E4533C" w:rsidRPr="006524DF">
        <w:rPr>
          <w:lang w:val="en-CA"/>
        </w:rPr>
        <w:t xml:space="preserve"> </w:t>
      </w:r>
      <w:r w:rsidR="003575C8" w:rsidRPr="006524DF">
        <w:rPr>
          <w:lang w:val="en-CA"/>
        </w:rPr>
        <w:t>compared to</w:t>
      </w:r>
      <w:r w:rsidR="00E4533C" w:rsidRPr="006524DF">
        <w:rPr>
          <w:lang w:val="en-CA"/>
        </w:rPr>
        <w:t xml:space="preserve"> the initial proposed budget. According to the </w:t>
      </w:r>
      <w:r w:rsidR="000F6F60" w:rsidRPr="006524DF">
        <w:rPr>
          <w:lang w:val="en-CA"/>
        </w:rPr>
        <w:t xml:space="preserve">bilateral agency, this resulted in a lower </w:t>
      </w:r>
      <w:r w:rsidR="007D7674" w:rsidRPr="006524DF">
        <w:rPr>
          <w:lang w:val="en-CA"/>
        </w:rPr>
        <w:t>number</w:t>
      </w:r>
      <w:r w:rsidR="007D7674" w:rsidRPr="006524DF" w:rsidDel="007D7674">
        <w:rPr>
          <w:lang w:val="en-CA"/>
        </w:rPr>
        <w:t xml:space="preserve"> </w:t>
      </w:r>
      <w:r w:rsidR="000F6F60" w:rsidRPr="006524DF">
        <w:rPr>
          <w:lang w:val="en-CA"/>
        </w:rPr>
        <w:t>of trained technicians</w:t>
      </w:r>
      <w:r w:rsidR="00D1509A" w:rsidRPr="006524DF">
        <w:rPr>
          <w:lang w:val="en-CA"/>
        </w:rPr>
        <w:t>; t</w:t>
      </w:r>
      <w:r w:rsidR="000F6F60" w:rsidRPr="006524DF">
        <w:rPr>
          <w:lang w:val="en-CA"/>
        </w:rPr>
        <w:t>he bilateral agency suggested that these funds be allocated in phase</w:t>
      </w:r>
      <w:r w:rsidR="00B93466" w:rsidRPr="006524DF">
        <w:rPr>
          <w:lang w:val="en-CA"/>
        </w:rPr>
        <w:t> </w:t>
      </w:r>
      <w:r w:rsidR="000F6F60" w:rsidRPr="006524DF">
        <w:rPr>
          <w:lang w:val="en-CA"/>
        </w:rPr>
        <w:t>II of the project and that they may be directly taken from the country</w:t>
      </w:r>
      <w:r w:rsidR="000F6F60" w:rsidRPr="006524DF">
        <w:rPr>
          <w:lang w:val="en-US"/>
        </w:rPr>
        <w:t>’s contribution to the M</w:t>
      </w:r>
      <w:r w:rsidR="00B93466" w:rsidRPr="006524DF">
        <w:rPr>
          <w:lang w:val="en-US"/>
        </w:rPr>
        <w:t>ultilateral Fund</w:t>
      </w:r>
      <w:r w:rsidR="000F6F60" w:rsidRPr="006524DF">
        <w:rPr>
          <w:lang w:val="en-US"/>
        </w:rPr>
        <w:t xml:space="preserve">. </w:t>
      </w:r>
    </w:p>
    <w:p w14:paraId="2DFD9FB0" w14:textId="77777777" w:rsidR="00222C40" w:rsidRPr="006524DF" w:rsidRDefault="00222C40" w:rsidP="00605D6D">
      <w:pPr>
        <w:pStyle w:val="Heading1"/>
        <w:keepNext/>
        <w:keepLines/>
        <w:widowControl w:val="0"/>
        <w:numPr>
          <w:ilvl w:val="0"/>
          <w:numId w:val="0"/>
        </w:numPr>
        <w:spacing w:before="240"/>
        <w:rPr>
          <w:b/>
          <w:lang w:eastAsia="ja-JP"/>
        </w:rPr>
      </w:pPr>
      <w:r w:rsidRPr="006524DF">
        <w:rPr>
          <w:b/>
          <w:lang w:eastAsia="ja-JP"/>
        </w:rPr>
        <w:t>Outstanding MYA PCRs and PCRs</w:t>
      </w:r>
    </w:p>
    <w:p w14:paraId="75E3EB17" w14:textId="19F6A082" w:rsidR="00222C40" w:rsidRPr="006524DF" w:rsidRDefault="00222C40" w:rsidP="000D338E">
      <w:pPr>
        <w:pStyle w:val="Heading1"/>
        <w:widowControl w:val="0"/>
        <w:numPr>
          <w:ilvl w:val="0"/>
          <w:numId w:val="10"/>
        </w:numPr>
        <w:tabs>
          <w:tab w:val="clear" w:pos="0"/>
          <w:tab w:val="num" w:pos="720"/>
        </w:tabs>
        <w:rPr>
          <w:color w:val="1F497D"/>
        </w:rPr>
      </w:pPr>
      <w:r w:rsidRPr="006524DF">
        <w:t>The Secretariat</w:t>
      </w:r>
      <w:r w:rsidR="00A0644B" w:rsidRPr="006524DF">
        <w:t xml:space="preserve"> notes with</w:t>
      </w:r>
      <w:r w:rsidRPr="006524DF">
        <w:t xml:space="preserve"> appreciat</w:t>
      </w:r>
      <w:r w:rsidR="00A0644B" w:rsidRPr="006524DF">
        <w:t>ion</w:t>
      </w:r>
      <w:r w:rsidRPr="006524DF">
        <w:t xml:space="preserve"> the </w:t>
      </w:r>
      <w:r w:rsidR="00A0644B" w:rsidRPr="006524DF">
        <w:t xml:space="preserve">efforts </w:t>
      </w:r>
      <w:r w:rsidRPr="006524DF">
        <w:t xml:space="preserve">by some of the bilateral and IAs to address the backlog of outstanding PCRs. </w:t>
      </w:r>
      <w:r w:rsidR="00D0644A" w:rsidRPr="006524DF">
        <w:t xml:space="preserve">Annexes III to V contain the lists of outstanding PCRs. </w:t>
      </w:r>
      <w:r w:rsidRPr="006524DF">
        <w:t>The Secretariat stresses</w:t>
      </w:r>
      <w:r w:rsidR="00F20FA2" w:rsidRPr="006524DF">
        <w:t>, once again,</w:t>
      </w:r>
      <w:r w:rsidRPr="006524DF">
        <w:t xml:space="preserve"> </w:t>
      </w:r>
      <w:r w:rsidR="00A0644B" w:rsidRPr="006524DF">
        <w:t xml:space="preserve">the importance of submitting </w:t>
      </w:r>
      <w:r w:rsidR="00D0644A" w:rsidRPr="006524DF">
        <w:t>all outstanding PCRs, and in particular, those</w:t>
      </w:r>
      <w:r w:rsidR="00A0644B" w:rsidRPr="006524DF">
        <w:t xml:space="preserve"> for stage</w:t>
      </w:r>
      <w:r w:rsidR="007D7674" w:rsidRPr="006524DF">
        <w:t> </w:t>
      </w:r>
      <w:r w:rsidR="00A0644B" w:rsidRPr="006524DF">
        <w:t xml:space="preserve">I </w:t>
      </w:r>
      <w:r w:rsidRPr="006524DF">
        <w:t>of the HPMP</w:t>
      </w:r>
      <w:r w:rsidR="00D0644A" w:rsidRPr="006524DF">
        <w:t>s that</w:t>
      </w:r>
      <w:r w:rsidR="00A0644B" w:rsidRPr="006524DF">
        <w:t xml:space="preserve"> are</w:t>
      </w:r>
      <w:r w:rsidRPr="006524DF">
        <w:t xml:space="preserve"> mandatory for the approval of </w:t>
      </w:r>
      <w:r w:rsidR="00A0644B" w:rsidRPr="006524DF">
        <w:t>stage II</w:t>
      </w:r>
      <w:r w:rsidRPr="006524DF">
        <w:t>.</w:t>
      </w:r>
      <w:r w:rsidRPr="006524DF">
        <w:rPr>
          <w:rStyle w:val="FootnoteReference"/>
        </w:rPr>
        <w:footnoteReference w:id="8"/>
      </w:r>
    </w:p>
    <w:p w14:paraId="43BECE7C" w14:textId="77777777" w:rsidR="00222C40" w:rsidRPr="006524DF" w:rsidRDefault="00222C40" w:rsidP="00AE0C27">
      <w:pPr>
        <w:pStyle w:val="Heading1"/>
        <w:keepNext/>
        <w:keepLines/>
        <w:numPr>
          <w:ilvl w:val="0"/>
          <w:numId w:val="0"/>
        </w:numPr>
        <w:tabs>
          <w:tab w:val="num" w:pos="720"/>
        </w:tabs>
        <w:rPr>
          <w:b/>
          <w:lang w:val="en-US"/>
        </w:rPr>
      </w:pPr>
      <w:r w:rsidRPr="006524DF">
        <w:rPr>
          <w:b/>
          <w:lang w:val="en-US"/>
        </w:rPr>
        <w:t>RECOMMENDATION</w:t>
      </w:r>
    </w:p>
    <w:p w14:paraId="0A045214" w14:textId="77777777" w:rsidR="00222C40" w:rsidRPr="006524DF" w:rsidRDefault="00222C40" w:rsidP="000D338E">
      <w:pPr>
        <w:pStyle w:val="Heading1"/>
        <w:widowControl w:val="0"/>
        <w:numPr>
          <w:ilvl w:val="0"/>
          <w:numId w:val="10"/>
        </w:numPr>
        <w:tabs>
          <w:tab w:val="clear" w:pos="0"/>
          <w:tab w:val="num" w:pos="720"/>
        </w:tabs>
      </w:pPr>
      <w:r w:rsidRPr="006524DF">
        <w:t xml:space="preserve">The Executive Committee may wish: </w:t>
      </w:r>
    </w:p>
    <w:p w14:paraId="62CD7360" w14:textId="77777777" w:rsidR="00222C40" w:rsidRPr="006524DF" w:rsidRDefault="00222C40" w:rsidP="000D338E">
      <w:pPr>
        <w:pStyle w:val="Heading2"/>
        <w:numPr>
          <w:ilvl w:val="1"/>
          <w:numId w:val="10"/>
        </w:numPr>
        <w:tabs>
          <w:tab w:val="clear" w:pos="0"/>
          <w:tab w:val="num" w:pos="-540"/>
        </w:tabs>
      </w:pPr>
      <w:r w:rsidRPr="006524DF">
        <w:t>To note the 20</w:t>
      </w:r>
      <w:r w:rsidR="00CF4114" w:rsidRPr="006524DF">
        <w:t>21</w:t>
      </w:r>
      <w:r w:rsidRPr="006524DF">
        <w:t xml:space="preserve"> consolidated project completion report (PCR) contained in document UNEP/OzL.Pro/ExCom/</w:t>
      </w:r>
      <w:r w:rsidR="00773B67" w:rsidRPr="006524DF">
        <w:t>8</w:t>
      </w:r>
      <w:r w:rsidR="000E7546" w:rsidRPr="006524DF">
        <w:t>8</w:t>
      </w:r>
      <w:r w:rsidR="005D77DD" w:rsidRPr="006524DF">
        <w:t>/</w:t>
      </w:r>
      <w:r w:rsidR="000E7546" w:rsidRPr="006524DF">
        <w:t>19</w:t>
      </w:r>
      <w:r w:rsidRPr="006524DF">
        <w:t xml:space="preserve">; </w:t>
      </w:r>
    </w:p>
    <w:p w14:paraId="7ED006DC" w14:textId="5105DAD8" w:rsidR="00222C40" w:rsidRPr="006524DF" w:rsidRDefault="00222C40" w:rsidP="000D338E">
      <w:pPr>
        <w:pStyle w:val="Heading2"/>
        <w:numPr>
          <w:ilvl w:val="1"/>
          <w:numId w:val="10"/>
        </w:numPr>
        <w:tabs>
          <w:tab w:val="clear" w:pos="0"/>
          <w:tab w:val="num" w:pos="-540"/>
        </w:tabs>
      </w:pPr>
      <w:r w:rsidRPr="006524DF">
        <w:t xml:space="preserve">To urge bilateral and implementing agencies to </w:t>
      </w:r>
      <w:r w:rsidR="00ED7027" w:rsidRPr="006524DF">
        <w:t>submit</w:t>
      </w:r>
      <w:r w:rsidR="00DA1B61" w:rsidRPr="006524DF">
        <w:t>,</w:t>
      </w:r>
      <w:r w:rsidR="00ED7027" w:rsidRPr="006524DF">
        <w:t xml:space="preserve"> </w:t>
      </w:r>
      <w:r w:rsidR="00DA1B61" w:rsidRPr="006524DF">
        <w:t>at</w:t>
      </w:r>
      <w:r w:rsidR="00ED7027" w:rsidRPr="006524DF">
        <w:t xml:space="preserve"> the </w:t>
      </w:r>
      <w:r w:rsidR="00D0644A" w:rsidRPr="006524DF">
        <w:t>90</w:t>
      </w:r>
      <w:r w:rsidR="00ED7027" w:rsidRPr="006524DF">
        <w:rPr>
          <w:vertAlign w:val="superscript"/>
        </w:rPr>
        <w:t>th</w:t>
      </w:r>
      <w:r w:rsidR="00ED7027" w:rsidRPr="006524DF">
        <w:t xml:space="preserve"> meeting</w:t>
      </w:r>
      <w:r w:rsidR="00DA1B61" w:rsidRPr="006524DF">
        <w:t>,</w:t>
      </w:r>
      <w:r w:rsidR="00ED7027" w:rsidRPr="006524DF">
        <w:t xml:space="preserve"> outstanding </w:t>
      </w:r>
      <w:r w:rsidR="00ED7027" w:rsidRPr="006524DF">
        <w:lastRenderedPageBreak/>
        <w:t xml:space="preserve">PCRs for multi-year agreements (MYAs) and individual projects, or to provide reasons for failing to </w:t>
      </w:r>
      <w:r w:rsidR="00DA1B61" w:rsidRPr="006524DF">
        <w:t>do so</w:t>
      </w:r>
      <w:r w:rsidR="00ED7027" w:rsidRPr="006524DF">
        <w:t xml:space="preserve">; </w:t>
      </w:r>
    </w:p>
    <w:p w14:paraId="0DA40FB9" w14:textId="77777777" w:rsidR="00222C40" w:rsidRPr="006524DF" w:rsidRDefault="00222C40" w:rsidP="000D338E">
      <w:pPr>
        <w:pStyle w:val="Heading2"/>
        <w:numPr>
          <w:ilvl w:val="1"/>
          <w:numId w:val="10"/>
        </w:numPr>
        <w:tabs>
          <w:tab w:val="clear" w:pos="0"/>
          <w:tab w:val="num" w:pos="-540"/>
        </w:tabs>
        <w:rPr>
          <w:lang w:eastAsia="ja-JP"/>
        </w:rPr>
      </w:pPr>
      <w:r w:rsidRPr="006524DF">
        <w:t xml:space="preserve">To urge lead and cooperating agencies to coordinate their work closely in finalizing their portion of PCRs to allow the lead implementing agency to submit the completed PCRs </w:t>
      </w:r>
      <w:r w:rsidR="00ED7027" w:rsidRPr="006524DF">
        <w:t>on</w:t>
      </w:r>
      <w:r w:rsidRPr="006524DF">
        <w:t xml:space="preserve"> schedule;</w:t>
      </w:r>
    </w:p>
    <w:p w14:paraId="69FBF1F7" w14:textId="031AAB2F" w:rsidR="00222C40" w:rsidRPr="006524DF" w:rsidRDefault="00222C40" w:rsidP="000D338E">
      <w:pPr>
        <w:pStyle w:val="Heading2"/>
        <w:numPr>
          <w:ilvl w:val="1"/>
          <w:numId w:val="10"/>
        </w:numPr>
        <w:tabs>
          <w:tab w:val="clear" w:pos="0"/>
          <w:tab w:val="num" w:pos="-540"/>
        </w:tabs>
      </w:pPr>
      <w:r w:rsidRPr="006524DF">
        <w:t xml:space="preserve">To urge bilateral and implementing agencies </w:t>
      </w:r>
      <w:r w:rsidR="00D0644A" w:rsidRPr="006524DF">
        <w:t>when</w:t>
      </w:r>
      <w:r w:rsidR="002400A8" w:rsidRPr="006524DF">
        <w:t xml:space="preserve"> submitting their PCRs, to report clear and relevant lessons learned, aiming at actionable recommendations for improvement in future project implementation or replicability of good practices</w:t>
      </w:r>
      <w:r w:rsidRPr="006524DF">
        <w:t>; and</w:t>
      </w:r>
    </w:p>
    <w:p w14:paraId="017E6EB2" w14:textId="1795419C" w:rsidR="00222C40" w:rsidRPr="006524DF" w:rsidRDefault="00222C40" w:rsidP="000D338E">
      <w:pPr>
        <w:pStyle w:val="Heading2"/>
        <w:numPr>
          <w:ilvl w:val="1"/>
          <w:numId w:val="10"/>
        </w:numPr>
        <w:tabs>
          <w:tab w:val="clear" w:pos="0"/>
          <w:tab w:val="num" w:pos="-540"/>
        </w:tabs>
      </w:pPr>
      <w:r w:rsidRPr="006524DF">
        <w:t xml:space="preserve">To invite all those involved in the preparation and implementation of MYAs and individual projects to take into consideration the lessons learned from PCRs, </w:t>
      </w:r>
      <w:r w:rsidR="00114F90" w:rsidRPr="006524DF">
        <w:t>where applicable</w:t>
      </w:r>
      <w:r w:rsidRPr="006524DF">
        <w:t xml:space="preserve">, when </w:t>
      </w:r>
      <w:r w:rsidR="00114F90" w:rsidRPr="006524DF">
        <w:t xml:space="preserve">proposing and implementing </w:t>
      </w:r>
      <w:r w:rsidRPr="006524DF">
        <w:t>future projects.</w:t>
      </w:r>
    </w:p>
    <w:p w14:paraId="6A694D99" w14:textId="77777777" w:rsidR="00222C40" w:rsidRPr="00765981" w:rsidRDefault="00222C40" w:rsidP="00605D6D">
      <w:pPr>
        <w:pStyle w:val="Heading2"/>
        <w:numPr>
          <w:ilvl w:val="1"/>
          <w:numId w:val="1"/>
        </w:numPr>
        <w:spacing w:before="120"/>
        <w:sectPr w:rsidR="00222C40" w:rsidRPr="00765981" w:rsidSect="002F2E98">
          <w:headerReference w:type="even" r:id="rId15"/>
          <w:headerReference w:type="default" r:id="rId16"/>
          <w:footerReference w:type="even" r:id="rId17"/>
          <w:footerReference w:type="default" r:id="rId18"/>
          <w:footerReference w:type="first" r:id="rId19"/>
          <w:pgSz w:w="12240" w:h="15840" w:code="1"/>
          <w:pgMar w:top="720" w:right="1440" w:bottom="851" w:left="1440" w:header="720" w:footer="475" w:gutter="0"/>
          <w:cols w:space="720"/>
          <w:titlePg/>
        </w:sectPr>
      </w:pPr>
    </w:p>
    <w:p w14:paraId="64D2C37E" w14:textId="77777777" w:rsidR="00E60644" w:rsidRPr="006524DF" w:rsidRDefault="00E60644" w:rsidP="00E60644">
      <w:pPr>
        <w:pStyle w:val="Heading2"/>
        <w:keepNext/>
        <w:keepLines/>
        <w:numPr>
          <w:ilvl w:val="0"/>
          <w:numId w:val="0"/>
        </w:numPr>
        <w:tabs>
          <w:tab w:val="left" w:pos="720"/>
        </w:tabs>
        <w:jc w:val="center"/>
        <w:rPr>
          <w:b/>
        </w:rPr>
      </w:pPr>
      <w:r w:rsidRPr="006524DF">
        <w:rPr>
          <w:b/>
        </w:rPr>
        <w:lastRenderedPageBreak/>
        <w:t>Annex I</w:t>
      </w:r>
    </w:p>
    <w:p w14:paraId="04A2A712" w14:textId="77777777" w:rsidR="00E60644" w:rsidRPr="006524DF" w:rsidRDefault="00E60644" w:rsidP="00E60644">
      <w:pPr>
        <w:widowControl w:val="0"/>
        <w:spacing w:after="240"/>
        <w:jc w:val="center"/>
        <w:rPr>
          <w:b/>
        </w:rPr>
      </w:pPr>
      <w:r w:rsidRPr="006524DF">
        <w:rPr>
          <w:b/>
        </w:rPr>
        <w:t>MYA PCRs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3241"/>
        <w:gridCol w:w="1709"/>
        <w:gridCol w:w="2246"/>
      </w:tblGrid>
      <w:tr w:rsidR="00E60644" w:rsidRPr="006524DF" w14:paraId="20D92998" w14:textId="77777777" w:rsidTr="00C60C62">
        <w:tc>
          <w:tcPr>
            <w:tcW w:w="1152" w:type="pct"/>
            <w:tcBorders>
              <w:top w:val="single" w:sz="4" w:space="0" w:color="auto"/>
              <w:left w:val="single" w:sz="4" w:space="0" w:color="auto"/>
              <w:bottom w:val="single" w:sz="4" w:space="0" w:color="auto"/>
              <w:right w:val="single" w:sz="4" w:space="0" w:color="auto"/>
            </w:tcBorders>
            <w:vAlign w:val="center"/>
            <w:hideMark/>
          </w:tcPr>
          <w:p w14:paraId="6EF01F66"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Country</w:t>
            </w:r>
          </w:p>
        </w:tc>
        <w:tc>
          <w:tcPr>
            <w:tcW w:w="1733" w:type="pct"/>
            <w:tcBorders>
              <w:top w:val="single" w:sz="4" w:space="0" w:color="auto"/>
              <w:left w:val="single" w:sz="4" w:space="0" w:color="auto"/>
              <w:bottom w:val="single" w:sz="4" w:space="0" w:color="auto"/>
              <w:right w:val="single" w:sz="4" w:space="0" w:color="auto"/>
            </w:tcBorders>
            <w:vAlign w:val="center"/>
            <w:hideMark/>
          </w:tcPr>
          <w:p w14:paraId="0CF17F4C"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MYA sector</w:t>
            </w:r>
          </w:p>
        </w:tc>
        <w:tc>
          <w:tcPr>
            <w:tcW w:w="914" w:type="pct"/>
            <w:tcBorders>
              <w:top w:val="single" w:sz="4" w:space="0" w:color="auto"/>
              <w:left w:val="single" w:sz="4" w:space="0" w:color="auto"/>
              <w:bottom w:val="single" w:sz="4" w:space="0" w:color="auto"/>
              <w:right w:val="single" w:sz="4" w:space="0" w:color="auto"/>
            </w:tcBorders>
            <w:vAlign w:val="center"/>
            <w:hideMark/>
          </w:tcPr>
          <w:p w14:paraId="27AD482C"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Lead agency</w:t>
            </w:r>
          </w:p>
        </w:tc>
        <w:tc>
          <w:tcPr>
            <w:tcW w:w="1201" w:type="pct"/>
            <w:tcBorders>
              <w:top w:val="single" w:sz="4" w:space="0" w:color="auto"/>
              <w:left w:val="single" w:sz="4" w:space="0" w:color="auto"/>
              <w:bottom w:val="single" w:sz="4" w:space="0" w:color="auto"/>
              <w:right w:val="single" w:sz="4" w:space="0" w:color="auto"/>
            </w:tcBorders>
            <w:vAlign w:val="center"/>
            <w:hideMark/>
          </w:tcPr>
          <w:p w14:paraId="3DB6975A"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Cooperating agencies</w:t>
            </w:r>
          </w:p>
        </w:tc>
      </w:tr>
      <w:tr w:rsidR="00CF4114" w:rsidRPr="006524DF" w14:paraId="409B787F" w14:textId="77777777" w:rsidTr="00C60C62">
        <w:tc>
          <w:tcPr>
            <w:tcW w:w="1152" w:type="pct"/>
            <w:tcBorders>
              <w:top w:val="single" w:sz="4" w:space="0" w:color="auto"/>
              <w:left w:val="single" w:sz="4" w:space="0" w:color="auto"/>
              <w:bottom w:val="single" w:sz="4" w:space="0" w:color="auto"/>
              <w:right w:val="single" w:sz="4" w:space="0" w:color="auto"/>
            </w:tcBorders>
            <w:vAlign w:val="center"/>
          </w:tcPr>
          <w:p w14:paraId="461D7426" w14:textId="77777777" w:rsidR="00CF4114" w:rsidRPr="006524DF" w:rsidRDefault="00C60C62" w:rsidP="00AD15F0">
            <w:pPr>
              <w:widowControl w:val="0"/>
              <w:jc w:val="left"/>
              <w:rPr>
                <w:b/>
                <w:bCs/>
                <w:sz w:val="20"/>
                <w:szCs w:val="20"/>
                <w:lang w:val="en-CA" w:eastAsia="en-CA"/>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72FDBE07" w14:textId="77777777" w:rsidR="00CF4114" w:rsidRPr="006524DF" w:rsidRDefault="00C60C62" w:rsidP="00AD15F0">
            <w:pPr>
              <w:widowControl w:val="0"/>
              <w:jc w:val="left"/>
              <w:rPr>
                <w:sz w:val="20"/>
                <w:szCs w:val="20"/>
                <w:lang w:val="en-US"/>
              </w:rPr>
            </w:pPr>
            <w:r w:rsidRPr="006524DF">
              <w:rPr>
                <w:sz w:val="20"/>
                <w:szCs w:val="20"/>
                <w:lang w:val="en-US"/>
              </w:rPr>
              <w:t>Halon</w:t>
            </w:r>
          </w:p>
        </w:tc>
        <w:tc>
          <w:tcPr>
            <w:tcW w:w="914" w:type="pct"/>
            <w:tcBorders>
              <w:top w:val="single" w:sz="4" w:space="0" w:color="auto"/>
              <w:left w:val="single" w:sz="4" w:space="0" w:color="auto"/>
              <w:bottom w:val="single" w:sz="4" w:space="0" w:color="auto"/>
              <w:right w:val="single" w:sz="4" w:space="0" w:color="auto"/>
            </w:tcBorders>
            <w:vAlign w:val="center"/>
          </w:tcPr>
          <w:p w14:paraId="0B7005C9" w14:textId="243EA690" w:rsidR="00CF4114" w:rsidRPr="006524DF" w:rsidRDefault="004604EB" w:rsidP="004604EB">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639AB194" w14:textId="77777777" w:rsidR="00CF4114" w:rsidRPr="006524DF" w:rsidRDefault="00CF4114" w:rsidP="00AD15F0">
            <w:pPr>
              <w:widowControl w:val="0"/>
              <w:jc w:val="left"/>
              <w:rPr>
                <w:bCs/>
                <w:sz w:val="20"/>
                <w:szCs w:val="20"/>
                <w:lang w:val="en-CA" w:eastAsia="en-CA"/>
              </w:rPr>
            </w:pPr>
          </w:p>
        </w:tc>
      </w:tr>
      <w:tr w:rsidR="005C01DE" w:rsidRPr="006524DF" w14:paraId="12FC4CB0" w14:textId="77777777" w:rsidTr="00C60C62">
        <w:tc>
          <w:tcPr>
            <w:tcW w:w="1152" w:type="pct"/>
            <w:tcBorders>
              <w:top w:val="single" w:sz="4" w:space="0" w:color="auto"/>
              <w:left w:val="single" w:sz="4" w:space="0" w:color="auto"/>
              <w:bottom w:val="single" w:sz="4" w:space="0" w:color="auto"/>
              <w:right w:val="single" w:sz="4" w:space="0" w:color="auto"/>
            </w:tcBorders>
            <w:vAlign w:val="center"/>
          </w:tcPr>
          <w:p w14:paraId="276A7209" w14:textId="77777777" w:rsidR="005C01DE" w:rsidRPr="006524DF" w:rsidRDefault="00C60C62" w:rsidP="005C01DE">
            <w:pPr>
              <w:widowControl w:val="0"/>
              <w:jc w:val="left"/>
              <w:rPr>
                <w:sz w:val="20"/>
                <w:szCs w:val="20"/>
                <w:lang w:val="en-US"/>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39A58B34" w14:textId="77777777" w:rsidR="005C01DE" w:rsidRPr="006524DF" w:rsidRDefault="00C60C62" w:rsidP="00C60C62">
            <w:pPr>
              <w:widowControl w:val="0"/>
              <w:jc w:val="left"/>
              <w:rPr>
                <w:sz w:val="20"/>
                <w:szCs w:val="20"/>
                <w:lang w:val="en-US"/>
              </w:rPr>
            </w:pPr>
            <w:r w:rsidRPr="006524DF">
              <w:rPr>
                <w:sz w:val="20"/>
                <w:szCs w:val="20"/>
                <w:lang w:val="en-US"/>
              </w:rPr>
              <w:t>Process agent</w:t>
            </w:r>
            <w:r w:rsidR="005C01DE" w:rsidRPr="006524DF">
              <w:rPr>
                <w:sz w:val="20"/>
                <w:szCs w:val="20"/>
                <w:lang w:val="en-US"/>
              </w:rPr>
              <w:t xml:space="preserve"> </w:t>
            </w:r>
            <w:r w:rsidRPr="006524DF">
              <w:rPr>
                <w:sz w:val="20"/>
                <w:szCs w:val="20"/>
                <w:lang w:val="en-US"/>
              </w:rPr>
              <w:t>(</w:t>
            </w:r>
            <w:r w:rsidR="00EA1B43" w:rsidRPr="006524DF">
              <w:rPr>
                <w:sz w:val="20"/>
                <w:szCs w:val="20"/>
                <w:lang w:val="en-US"/>
              </w:rPr>
              <w:t>p</w:t>
            </w:r>
            <w:r w:rsidR="005C01DE" w:rsidRPr="006524DF">
              <w:rPr>
                <w:sz w:val="20"/>
                <w:szCs w:val="20"/>
                <w:lang w:val="en-US"/>
              </w:rPr>
              <w:t>hase I)</w:t>
            </w:r>
          </w:p>
        </w:tc>
        <w:tc>
          <w:tcPr>
            <w:tcW w:w="914" w:type="pct"/>
            <w:tcBorders>
              <w:top w:val="single" w:sz="4" w:space="0" w:color="auto"/>
              <w:left w:val="single" w:sz="4" w:space="0" w:color="auto"/>
              <w:bottom w:val="single" w:sz="4" w:space="0" w:color="auto"/>
              <w:right w:val="single" w:sz="4" w:space="0" w:color="auto"/>
            </w:tcBorders>
            <w:vAlign w:val="center"/>
          </w:tcPr>
          <w:p w14:paraId="1EDA0BC1" w14:textId="53A4E14B" w:rsidR="005C01DE" w:rsidRPr="006524DF" w:rsidRDefault="004604EB" w:rsidP="00C60C62">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2E01B7FE" w14:textId="77777777" w:rsidR="005C01DE" w:rsidRPr="006524DF" w:rsidRDefault="005C01DE" w:rsidP="005C01DE">
            <w:pPr>
              <w:widowControl w:val="0"/>
              <w:jc w:val="left"/>
              <w:rPr>
                <w:bCs/>
                <w:sz w:val="20"/>
                <w:szCs w:val="20"/>
                <w:lang w:val="en-CA" w:eastAsia="en-CA"/>
              </w:rPr>
            </w:pPr>
          </w:p>
        </w:tc>
      </w:tr>
      <w:tr w:rsidR="005C01DE" w:rsidRPr="006524DF" w14:paraId="1E0A133F" w14:textId="77777777" w:rsidTr="00C60C62">
        <w:tc>
          <w:tcPr>
            <w:tcW w:w="1152" w:type="pct"/>
            <w:tcBorders>
              <w:top w:val="single" w:sz="4" w:space="0" w:color="auto"/>
              <w:left w:val="single" w:sz="4" w:space="0" w:color="auto"/>
              <w:bottom w:val="single" w:sz="4" w:space="0" w:color="auto"/>
              <w:right w:val="single" w:sz="4" w:space="0" w:color="auto"/>
            </w:tcBorders>
            <w:vAlign w:val="center"/>
          </w:tcPr>
          <w:p w14:paraId="7416C55D" w14:textId="77777777" w:rsidR="005C01DE" w:rsidRPr="006524DF" w:rsidRDefault="00C60C62" w:rsidP="005C01DE">
            <w:pPr>
              <w:widowControl w:val="0"/>
              <w:jc w:val="left"/>
              <w:rPr>
                <w:sz w:val="20"/>
                <w:szCs w:val="20"/>
                <w:lang w:val="en-US"/>
              </w:rPr>
            </w:pPr>
            <w:r w:rsidRPr="006524DF">
              <w:rPr>
                <w:sz w:val="20"/>
                <w:szCs w:val="20"/>
                <w:lang w:val="en-US"/>
              </w:rPr>
              <w:t>China</w:t>
            </w:r>
          </w:p>
        </w:tc>
        <w:tc>
          <w:tcPr>
            <w:tcW w:w="1733" w:type="pct"/>
            <w:tcBorders>
              <w:top w:val="single" w:sz="4" w:space="0" w:color="auto"/>
              <w:left w:val="single" w:sz="4" w:space="0" w:color="auto"/>
              <w:bottom w:val="single" w:sz="4" w:space="0" w:color="auto"/>
              <w:right w:val="single" w:sz="4" w:space="0" w:color="auto"/>
            </w:tcBorders>
            <w:vAlign w:val="center"/>
          </w:tcPr>
          <w:p w14:paraId="289E814A" w14:textId="77777777" w:rsidR="005C01DE" w:rsidRPr="006524DF" w:rsidRDefault="00EA1B43" w:rsidP="005C01DE">
            <w:pPr>
              <w:widowControl w:val="0"/>
              <w:jc w:val="left"/>
              <w:rPr>
                <w:sz w:val="20"/>
                <w:szCs w:val="20"/>
                <w:lang w:val="en-US"/>
              </w:rPr>
            </w:pPr>
            <w:r w:rsidRPr="006524DF">
              <w:rPr>
                <w:sz w:val="20"/>
                <w:szCs w:val="20"/>
                <w:lang w:val="en-US"/>
              </w:rPr>
              <w:t>Process agent (p</w:t>
            </w:r>
            <w:r w:rsidR="00C60C62" w:rsidRPr="006524DF">
              <w:rPr>
                <w:sz w:val="20"/>
                <w:szCs w:val="20"/>
                <w:lang w:val="en-US"/>
              </w:rPr>
              <w:t>hase II)</w:t>
            </w:r>
          </w:p>
        </w:tc>
        <w:tc>
          <w:tcPr>
            <w:tcW w:w="914" w:type="pct"/>
            <w:tcBorders>
              <w:top w:val="single" w:sz="4" w:space="0" w:color="auto"/>
              <w:left w:val="single" w:sz="4" w:space="0" w:color="auto"/>
              <w:bottom w:val="single" w:sz="4" w:space="0" w:color="auto"/>
              <w:right w:val="single" w:sz="4" w:space="0" w:color="auto"/>
            </w:tcBorders>
            <w:vAlign w:val="center"/>
          </w:tcPr>
          <w:p w14:paraId="63D2BB23" w14:textId="2E7D7760" w:rsidR="005C01DE" w:rsidRPr="006524DF" w:rsidRDefault="004604EB" w:rsidP="00C60C62">
            <w:pPr>
              <w:widowControl w:val="0"/>
              <w:jc w:val="center"/>
              <w:rPr>
                <w:bCs/>
                <w:sz w:val="20"/>
                <w:szCs w:val="20"/>
                <w:lang w:val="en-CA" w:eastAsia="en-CA"/>
              </w:rPr>
            </w:pPr>
            <w:r w:rsidRPr="006524DF">
              <w:rPr>
                <w:bCs/>
                <w:sz w:val="20"/>
                <w:szCs w:val="20"/>
                <w:lang w:val="en-CA" w:eastAsia="en-CA"/>
              </w:rPr>
              <w:t>World Bank</w:t>
            </w:r>
          </w:p>
        </w:tc>
        <w:tc>
          <w:tcPr>
            <w:tcW w:w="1201" w:type="pct"/>
            <w:tcBorders>
              <w:top w:val="single" w:sz="4" w:space="0" w:color="auto"/>
              <w:left w:val="single" w:sz="4" w:space="0" w:color="auto"/>
              <w:bottom w:val="single" w:sz="4" w:space="0" w:color="auto"/>
              <w:right w:val="single" w:sz="4" w:space="0" w:color="auto"/>
            </w:tcBorders>
            <w:vAlign w:val="center"/>
          </w:tcPr>
          <w:p w14:paraId="266223F4" w14:textId="77777777" w:rsidR="005C01DE" w:rsidRPr="006524DF" w:rsidRDefault="005C01DE" w:rsidP="005C01DE">
            <w:pPr>
              <w:widowControl w:val="0"/>
              <w:jc w:val="left"/>
              <w:rPr>
                <w:bCs/>
                <w:sz w:val="20"/>
                <w:szCs w:val="20"/>
                <w:lang w:val="en-CA" w:eastAsia="en-CA"/>
              </w:rPr>
            </w:pPr>
          </w:p>
        </w:tc>
      </w:tr>
      <w:tr w:rsidR="00386020" w:rsidRPr="006524DF" w14:paraId="5E0D5F64" w14:textId="77777777" w:rsidTr="00C60C62">
        <w:tc>
          <w:tcPr>
            <w:tcW w:w="1152" w:type="pct"/>
            <w:tcBorders>
              <w:top w:val="single" w:sz="4" w:space="0" w:color="auto"/>
              <w:left w:val="single" w:sz="4" w:space="0" w:color="auto"/>
              <w:bottom w:val="single" w:sz="4" w:space="0" w:color="auto"/>
              <w:right w:val="single" w:sz="4" w:space="0" w:color="auto"/>
            </w:tcBorders>
            <w:vAlign w:val="center"/>
          </w:tcPr>
          <w:p w14:paraId="039115EE" w14:textId="77777777" w:rsidR="00386020" w:rsidRPr="00765981" w:rsidRDefault="00386020" w:rsidP="00386020">
            <w:pPr>
              <w:widowControl w:val="0"/>
              <w:jc w:val="left"/>
              <w:rPr>
                <w:sz w:val="20"/>
                <w:szCs w:val="20"/>
                <w:lang w:val="en-US"/>
              </w:rPr>
            </w:pPr>
            <w:r w:rsidRPr="006524DF">
              <w:rPr>
                <w:sz w:val="20"/>
                <w:lang w:val="en-CA" w:eastAsia="en-CA"/>
              </w:rPr>
              <w:t>Democratic Republic of the Congo (the)</w:t>
            </w:r>
          </w:p>
        </w:tc>
        <w:tc>
          <w:tcPr>
            <w:tcW w:w="1733" w:type="pct"/>
            <w:tcBorders>
              <w:top w:val="single" w:sz="4" w:space="0" w:color="auto"/>
              <w:left w:val="single" w:sz="4" w:space="0" w:color="auto"/>
              <w:bottom w:val="single" w:sz="4" w:space="0" w:color="auto"/>
              <w:right w:val="single" w:sz="4" w:space="0" w:color="auto"/>
            </w:tcBorders>
            <w:vAlign w:val="center"/>
          </w:tcPr>
          <w:p w14:paraId="70030E38" w14:textId="77777777" w:rsidR="00386020" w:rsidRPr="006524DF" w:rsidRDefault="00386020" w:rsidP="00386020">
            <w:pPr>
              <w:widowControl w:val="0"/>
              <w:jc w:val="left"/>
              <w:rPr>
                <w:sz w:val="20"/>
                <w:szCs w:val="20"/>
                <w:lang w:val="en-US"/>
              </w:rPr>
            </w:pPr>
            <w:r w:rsidRPr="006524DF">
              <w:rPr>
                <w:sz w:val="20"/>
                <w:lang w:val="en-CA" w:eastAsia="en-CA"/>
              </w:rPr>
              <w:t>HCFC phase-out plan (stage I)</w:t>
            </w:r>
          </w:p>
        </w:tc>
        <w:tc>
          <w:tcPr>
            <w:tcW w:w="914" w:type="pct"/>
            <w:tcBorders>
              <w:top w:val="single" w:sz="4" w:space="0" w:color="auto"/>
              <w:left w:val="single" w:sz="4" w:space="0" w:color="auto"/>
              <w:bottom w:val="single" w:sz="4" w:space="0" w:color="auto"/>
              <w:right w:val="single" w:sz="4" w:space="0" w:color="auto"/>
            </w:tcBorders>
            <w:vAlign w:val="center"/>
          </w:tcPr>
          <w:p w14:paraId="4045747A" w14:textId="77777777" w:rsidR="00386020" w:rsidRPr="006524DF" w:rsidRDefault="00386020" w:rsidP="00386020">
            <w:pPr>
              <w:widowControl w:val="0"/>
              <w:jc w:val="center"/>
              <w:rPr>
                <w:bCs/>
                <w:sz w:val="20"/>
                <w:szCs w:val="20"/>
                <w:lang w:val="en-CA" w:eastAsia="en-CA"/>
              </w:rPr>
            </w:pPr>
            <w:r w:rsidRPr="006524DF">
              <w:rPr>
                <w:sz w:val="20"/>
              </w:rPr>
              <w:t>UNEP</w:t>
            </w:r>
          </w:p>
        </w:tc>
        <w:tc>
          <w:tcPr>
            <w:tcW w:w="1201" w:type="pct"/>
            <w:tcBorders>
              <w:top w:val="single" w:sz="4" w:space="0" w:color="auto"/>
              <w:left w:val="single" w:sz="4" w:space="0" w:color="auto"/>
              <w:bottom w:val="single" w:sz="4" w:space="0" w:color="auto"/>
              <w:right w:val="single" w:sz="4" w:space="0" w:color="auto"/>
            </w:tcBorders>
            <w:vAlign w:val="center"/>
          </w:tcPr>
          <w:p w14:paraId="43924928" w14:textId="77777777" w:rsidR="00386020" w:rsidRPr="006524DF" w:rsidRDefault="00386020" w:rsidP="00386020">
            <w:pPr>
              <w:widowControl w:val="0"/>
              <w:jc w:val="left"/>
              <w:rPr>
                <w:bCs/>
                <w:sz w:val="20"/>
                <w:szCs w:val="20"/>
                <w:lang w:val="en-CA" w:eastAsia="en-CA"/>
              </w:rPr>
            </w:pPr>
            <w:r w:rsidRPr="006524DF">
              <w:rPr>
                <w:sz w:val="20"/>
              </w:rPr>
              <w:t>UNDP</w:t>
            </w:r>
          </w:p>
        </w:tc>
      </w:tr>
      <w:tr w:rsidR="00386020" w:rsidRPr="006524DF" w14:paraId="78A8386D" w14:textId="77777777" w:rsidTr="00C60C62">
        <w:trPr>
          <w:trHeight w:val="50"/>
        </w:trPr>
        <w:tc>
          <w:tcPr>
            <w:tcW w:w="1152" w:type="pct"/>
            <w:tcBorders>
              <w:top w:val="single" w:sz="4" w:space="0" w:color="auto"/>
              <w:left w:val="single" w:sz="4" w:space="0" w:color="auto"/>
              <w:bottom w:val="single" w:sz="4" w:space="0" w:color="auto"/>
              <w:right w:val="single" w:sz="4" w:space="0" w:color="auto"/>
            </w:tcBorders>
            <w:vAlign w:val="center"/>
          </w:tcPr>
          <w:p w14:paraId="421173B1" w14:textId="77777777" w:rsidR="00386020" w:rsidRPr="006524DF" w:rsidRDefault="00386020" w:rsidP="00386020">
            <w:pPr>
              <w:widowControl w:val="0"/>
              <w:jc w:val="left"/>
              <w:rPr>
                <w:b/>
                <w:bCs/>
                <w:sz w:val="20"/>
                <w:szCs w:val="20"/>
                <w:lang w:val="en-CA" w:eastAsia="en-CA"/>
              </w:rPr>
            </w:pPr>
            <w:r w:rsidRPr="006524DF">
              <w:rPr>
                <w:sz w:val="20"/>
                <w:szCs w:val="20"/>
                <w:lang w:val="en-US"/>
              </w:rPr>
              <w:t>Indonesia</w:t>
            </w:r>
          </w:p>
        </w:tc>
        <w:tc>
          <w:tcPr>
            <w:tcW w:w="1733" w:type="pct"/>
            <w:tcBorders>
              <w:top w:val="single" w:sz="4" w:space="0" w:color="auto"/>
              <w:left w:val="single" w:sz="4" w:space="0" w:color="auto"/>
              <w:bottom w:val="single" w:sz="4" w:space="0" w:color="auto"/>
              <w:right w:val="single" w:sz="4" w:space="0" w:color="auto"/>
            </w:tcBorders>
            <w:vAlign w:val="center"/>
          </w:tcPr>
          <w:p w14:paraId="32902A83" w14:textId="70D208E1" w:rsidR="00386020" w:rsidRPr="006524DF" w:rsidRDefault="00386020" w:rsidP="00386020">
            <w:pPr>
              <w:widowControl w:val="0"/>
              <w:jc w:val="left"/>
              <w:rPr>
                <w:sz w:val="20"/>
                <w:szCs w:val="20"/>
                <w:lang w:val="en-US"/>
              </w:rPr>
            </w:pPr>
            <w:r w:rsidRPr="006524DF">
              <w:rPr>
                <w:sz w:val="20"/>
                <w:szCs w:val="20"/>
                <w:lang w:val="en-US"/>
              </w:rPr>
              <w:t>HCFC phase-out p</w:t>
            </w:r>
            <w:r w:rsidR="006A2A6C" w:rsidRPr="006524DF">
              <w:rPr>
                <w:sz w:val="20"/>
                <w:szCs w:val="20"/>
                <w:lang w:val="en-US"/>
              </w:rPr>
              <w:t>lan (s</w:t>
            </w:r>
            <w:r w:rsidRPr="006524DF">
              <w:rPr>
                <w:sz w:val="20"/>
                <w:szCs w:val="20"/>
                <w:lang w:val="en-US"/>
              </w:rPr>
              <w:t>tage I)</w:t>
            </w:r>
          </w:p>
        </w:tc>
        <w:tc>
          <w:tcPr>
            <w:tcW w:w="914" w:type="pct"/>
            <w:tcBorders>
              <w:top w:val="single" w:sz="4" w:space="0" w:color="auto"/>
              <w:left w:val="single" w:sz="4" w:space="0" w:color="auto"/>
              <w:bottom w:val="single" w:sz="4" w:space="0" w:color="auto"/>
              <w:right w:val="single" w:sz="4" w:space="0" w:color="auto"/>
            </w:tcBorders>
            <w:vAlign w:val="center"/>
          </w:tcPr>
          <w:p w14:paraId="5FBBBBEE" w14:textId="77777777" w:rsidR="00386020" w:rsidRPr="006524DF" w:rsidRDefault="00386020" w:rsidP="00386020">
            <w:pPr>
              <w:widowControl w:val="0"/>
              <w:jc w:val="center"/>
              <w:rPr>
                <w:b/>
                <w:bCs/>
                <w:sz w:val="20"/>
                <w:szCs w:val="20"/>
                <w:lang w:val="en-CA" w:eastAsia="en-CA"/>
              </w:rPr>
            </w:pPr>
            <w:r w:rsidRPr="006524DF">
              <w:rPr>
                <w:bCs/>
                <w:sz w:val="20"/>
                <w:szCs w:val="20"/>
                <w:lang w:val="en-CA" w:eastAsia="en-CA"/>
              </w:rPr>
              <w:t>UNDP</w:t>
            </w:r>
          </w:p>
        </w:tc>
        <w:tc>
          <w:tcPr>
            <w:tcW w:w="1201" w:type="pct"/>
            <w:tcBorders>
              <w:top w:val="single" w:sz="4" w:space="0" w:color="auto"/>
              <w:left w:val="single" w:sz="4" w:space="0" w:color="auto"/>
              <w:bottom w:val="single" w:sz="4" w:space="0" w:color="auto"/>
              <w:right w:val="single" w:sz="4" w:space="0" w:color="auto"/>
            </w:tcBorders>
            <w:vAlign w:val="center"/>
          </w:tcPr>
          <w:p w14:paraId="40257938" w14:textId="5AF0528E" w:rsidR="00386020" w:rsidRPr="006524DF" w:rsidRDefault="00386020" w:rsidP="004604EB">
            <w:pPr>
              <w:widowControl w:val="0"/>
              <w:jc w:val="left"/>
              <w:rPr>
                <w:b/>
                <w:bCs/>
                <w:sz w:val="20"/>
                <w:szCs w:val="20"/>
                <w:lang w:val="en-CA" w:eastAsia="en-CA"/>
              </w:rPr>
            </w:pPr>
            <w:r w:rsidRPr="006524DF">
              <w:rPr>
                <w:bCs/>
                <w:sz w:val="20"/>
                <w:szCs w:val="20"/>
                <w:lang w:val="en-CA" w:eastAsia="en-CA"/>
              </w:rPr>
              <w:t>UNIDO/</w:t>
            </w:r>
            <w:r w:rsidR="004604EB" w:rsidRPr="006524DF">
              <w:rPr>
                <w:bCs/>
                <w:sz w:val="20"/>
                <w:szCs w:val="20"/>
                <w:lang w:val="en-CA" w:eastAsia="en-CA"/>
              </w:rPr>
              <w:t>World Bank/</w:t>
            </w:r>
            <w:r w:rsidRPr="006524DF">
              <w:rPr>
                <w:bCs/>
                <w:sz w:val="20"/>
                <w:szCs w:val="20"/>
                <w:lang w:val="en-CA" w:eastAsia="en-CA"/>
              </w:rPr>
              <w:t>Australia</w:t>
            </w:r>
          </w:p>
        </w:tc>
      </w:tr>
    </w:tbl>
    <w:p w14:paraId="68899AB1" w14:textId="77777777" w:rsidR="00E60644" w:rsidRPr="00765981" w:rsidRDefault="00E60644" w:rsidP="00E60644">
      <w:pPr>
        <w:widowControl w:val="0"/>
        <w:spacing w:after="240"/>
        <w:jc w:val="center"/>
        <w:rPr>
          <w:b/>
          <w:lang w:val="en-US"/>
        </w:rPr>
      </w:pPr>
    </w:p>
    <w:p w14:paraId="02006420" w14:textId="77777777" w:rsidR="00E60644" w:rsidRPr="00765981" w:rsidRDefault="00E60644" w:rsidP="00E60644">
      <w:pPr>
        <w:widowControl w:val="0"/>
        <w:spacing w:after="240"/>
        <w:jc w:val="center"/>
        <w:rPr>
          <w:b/>
        </w:rPr>
        <w:sectPr w:rsidR="00E60644" w:rsidRPr="00765981" w:rsidSect="002F2E98">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864" w:left="1440" w:header="720" w:footer="475" w:gutter="0"/>
          <w:pgNumType w:start="1"/>
          <w:cols w:space="720"/>
          <w:titlePg/>
        </w:sectPr>
      </w:pPr>
    </w:p>
    <w:p w14:paraId="640DE1B6" w14:textId="77777777" w:rsidR="00E60644" w:rsidRPr="006524DF" w:rsidRDefault="00E60644" w:rsidP="00E60644">
      <w:pPr>
        <w:widowControl w:val="0"/>
        <w:spacing w:after="240"/>
        <w:jc w:val="center"/>
        <w:rPr>
          <w:b/>
        </w:rPr>
      </w:pPr>
      <w:r w:rsidRPr="006524DF">
        <w:rPr>
          <w:b/>
        </w:rPr>
        <w:lastRenderedPageBreak/>
        <w:t xml:space="preserve">Annex II </w:t>
      </w:r>
    </w:p>
    <w:p w14:paraId="0398E4E8" w14:textId="77777777" w:rsidR="00E60644" w:rsidRPr="006524DF" w:rsidRDefault="00E60644" w:rsidP="00E60644">
      <w:pPr>
        <w:widowControl w:val="0"/>
        <w:spacing w:after="240"/>
        <w:jc w:val="center"/>
        <w:rPr>
          <w:b/>
        </w:rPr>
      </w:pPr>
      <w:r w:rsidRPr="006524DF">
        <w:rPr>
          <w:b/>
        </w:rPr>
        <w:t>INDIVIDUAL PCRs RECEIVED</w:t>
      </w:r>
    </w:p>
    <w:tbl>
      <w:tblPr>
        <w:tblW w:w="9464" w:type="dxa"/>
        <w:tblLayout w:type="fixed"/>
        <w:tblLook w:val="04A0" w:firstRow="1" w:lastRow="0" w:firstColumn="1" w:lastColumn="0" w:noHBand="0" w:noVBand="1"/>
      </w:tblPr>
      <w:tblGrid>
        <w:gridCol w:w="2235"/>
        <w:gridCol w:w="1270"/>
        <w:gridCol w:w="5959"/>
      </w:tblGrid>
      <w:tr w:rsidR="00E60644" w:rsidRPr="006524DF" w14:paraId="5544A114" w14:textId="77777777" w:rsidTr="006A16CC">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B923DF9"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Code</w:t>
            </w:r>
          </w:p>
        </w:tc>
        <w:tc>
          <w:tcPr>
            <w:tcW w:w="1270" w:type="dxa"/>
            <w:tcBorders>
              <w:top w:val="single" w:sz="4" w:space="0" w:color="auto"/>
              <w:left w:val="nil"/>
              <w:bottom w:val="single" w:sz="4" w:space="0" w:color="auto"/>
              <w:right w:val="single" w:sz="4" w:space="0" w:color="auto"/>
            </w:tcBorders>
            <w:shd w:val="clear" w:color="auto" w:fill="auto"/>
            <w:hideMark/>
          </w:tcPr>
          <w:p w14:paraId="54603AF2"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Agency</w:t>
            </w:r>
          </w:p>
        </w:tc>
        <w:tc>
          <w:tcPr>
            <w:tcW w:w="5959" w:type="dxa"/>
            <w:tcBorders>
              <w:top w:val="single" w:sz="4" w:space="0" w:color="auto"/>
              <w:left w:val="nil"/>
              <w:bottom w:val="single" w:sz="4" w:space="0" w:color="auto"/>
              <w:right w:val="single" w:sz="4" w:space="0" w:color="auto"/>
            </w:tcBorders>
            <w:shd w:val="clear" w:color="auto" w:fill="auto"/>
            <w:hideMark/>
          </w:tcPr>
          <w:p w14:paraId="0AC22651" w14:textId="77777777" w:rsidR="00E60644" w:rsidRPr="006524DF" w:rsidRDefault="00E60644" w:rsidP="00102A32">
            <w:pPr>
              <w:widowControl w:val="0"/>
              <w:jc w:val="center"/>
              <w:rPr>
                <w:b/>
                <w:bCs/>
                <w:sz w:val="20"/>
                <w:szCs w:val="20"/>
                <w:lang w:val="en-CA" w:eastAsia="en-CA"/>
              </w:rPr>
            </w:pPr>
            <w:r w:rsidRPr="006524DF">
              <w:rPr>
                <w:b/>
                <w:bCs/>
                <w:sz w:val="20"/>
                <w:szCs w:val="20"/>
                <w:lang w:val="en-CA" w:eastAsia="en-CA"/>
              </w:rPr>
              <w:t>Project Title</w:t>
            </w:r>
          </w:p>
        </w:tc>
      </w:tr>
      <w:tr w:rsidR="005C01DE" w:rsidRPr="006524DF" w14:paraId="420CF878" w14:textId="77777777" w:rsidTr="00490F4F">
        <w:trPr>
          <w:tblHead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4E46A2F" w14:textId="77777777" w:rsidR="005C01DE" w:rsidRPr="006524DF" w:rsidRDefault="00C60C62" w:rsidP="005C01DE">
            <w:pPr>
              <w:widowControl w:val="0"/>
              <w:jc w:val="left"/>
              <w:rPr>
                <w:b/>
                <w:bCs/>
                <w:sz w:val="20"/>
                <w:szCs w:val="20"/>
                <w:lang w:val="en-CA" w:eastAsia="en-CA"/>
              </w:rPr>
            </w:pPr>
            <w:r w:rsidRPr="006524DF">
              <w:rPr>
                <w:sz w:val="20"/>
                <w:szCs w:val="20"/>
                <w:lang w:val="en-CA" w:eastAsia="en-CA"/>
              </w:rPr>
              <w:t>COI/PHA/80/TAS/26</w:t>
            </w:r>
          </w:p>
        </w:tc>
        <w:tc>
          <w:tcPr>
            <w:tcW w:w="1270" w:type="dxa"/>
            <w:tcBorders>
              <w:top w:val="single" w:sz="4" w:space="0" w:color="auto"/>
              <w:left w:val="nil"/>
              <w:bottom w:val="single" w:sz="4" w:space="0" w:color="auto"/>
              <w:right w:val="single" w:sz="4" w:space="0" w:color="auto"/>
            </w:tcBorders>
            <w:shd w:val="clear" w:color="auto" w:fill="auto"/>
            <w:vAlign w:val="center"/>
          </w:tcPr>
          <w:p w14:paraId="09CA78D3" w14:textId="77777777" w:rsidR="005C01DE" w:rsidRPr="006524DF" w:rsidRDefault="00490F4F" w:rsidP="005C01DE">
            <w:pPr>
              <w:widowControl w:val="0"/>
              <w:jc w:val="left"/>
              <w:rPr>
                <w:bCs/>
                <w:sz w:val="20"/>
                <w:szCs w:val="20"/>
                <w:lang w:val="en-CA" w:eastAsia="en-CA"/>
              </w:rPr>
            </w:pPr>
            <w:r w:rsidRPr="006524DF">
              <w:rPr>
                <w:sz w:val="20"/>
                <w:szCs w:val="20"/>
                <w:lang w:val="en-CA" w:eastAsia="en-CA"/>
              </w:rPr>
              <w:t>UNEP</w:t>
            </w:r>
          </w:p>
        </w:tc>
        <w:tc>
          <w:tcPr>
            <w:tcW w:w="5959" w:type="dxa"/>
            <w:tcBorders>
              <w:top w:val="single" w:sz="4" w:space="0" w:color="auto"/>
              <w:left w:val="nil"/>
              <w:bottom w:val="single" w:sz="4" w:space="0" w:color="auto"/>
              <w:right w:val="single" w:sz="4" w:space="0" w:color="auto"/>
            </w:tcBorders>
            <w:shd w:val="clear" w:color="auto" w:fill="FFFFFF" w:themeFill="background1"/>
          </w:tcPr>
          <w:p w14:paraId="3789F1C6" w14:textId="77777777" w:rsidR="005C01DE" w:rsidRPr="006524DF" w:rsidRDefault="00490F4F" w:rsidP="005C01DE">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AD15F0" w:rsidRPr="006524DF" w14:paraId="6C269A03" w14:textId="77777777" w:rsidTr="00490F4F">
        <w:tc>
          <w:tcPr>
            <w:tcW w:w="2235" w:type="dxa"/>
            <w:tcBorders>
              <w:top w:val="nil"/>
              <w:left w:val="single" w:sz="4" w:space="0" w:color="auto"/>
              <w:bottom w:val="single" w:sz="4" w:space="0" w:color="auto"/>
              <w:right w:val="single" w:sz="4" w:space="0" w:color="auto"/>
            </w:tcBorders>
            <w:shd w:val="clear" w:color="auto" w:fill="auto"/>
            <w:vAlign w:val="center"/>
            <w:hideMark/>
          </w:tcPr>
          <w:p w14:paraId="06A4EEA3" w14:textId="77777777" w:rsidR="00AD15F0" w:rsidRPr="006524DF" w:rsidRDefault="00C60C62" w:rsidP="00AD15F0">
            <w:pPr>
              <w:widowControl w:val="0"/>
              <w:jc w:val="left"/>
              <w:rPr>
                <w:sz w:val="20"/>
                <w:szCs w:val="20"/>
                <w:lang w:val="en-CA" w:eastAsia="en-CA"/>
              </w:rPr>
            </w:pPr>
            <w:r w:rsidRPr="006524DF">
              <w:rPr>
                <w:sz w:val="20"/>
                <w:szCs w:val="20"/>
                <w:lang w:val="en-CA" w:eastAsia="en-CA"/>
              </w:rPr>
              <w:t>DJI/PHA/80/TAS/24</w:t>
            </w:r>
          </w:p>
        </w:tc>
        <w:tc>
          <w:tcPr>
            <w:tcW w:w="1270" w:type="dxa"/>
            <w:tcBorders>
              <w:top w:val="nil"/>
              <w:left w:val="nil"/>
              <w:bottom w:val="single" w:sz="4" w:space="0" w:color="auto"/>
              <w:right w:val="single" w:sz="4" w:space="0" w:color="auto"/>
            </w:tcBorders>
            <w:shd w:val="clear" w:color="auto" w:fill="auto"/>
            <w:vAlign w:val="center"/>
            <w:hideMark/>
          </w:tcPr>
          <w:p w14:paraId="00638AEE" w14:textId="77777777" w:rsidR="00AD15F0" w:rsidRPr="006524DF" w:rsidRDefault="00490F4F" w:rsidP="00AD15F0">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hideMark/>
          </w:tcPr>
          <w:p w14:paraId="05D58A48" w14:textId="77777777" w:rsidR="00AD15F0" w:rsidRPr="006524DF" w:rsidRDefault="00490F4F" w:rsidP="00AD15F0">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6B145D80" w14:textId="77777777" w:rsidTr="00490F4F">
        <w:tc>
          <w:tcPr>
            <w:tcW w:w="2235" w:type="dxa"/>
            <w:tcBorders>
              <w:top w:val="nil"/>
              <w:left w:val="single" w:sz="4" w:space="0" w:color="auto"/>
              <w:bottom w:val="single" w:sz="4" w:space="0" w:color="auto"/>
              <w:right w:val="single" w:sz="4" w:space="0" w:color="auto"/>
            </w:tcBorders>
            <w:shd w:val="clear" w:color="auto" w:fill="auto"/>
            <w:vAlign w:val="center"/>
          </w:tcPr>
          <w:p w14:paraId="1FEF5399" w14:textId="77777777" w:rsidR="00490F4F" w:rsidRPr="006524DF" w:rsidRDefault="00490F4F" w:rsidP="00AD15F0">
            <w:pPr>
              <w:widowControl w:val="0"/>
              <w:jc w:val="left"/>
              <w:rPr>
                <w:sz w:val="20"/>
                <w:szCs w:val="20"/>
                <w:lang w:val="en-CA" w:eastAsia="en-CA"/>
              </w:rPr>
            </w:pPr>
            <w:r w:rsidRPr="006524DF">
              <w:rPr>
                <w:sz w:val="20"/>
                <w:szCs w:val="20"/>
                <w:lang w:val="en-CA" w:eastAsia="en-CA"/>
              </w:rPr>
              <w:t>EUR/REF/76/DEM/16</w:t>
            </w:r>
          </w:p>
        </w:tc>
        <w:tc>
          <w:tcPr>
            <w:tcW w:w="1270" w:type="dxa"/>
            <w:tcBorders>
              <w:top w:val="nil"/>
              <w:left w:val="nil"/>
              <w:bottom w:val="single" w:sz="4" w:space="0" w:color="auto"/>
              <w:right w:val="single" w:sz="4" w:space="0" w:color="auto"/>
            </w:tcBorders>
            <w:shd w:val="clear" w:color="auto" w:fill="FFFFFF" w:themeFill="background1"/>
            <w:vAlign w:val="center"/>
          </w:tcPr>
          <w:p w14:paraId="3B66D47F" w14:textId="77777777" w:rsidR="00490F4F" w:rsidRPr="006524DF" w:rsidRDefault="00490F4F" w:rsidP="00AD15F0">
            <w:pPr>
              <w:widowControl w:val="0"/>
              <w:jc w:val="left"/>
              <w:rPr>
                <w:sz w:val="20"/>
                <w:szCs w:val="20"/>
                <w:lang w:val="en-CA" w:eastAsia="en-CA"/>
              </w:rPr>
            </w:pPr>
            <w:r w:rsidRPr="006524DF">
              <w:rPr>
                <w:sz w:val="20"/>
                <w:szCs w:val="20"/>
                <w:lang w:val="en-CA" w:eastAsia="en-CA"/>
              </w:rPr>
              <w:t>Russian Federation</w:t>
            </w:r>
          </w:p>
        </w:tc>
        <w:tc>
          <w:tcPr>
            <w:tcW w:w="5959" w:type="dxa"/>
            <w:tcBorders>
              <w:top w:val="nil"/>
              <w:left w:val="nil"/>
              <w:bottom w:val="single" w:sz="4" w:space="0" w:color="auto"/>
              <w:right w:val="single" w:sz="4" w:space="0" w:color="auto"/>
            </w:tcBorders>
            <w:shd w:val="clear" w:color="auto" w:fill="FFFFFF" w:themeFill="background1"/>
            <w:vAlign w:val="center"/>
          </w:tcPr>
          <w:p w14:paraId="72F2E3A6" w14:textId="77777777" w:rsidR="00490F4F" w:rsidRPr="006524DF" w:rsidRDefault="00490F4F" w:rsidP="00AD15F0">
            <w:pPr>
              <w:widowControl w:val="0"/>
              <w:jc w:val="left"/>
              <w:rPr>
                <w:sz w:val="20"/>
                <w:szCs w:val="20"/>
                <w:lang w:val="en-CA" w:eastAsia="en-CA"/>
              </w:rPr>
            </w:pPr>
            <w:r w:rsidRPr="006524DF">
              <w:rPr>
                <w:sz w:val="20"/>
                <w:szCs w:val="20"/>
                <w:lang w:val="en-CA" w:eastAsia="en-CA"/>
              </w:rPr>
              <w:t>Development of a regional centre of excellence for training and certification and demonstration of low-global warming potential alternative refrigerants</w:t>
            </w:r>
          </w:p>
        </w:tc>
      </w:tr>
      <w:tr w:rsidR="00490F4F" w:rsidRPr="006524DF" w14:paraId="203B1572"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0753DDA2" w14:textId="77777777" w:rsidR="00490F4F" w:rsidRPr="006524DF" w:rsidRDefault="00490F4F" w:rsidP="00490F4F">
            <w:pPr>
              <w:widowControl w:val="0"/>
              <w:jc w:val="left"/>
              <w:rPr>
                <w:sz w:val="20"/>
                <w:szCs w:val="20"/>
                <w:lang w:val="en-CA" w:eastAsia="en-CA"/>
              </w:rPr>
            </w:pPr>
            <w:r w:rsidRPr="006524DF">
              <w:rPr>
                <w:sz w:val="20"/>
                <w:szCs w:val="20"/>
                <w:lang w:val="en-CA" w:eastAsia="en-CA"/>
              </w:rPr>
              <w:t>GAB/PHA/80/TAS/35</w:t>
            </w:r>
          </w:p>
        </w:tc>
        <w:tc>
          <w:tcPr>
            <w:tcW w:w="1270" w:type="dxa"/>
            <w:tcBorders>
              <w:top w:val="nil"/>
              <w:left w:val="nil"/>
              <w:bottom w:val="single" w:sz="4" w:space="0" w:color="auto"/>
              <w:right w:val="single" w:sz="4" w:space="0" w:color="auto"/>
            </w:tcBorders>
            <w:shd w:val="clear" w:color="auto" w:fill="auto"/>
            <w:vAlign w:val="center"/>
          </w:tcPr>
          <w:p w14:paraId="376A3325"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0038DB20"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31D9253F"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15B28073" w14:textId="77777777" w:rsidR="00490F4F" w:rsidRPr="006524DF" w:rsidRDefault="00490F4F" w:rsidP="00490F4F">
            <w:pPr>
              <w:widowControl w:val="0"/>
              <w:jc w:val="left"/>
              <w:rPr>
                <w:sz w:val="20"/>
                <w:szCs w:val="20"/>
                <w:lang w:val="en-CA" w:eastAsia="en-CA"/>
              </w:rPr>
            </w:pPr>
            <w:r w:rsidRPr="006524DF">
              <w:rPr>
                <w:sz w:val="20"/>
                <w:szCs w:val="20"/>
                <w:lang w:val="en-CA" w:eastAsia="en-CA"/>
              </w:rPr>
              <w:t>LAO/PHA/82/TAS/32</w:t>
            </w:r>
          </w:p>
        </w:tc>
        <w:tc>
          <w:tcPr>
            <w:tcW w:w="1270" w:type="dxa"/>
            <w:tcBorders>
              <w:top w:val="nil"/>
              <w:left w:val="nil"/>
              <w:bottom w:val="single" w:sz="4" w:space="0" w:color="auto"/>
              <w:right w:val="single" w:sz="4" w:space="0" w:color="auto"/>
            </w:tcBorders>
            <w:shd w:val="clear" w:color="auto" w:fill="auto"/>
            <w:vAlign w:val="center"/>
          </w:tcPr>
          <w:p w14:paraId="7BF668F5"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37256D26"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5C01DE" w:rsidRPr="006524DF" w14:paraId="4483373A"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72769E93" w14:textId="77777777" w:rsidR="005C01DE" w:rsidRPr="006524DF" w:rsidRDefault="00C60C62" w:rsidP="00AD15F0">
            <w:pPr>
              <w:widowControl w:val="0"/>
              <w:jc w:val="left"/>
              <w:rPr>
                <w:sz w:val="20"/>
                <w:szCs w:val="20"/>
                <w:lang w:val="en-CA" w:eastAsia="en-CA"/>
              </w:rPr>
            </w:pPr>
            <w:r w:rsidRPr="006524DF">
              <w:rPr>
                <w:sz w:val="20"/>
                <w:szCs w:val="20"/>
                <w:lang w:val="en-CA" w:eastAsia="en-CA"/>
              </w:rPr>
              <w:t>MON/PHA/82/TAS/28</w:t>
            </w:r>
          </w:p>
        </w:tc>
        <w:tc>
          <w:tcPr>
            <w:tcW w:w="1270" w:type="dxa"/>
            <w:tcBorders>
              <w:top w:val="nil"/>
              <w:left w:val="nil"/>
              <w:bottom w:val="single" w:sz="4" w:space="0" w:color="auto"/>
              <w:right w:val="single" w:sz="4" w:space="0" w:color="auto"/>
            </w:tcBorders>
            <w:shd w:val="clear" w:color="auto" w:fill="auto"/>
            <w:vAlign w:val="center"/>
          </w:tcPr>
          <w:p w14:paraId="4BAE728D" w14:textId="77777777" w:rsidR="005C01DE" w:rsidRPr="006524DF" w:rsidRDefault="00490F4F" w:rsidP="00AD15F0">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7E6D5C84" w14:textId="77777777" w:rsidR="005C01DE"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6E7799" w:rsidRPr="006524DF" w14:paraId="42363939"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78EA8EE6" w14:textId="77777777" w:rsidR="006E7799" w:rsidRPr="006524DF" w:rsidRDefault="00C60C62" w:rsidP="00AD15F0">
            <w:pPr>
              <w:widowControl w:val="0"/>
              <w:jc w:val="left"/>
              <w:rPr>
                <w:sz w:val="20"/>
                <w:szCs w:val="20"/>
                <w:lang w:val="en-CA" w:eastAsia="en-CA"/>
              </w:rPr>
            </w:pPr>
            <w:r w:rsidRPr="006524DF">
              <w:rPr>
                <w:sz w:val="20"/>
                <w:szCs w:val="20"/>
                <w:lang w:val="en-CA" w:eastAsia="en-CA"/>
              </w:rPr>
              <w:t>NEP/PHA/82/TAS/39</w:t>
            </w:r>
          </w:p>
        </w:tc>
        <w:tc>
          <w:tcPr>
            <w:tcW w:w="1270" w:type="dxa"/>
            <w:tcBorders>
              <w:top w:val="nil"/>
              <w:left w:val="nil"/>
              <w:bottom w:val="single" w:sz="4" w:space="0" w:color="auto"/>
              <w:right w:val="single" w:sz="4" w:space="0" w:color="auto"/>
            </w:tcBorders>
            <w:shd w:val="clear" w:color="auto" w:fill="auto"/>
            <w:vAlign w:val="center"/>
          </w:tcPr>
          <w:p w14:paraId="5978FDCC" w14:textId="77777777" w:rsidR="006E7799" w:rsidRPr="006524DF" w:rsidRDefault="00490F4F" w:rsidP="00AD15F0">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11AD58D9" w14:textId="77777777" w:rsidR="006E7799" w:rsidRPr="006524DF" w:rsidRDefault="00490F4F" w:rsidP="00AD15F0">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2A25A51B"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353E28FB" w14:textId="77777777" w:rsidR="00490F4F" w:rsidRPr="006524DF" w:rsidRDefault="00490F4F" w:rsidP="00490F4F">
            <w:pPr>
              <w:widowControl w:val="0"/>
              <w:jc w:val="left"/>
              <w:rPr>
                <w:sz w:val="20"/>
                <w:szCs w:val="20"/>
                <w:lang w:val="en-CA" w:eastAsia="en-CA"/>
              </w:rPr>
            </w:pPr>
            <w:r w:rsidRPr="006524DF">
              <w:rPr>
                <w:sz w:val="20"/>
                <w:szCs w:val="20"/>
                <w:lang w:val="en-CA" w:eastAsia="en-CA"/>
              </w:rPr>
              <w:t>SAM/PHA/82/TAS/22</w:t>
            </w:r>
          </w:p>
        </w:tc>
        <w:tc>
          <w:tcPr>
            <w:tcW w:w="1270" w:type="dxa"/>
            <w:tcBorders>
              <w:top w:val="nil"/>
              <w:left w:val="nil"/>
              <w:bottom w:val="single" w:sz="4" w:space="0" w:color="auto"/>
              <w:right w:val="single" w:sz="4" w:space="0" w:color="auto"/>
            </w:tcBorders>
            <w:shd w:val="clear" w:color="auto" w:fill="auto"/>
            <w:vAlign w:val="center"/>
          </w:tcPr>
          <w:p w14:paraId="2CB706E4"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FFFFFF" w:themeFill="background1"/>
            <w:vAlign w:val="center"/>
          </w:tcPr>
          <w:p w14:paraId="04902D47"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7A87ABA9"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013BCC03" w14:textId="77777777" w:rsidR="00490F4F" w:rsidRPr="006524DF" w:rsidRDefault="00490F4F" w:rsidP="00490F4F">
            <w:pPr>
              <w:widowControl w:val="0"/>
              <w:jc w:val="left"/>
              <w:rPr>
                <w:sz w:val="20"/>
                <w:szCs w:val="20"/>
                <w:lang w:val="en-CA" w:eastAsia="en-CA"/>
              </w:rPr>
            </w:pPr>
            <w:r w:rsidRPr="006524DF">
              <w:rPr>
                <w:sz w:val="20"/>
                <w:szCs w:val="20"/>
                <w:lang w:val="en-CA" w:eastAsia="en-CA"/>
              </w:rPr>
              <w:t>SOI/PHA/82/TAS/15</w:t>
            </w:r>
          </w:p>
        </w:tc>
        <w:tc>
          <w:tcPr>
            <w:tcW w:w="1270" w:type="dxa"/>
            <w:tcBorders>
              <w:top w:val="nil"/>
              <w:left w:val="nil"/>
              <w:bottom w:val="single" w:sz="4" w:space="0" w:color="auto"/>
              <w:right w:val="single" w:sz="4" w:space="0" w:color="auto"/>
            </w:tcBorders>
            <w:shd w:val="clear" w:color="auto" w:fill="auto"/>
            <w:vAlign w:val="center"/>
          </w:tcPr>
          <w:p w14:paraId="6E0E4257"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3413E6BD"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34C67E23"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41D16BC7" w14:textId="77777777" w:rsidR="00490F4F" w:rsidRPr="006524DF" w:rsidRDefault="00490F4F" w:rsidP="00490F4F">
            <w:pPr>
              <w:widowControl w:val="0"/>
              <w:jc w:val="left"/>
              <w:rPr>
                <w:sz w:val="20"/>
                <w:szCs w:val="20"/>
                <w:lang w:val="en-CA" w:eastAsia="en-CA"/>
              </w:rPr>
            </w:pPr>
            <w:r w:rsidRPr="006524DF">
              <w:rPr>
                <w:sz w:val="20"/>
                <w:szCs w:val="20"/>
                <w:lang w:val="uz-Cyrl-UZ" w:eastAsia="en-CA"/>
              </w:rPr>
              <w:t>TOG/PHA/80/TAS/31  </w:t>
            </w:r>
          </w:p>
        </w:tc>
        <w:tc>
          <w:tcPr>
            <w:tcW w:w="1270" w:type="dxa"/>
            <w:tcBorders>
              <w:top w:val="nil"/>
              <w:left w:val="nil"/>
              <w:bottom w:val="single" w:sz="4" w:space="0" w:color="auto"/>
              <w:right w:val="single" w:sz="4" w:space="0" w:color="auto"/>
            </w:tcBorders>
            <w:shd w:val="clear" w:color="auto" w:fill="auto"/>
            <w:vAlign w:val="center"/>
          </w:tcPr>
          <w:p w14:paraId="1A209506" w14:textId="77777777" w:rsidR="00490F4F" w:rsidRPr="006524DF" w:rsidRDefault="00490F4F" w:rsidP="00490F4F">
            <w:pPr>
              <w:widowControl w:val="0"/>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6F01D7F3" w14:textId="77777777" w:rsidR="00490F4F" w:rsidRPr="006524DF" w:rsidRDefault="00490F4F" w:rsidP="00490F4F">
            <w:pPr>
              <w:widowControl w:val="0"/>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04B5A329" w14:textId="77777777" w:rsidTr="00C60C62">
        <w:tc>
          <w:tcPr>
            <w:tcW w:w="2235" w:type="dxa"/>
            <w:tcBorders>
              <w:top w:val="nil"/>
              <w:left w:val="single" w:sz="4" w:space="0" w:color="auto"/>
              <w:bottom w:val="single" w:sz="4" w:space="0" w:color="auto"/>
              <w:right w:val="single" w:sz="4" w:space="0" w:color="auto"/>
            </w:tcBorders>
            <w:shd w:val="clear" w:color="auto" w:fill="auto"/>
            <w:vAlign w:val="center"/>
          </w:tcPr>
          <w:p w14:paraId="3DE1DE1B" w14:textId="77777777" w:rsidR="00490F4F" w:rsidRPr="006524DF" w:rsidRDefault="00490F4F" w:rsidP="00490F4F">
            <w:pPr>
              <w:widowControl w:val="0"/>
              <w:contextualSpacing/>
              <w:jc w:val="left"/>
              <w:rPr>
                <w:sz w:val="20"/>
                <w:szCs w:val="20"/>
                <w:lang w:val="uz-Cyrl-UZ" w:eastAsia="en-CA"/>
              </w:rPr>
            </w:pPr>
            <w:r w:rsidRPr="006524DF">
              <w:rPr>
                <w:sz w:val="20"/>
                <w:szCs w:val="20"/>
                <w:lang w:val="en-CA" w:eastAsia="en-CA"/>
              </w:rPr>
              <w:t>TON/PHA/82/TAS/14</w:t>
            </w:r>
          </w:p>
        </w:tc>
        <w:tc>
          <w:tcPr>
            <w:tcW w:w="1270" w:type="dxa"/>
            <w:tcBorders>
              <w:top w:val="nil"/>
              <w:left w:val="nil"/>
              <w:bottom w:val="single" w:sz="4" w:space="0" w:color="auto"/>
              <w:right w:val="single" w:sz="4" w:space="0" w:color="auto"/>
            </w:tcBorders>
            <w:shd w:val="clear" w:color="auto" w:fill="auto"/>
            <w:vAlign w:val="center"/>
          </w:tcPr>
          <w:p w14:paraId="1D128009"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UNEP</w:t>
            </w:r>
          </w:p>
        </w:tc>
        <w:tc>
          <w:tcPr>
            <w:tcW w:w="5959" w:type="dxa"/>
            <w:tcBorders>
              <w:top w:val="nil"/>
              <w:left w:val="nil"/>
              <w:bottom w:val="single" w:sz="4" w:space="0" w:color="auto"/>
              <w:right w:val="single" w:sz="4" w:space="0" w:color="auto"/>
            </w:tcBorders>
            <w:shd w:val="clear" w:color="auto" w:fill="auto"/>
            <w:vAlign w:val="center"/>
          </w:tcPr>
          <w:p w14:paraId="69C6A505" w14:textId="77777777" w:rsidR="00490F4F" w:rsidRPr="006524DF" w:rsidRDefault="00490F4F" w:rsidP="00490F4F">
            <w:pPr>
              <w:widowControl w:val="0"/>
              <w:contextualSpacing/>
              <w:jc w:val="left"/>
              <w:rPr>
                <w:bCs/>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63C73384" w14:textId="77777777" w:rsidTr="00C60C62">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741166A"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TTR/PHA/82/TAS/14</w:t>
            </w:r>
          </w:p>
        </w:tc>
        <w:tc>
          <w:tcPr>
            <w:tcW w:w="1270" w:type="dxa"/>
            <w:tcBorders>
              <w:top w:val="single" w:sz="4" w:space="0" w:color="auto"/>
              <w:left w:val="nil"/>
              <w:bottom w:val="single" w:sz="4" w:space="0" w:color="auto"/>
              <w:right w:val="single" w:sz="4" w:space="0" w:color="auto"/>
            </w:tcBorders>
            <w:shd w:val="clear" w:color="auto" w:fill="auto"/>
            <w:vAlign w:val="center"/>
          </w:tcPr>
          <w:p w14:paraId="2705B507"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UNEP</w:t>
            </w:r>
          </w:p>
        </w:tc>
        <w:tc>
          <w:tcPr>
            <w:tcW w:w="5959" w:type="dxa"/>
            <w:tcBorders>
              <w:top w:val="single" w:sz="4" w:space="0" w:color="auto"/>
              <w:left w:val="nil"/>
              <w:bottom w:val="single" w:sz="4" w:space="0" w:color="auto"/>
              <w:right w:val="single" w:sz="4" w:space="0" w:color="auto"/>
            </w:tcBorders>
            <w:shd w:val="clear" w:color="auto" w:fill="auto"/>
            <w:vAlign w:val="center"/>
          </w:tcPr>
          <w:p w14:paraId="20FEA330"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Verification report on the implementation of the HCFC phase-out management plan</w:t>
            </w:r>
          </w:p>
        </w:tc>
      </w:tr>
      <w:tr w:rsidR="00490F4F" w:rsidRPr="006524DF" w14:paraId="3C463FF9" w14:textId="77777777" w:rsidTr="006A16CC">
        <w:tc>
          <w:tcPr>
            <w:tcW w:w="2235" w:type="dxa"/>
            <w:tcBorders>
              <w:top w:val="nil"/>
              <w:left w:val="single" w:sz="4" w:space="0" w:color="auto"/>
              <w:bottom w:val="single" w:sz="4" w:space="0" w:color="auto"/>
              <w:right w:val="single" w:sz="4" w:space="0" w:color="auto"/>
            </w:tcBorders>
            <w:shd w:val="clear" w:color="auto" w:fill="auto"/>
            <w:vAlign w:val="center"/>
          </w:tcPr>
          <w:p w14:paraId="6C1028F1"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ZIM/PHA/75/TAS/52</w:t>
            </w:r>
          </w:p>
        </w:tc>
        <w:tc>
          <w:tcPr>
            <w:tcW w:w="1270" w:type="dxa"/>
            <w:tcBorders>
              <w:top w:val="nil"/>
              <w:left w:val="nil"/>
              <w:bottom w:val="single" w:sz="4" w:space="0" w:color="auto"/>
              <w:right w:val="single" w:sz="4" w:space="0" w:color="auto"/>
            </w:tcBorders>
            <w:shd w:val="clear" w:color="auto" w:fill="auto"/>
            <w:vAlign w:val="center"/>
          </w:tcPr>
          <w:p w14:paraId="42FF8529" w14:textId="77777777" w:rsidR="00490F4F" w:rsidRPr="006524DF" w:rsidRDefault="00490F4F" w:rsidP="00490F4F">
            <w:pPr>
              <w:widowControl w:val="0"/>
              <w:contextualSpacing/>
              <w:jc w:val="left"/>
              <w:rPr>
                <w:sz w:val="20"/>
                <w:szCs w:val="20"/>
                <w:lang w:val="en-CA" w:eastAsia="en-CA"/>
              </w:rPr>
            </w:pPr>
            <w:r w:rsidRPr="006524DF">
              <w:rPr>
                <w:sz w:val="20"/>
                <w:szCs w:val="20"/>
                <w:lang w:val="en-CA" w:eastAsia="en-CA"/>
              </w:rPr>
              <w:t>Germany</w:t>
            </w:r>
          </w:p>
        </w:tc>
        <w:tc>
          <w:tcPr>
            <w:tcW w:w="5959" w:type="dxa"/>
            <w:tcBorders>
              <w:top w:val="nil"/>
              <w:left w:val="nil"/>
              <w:bottom w:val="single" w:sz="4" w:space="0" w:color="auto"/>
              <w:right w:val="single" w:sz="4" w:space="0" w:color="auto"/>
            </w:tcBorders>
            <w:shd w:val="clear" w:color="auto" w:fill="auto"/>
            <w:vAlign w:val="center"/>
          </w:tcPr>
          <w:p w14:paraId="5FA4470A" w14:textId="78F1CA49" w:rsidR="00490F4F" w:rsidRPr="006524DF" w:rsidRDefault="00490F4F" w:rsidP="00282747">
            <w:pPr>
              <w:widowControl w:val="0"/>
              <w:contextualSpacing/>
              <w:jc w:val="left"/>
              <w:rPr>
                <w:sz w:val="20"/>
                <w:szCs w:val="20"/>
                <w:lang w:val="en-CA" w:eastAsia="en-CA"/>
              </w:rPr>
            </w:pPr>
            <w:r w:rsidRPr="006524DF">
              <w:rPr>
                <w:sz w:val="20"/>
                <w:szCs w:val="20"/>
                <w:lang w:val="en-CA" w:eastAsia="en-CA"/>
              </w:rPr>
              <w:t>Verification report for stage I of HCFC phase-out management plan</w:t>
            </w:r>
          </w:p>
        </w:tc>
      </w:tr>
    </w:tbl>
    <w:p w14:paraId="6E10F82A" w14:textId="77777777" w:rsidR="00E60644" w:rsidRPr="00765981" w:rsidRDefault="00E60644" w:rsidP="00E60644">
      <w:pPr>
        <w:widowControl w:val="0"/>
        <w:spacing w:after="240"/>
        <w:rPr>
          <w:b/>
          <w:lang w:val="en-CA"/>
        </w:rPr>
        <w:sectPr w:rsidR="00E60644" w:rsidRPr="00765981" w:rsidSect="002F2E98">
          <w:headerReference w:type="even" r:id="rId26"/>
          <w:headerReference w:type="first" r:id="rId27"/>
          <w:footerReference w:type="first" r:id="rId28"/>
          <w:pgSz w:w="12240" w:h="15840" w:code="1"/>
          <w:pgMar w:top="720" w:right="1440" w:bottom="864" w:left="1440" w:header="720" w:footer="475" w:gutter="0"/>
          <w:pgNumType w:start="1"/>
          <w:cols w:space="720"/>
          <w:titlePg/>
        </w:sectPr>
      </w:pPr>
    </w:p>
    <w:p w14:paraId="1C0D52C1" w14:textId="77777777" w:rsidR="00E60644" w:rsidRPr="006524DF" w:rsidRDefault="00E60644" w:rsidP="00E60644">
      <w:pPr>
        <w:widowControl w:val="0"/>
        <w:spacing w:after="240"/>
        <w:jc w:val="center"/>
        <w:rPr>
          <w:b/>
        </w:rPr>
      </w:pPr>
      <w:r w:rsidRPr="006524DF">
        <w:rPr>
          <w:b/>
        </w:rPr>
        <w:lastRenderedPageBreak/>
        <w:t xml:space="preserve">Annex III </w:t>
      </w:r>
    </w:p>
    <w:p w14:paraId="462C7461" w14:textId="77777777" w:rsidR="00E60644" w:rsidRPr="006524DF" w:rsidRDefault="00E60644" w:rsidP="009F2C38">
      <w:pPr>
        <w:widowControl w:val="0"/>
        <w:spacing w:after="360"/>
        <w:jc w:val="center"/>
        <w:rPr>
          <w:b/>
          <w:sz w:val="24"/>
        </w:rPr>
      </w:pPr>
      <w:r w:rsidRPr="006524DF">
        <w:rPr>
          <w:b/>
        </w:rPr>
        <w:t>OUTSTANDING INDIVIDUAL PCRs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756"/>
        <w:gridCol w:w="5285"/>
      </w:tblGrid>
      <w:tr w:rsidR="00E60644" w:rsidRPr="006524DF" w14:paraId="29EB691D" w14:textId="77777777" w:rsidTr="00E82F97">
        <w:trPr>
          <w:tblHeader/>
        </w:trPr>
        <w:tc>
          <w:tcPr>
            <w:tcW w:w="1235" w:type="pct"/>
            <w:tcBorders>
              <w:top w:val="single" w:sz="4" w:space="0" w:color="auto"/>
              <w:left w:val="single" w:sz="4" w:space="0" w:color="auto"/>
              <w:bottom w:val="single" w:sz="4" w:space="0" w:color="auto"/>
              <w:right w:val="single" w:sz="4" w:space="0" w:color="auto"/>
            </w:tcBorders>
            <w:vAlign w:val="center"/>
            <w:hideMark/>
          </w:tcPr>
          <w:p w14:paraId="327984E8" w14:textId="77777777" w:rsidR="00E60644" w:rsidRPr="006524DF" w:rsidRDefault="00E60644" w:rsidP="00102A32">
            <w:pPr>
              <w:widowControl w:val="0"/>
              <w:contextualSpacing/>
              <w:jc w:val="left"/>
              <w:rPr>
                <w:b/>
                <w:bCs/>
                <w:sz w:val="20"/>
                <w:szCs w:val="20"/>
                <w:lang w:val="en-CA" w:eastAsia="en-CA"/>
              </w:rPr>
            </w:pPr>
            <w:r w:rsidRPr="006524DF">
              <w:rPr>
                <w:b/>
                <w:bCs/>
                <w:sz w:val="20"/>
                <w:szCs w:val="20"/>
                <w:lang w:val="en-CA" w:eastAsia="en-CA"/>
              </w:rPr>
              <w:t>Project Number</w:t>
            </w:r>
          </w:p>
        </w:tc>
        <w:tc>
          <w:tcPr>
            <w:tcW w:w="939" w:type="pct"/>
            <w:tcBorders>
              <w:top w:val="single" w:sz="4" w:space="0" w:color="auto"/>
              <w:left w:val="single" w:sz="4" w:space="0" w:color="auto"/>
              <w:bottom w:val="single" w:sz="4" w:space="0" w:color="auto"/>
              <w:right w:val="single" w:sz="4" w:space="0" w:color="auto"/>
            </w:tcBorders>
            <w:vAlign w:val="center"/>
            <w:hideMark/>
          </w:tcPr>
          <w:p w14:paraId="7AEC7FAF" w14:textId="77777777" w:rsidR="00E60644" w:rsidRPr="006524DF" w:rsidRDefault="00E60644" w:rsidP="00102A32">
            <w:pPr>
              <w:widowControl w:val="0"/>
              <w:contextualSpacing/>
              <w:jc w:val="left"/>
              <w:rPr>
                <w:b/>
                <w:bCs/>
                <w:sz w:val="20"/>
                <w:szCs w:val="20"/>
                <w:lang w:val="en-CA" w:eastAsia="en-CA"/>
              </w:rPr>
            </w:pPr>
            <w:r w:rsidRPr="006524DF">
              <w:rPr>
                <w:b/>
                <w:bCs/>
                <w:sz w:val="20"/>
                <w:szCs w:val="20"/>
                <w:lang w:val="en-CA" w:eastAsia="en-CA"/>
              </w:rPr>
              <w:t>Agency</w:t>
            </w:r>
          </w:p>
        </w:tc>
        <w:tc>
          <w:tcPr>
            <w:tcW w:w="2826" w:type="pct"/>
            <w:tcBorders>
              <w:top w:val="single" w:sz="4" w:space="0" w:color="auto"/>
              <w:left w:val="single" w:sz="4" w:space="0" w:color="auto"/>
              <w:bottom w:val="single" w:sz="4" w:space="0" w:color="auto"/>
              <w:right w:val="single" w:sz="4" w:space="0" w:color="auto"/>
            </w:tcBorders>
            <w:vAlign w:val="center"/>
            <w:hideMark/>
          </w:tcPr>
          <w:p w14:paraId="5DEB60BF" w14:textId="77777777" w:rsidR="00E60644" w:rsidRPr="006524DF" w:rsidRDefault="00E60644" w:rsidP="00102A32">
            <w:pPr>
              <w:widowControl w:val="0"/>
              <w:contextualSpacing/>
              <w:jc w:val="left"/>
              <w:rPr>
                <w:b/>
                <w:bCs/>
                <w:sz w:val="20"/>
                <w:szCs w:val="20"/>
                <w:lang w:val="en-CA" w:eastAsia="en-CA"/>
              </w:rPr>
            </w:pPr>
            <w:r w:rsidRPr="006524DF">
              <w:rPr>
                <w:b/>
                <w:bCs/>
                <w:sz w:val="20"/>
                <w:szCs w:val="20"/>
                <w:lang w:val="en-CA" w:eastAsia="en-CA"/>
              </w:rPr>
              <w:t>Project Title</w:t>
            </w:r>
          </w:p>
        </w:tc>
      </w:tr>
      <w:tr w:rsidR="00A91CD0" w:rsidRPr="006524DF" w14:paraId="1A8763DF"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3BB3274A" w14:textId="02E14E8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ALB/PHA/82/TAS/37</w:t>
            </w:r>
          </w:p>
        </w:tc>
        <w:tc>
          <w:tcPr>
            <w:tcW w:w="939" w:type="pct"/>
            <w:tcBorders>
              <w:top w:val="single" w:sz="4" w:space="0" w:color="auto"/>
              <w:left w:val="single" w:sz="4" w:space="0" w:color="auto"/>
              <w:bottom w:val="single" w:sz="4" w:space="0" w:color="auto"/>
              <w:right w:val="single" w:sz="4" w:space="0" w:color="auto"/>
            </w:tcBorders>
            <w:vAlign w:val="center"/>
          </w:tcPr>
          <w:p w14:paraId="62F70757" w14:textId="21B5E37A"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39E17D0E" w14:textId="796562D2" w:rsidR="00A91CD0" w:rsidRPr="006524DF" w:rsidRDefault="00A91CD0" w:rsidP="003575C8">
            <w:pPr>
              <w:widowControl w:val="0"/>
              <w:contextualSpacing/>
              <w:jc w:val="left"/>
              <w:rPr>
                <w:b/>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5DAF4DE8"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6735DEE8" w14:textId="5158882E"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ARM/PHA/84/TAS/23</w:t>
            </w:r>
          </w:p>
        </w:tc>
        <w:tc>
          <w:tcPr>
            <w:tcW w:w="939" w:type="pct"/>
            <w:tcBorders>
              <w:top w:val="single" w:sz="4" w:space="0" w:color="auto"/>
              <w:left w:val="single" w:sz="4" w:space="0" w:color="auto"/>
              <w:bottom w:val="single" w:sz="4" w:space="0" w:color="auto"/>
              <w:right w:val="single" w:sz="4" w:space="0" w:color="auto"/>
            </w:tcBorders>
            <w:vAlign w:val="center"/>
          </w:tcPr>
          <w:p w14:paraId="18B55369" w14:textId="33028F91"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7F4D908C" w14:textId="083F00F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3BD0D747"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472C3C53"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ASP/REF/76/DEM/59</w:t>
            </w:r>
          </w:p>
        </w:tc>
        <w:tc>
          <w:tcPr>
            <w:tcW w:w="939" w:type="pct"/>
            <w:tcBorders>
              <w:top w:val="single" w:sz="4" w:space="0" w:color="auto"/>
              <w:left w:val="single" w:sz="4" w:space="0" w:color="auto"/>
              <w:bottom w:val="single" w:sz="4" w:space="0" w:color="auto"/>
              <w:right w:val="single" w:sz="4" w:space="0" w:color="auto"/>
            </w:tcBorders>
            <w:vAlign w:val="center"/>
          </w:tcPr>
          <w:p w14:paraId="07131E3D"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37BB4B9"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Promoting alternative refrigerants in air-conditioning for high ambient countries in West Asia (PRAHA-II)</w:t>
            </w:r>
          </w:p>
        </w:tc>
      </w:tr>
      <w:tr w:rsidR="00A91CD0" w:rsidRPr="006524DF" w14:paraId="207E8822"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797BB2AA" w14:textId="6A5C7E94"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BKF/PHA/84/TAS/40</w:t>
            </w:r>
          </w:p>
        </w:tc>
        <w:tc>
          <w:tcPr>
            <w:tcW w:w="939" w:type="pct"/>
            <w:tcBorders>
              <w:top w:val="single" w:sz="4" w:space="0" w:color="auto"/>
              <w:left w:val="single" w:sz="4" w:space="0" w:color="auto"/>
              <w:bottom w:val="single" w:sz="4" w:space="0" w:color="auto"/>
              <w:right w:val="single" w:sz="4" w:space="0" w:color="auto"/>
            </w:tcBorders>
            <w:vAlign w:val="center"/>
          </w:tcPr>
          <w:p w14:paraId="19820D2F" w14:textId="594DAAC4"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2D408D6E" w14:textId="139D07C8" w:rsidR="00A91CD0" w:rsidRPr="006524DF" w:rsidRDefault="00A91CD0"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166F1F0B"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55DF8FDD"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BOT/PHA/80/TAS/20</w:t>
            </w:r>
          </w:p>
        </w:tc>
        <w:tc>
          <w:tcPr>
            <w:tcW w:w="939" w:type="pct"/>
            <w:tcBorders>
              <w:top w:val="single" w:sz="4" w:space="0" w:color="auto"/>
              <w:left w:val="single" w:sz="4" w:space="0" w:color="auto"/>
              <w:bottom w:val="single" w:sz="4" w:space="0" w:color="auto"/>
              <w:right w:val="single" w:sz="4" w:space="0" w:color="auto"/>
            </w:tcBorders>
            <w:vAlign w:val="center"/>
          </w:tcPr>
          <w:p w14:paraId="7C9EFFA7"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AC298DC"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228CA576"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5CC8F083" w14:textId="05A4B295"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BZE/PHA/82/TAS/35</w:t>
            </w:r>
          </w:p>
        </w:tc>
        <w:tc>
          <w:tcPr>
            <w:tcW w:w="939" w:type="pct"/>
            <w:tcBorders>
              <w:top w:val="single" w:sz="4" w:space="0" w:color="auto"/>
              <w:left w:val="single" w:sz="4" w:space="0" w:color="auto"/>
              <w:bottom w:val="single" w:sz="4" w:space="0" w:color="auto"/>
              <w:right w:val="single" w:sz="4" w:space="0" w:color="auto"/>
            </w:tcBorders>
            <w:vAlign w:val="center"/>
          </w:tcPr>
          <w:p w14:paraId="23BFC761" w14:textId="4C82C453"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F509C66" w14:textId="4FB27EF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03B0D453"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6011C41B" w14:textId="77E07994"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CPR/ARS/56/INV/473</w:t>
            </w:r>
          </w:p>
        </w:tc>
        <w:tc>
          <w:tcPr>
            <w:tcW w:w="939" w:type="pct"/>
            <w:tcBorders>
              <w:top w:val="single" w:sz="4" w:space="0" w:color="auto"/>
              <w:left w:val="single" w:sz="4" w:space="0" w:color="auto"/>
              <w:bottom w:val="single" w:sz="4" w:space="0" w:color="auto"/>
              <w:right w:val="single" w:sz="4" w:space="0" w:color="auto"/>
            </w:tcBorders>
            <w:vAlign w:val="center"/>
          </w:tcPr>
          <w:p w14:paraId="249D1993" w14:textId="090A4203"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39EAE71B" w14:textId="5C12E011"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Sector plan for phase-out of CFCs consumption in Metred</w:t>
            </w:r>
            <w:r w:rsidRPr="006524DF">
              <w:rPr>
                <w:bCs/>
                <w:sz w:val="20"/>
                <w:szCs w:val="20"/>
                <w:lang w:val="en-CA" w:eastAsia="en-CA"/>
              </w:rPr>
              <w:noBreakHyphen/>
              <w:t>Dose Inhalers sector</w:t>
            </w:r>
          </w:p>
        </w:tc>
      </w:tr>
      <w:tr w:rsidR="00A91CD0" w:rsidRPr="006524DF" w14:paraId="4246B848"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518D0DA3" w14:textId="717F6682"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CUB/PHA/82/TAS/60</w:t>
            </w:r>
          </w:p>
        </w:tc>
        <w:tc>
          <w:tcPr>
            <w:tcW w:w="939" w:type="pct"/>
            <w:tcBorders>
              <w:top w:val="single" w:sz="4" w:space="0" w:color="auto"/>
              <w:left w:val="single" w:sz="4" w:space="0" w:color="auto"/>
              <w:bottom w:val="single" w:sz="4" w:space="0" w:color="auto"/>
              <w:right w:val="single" w:sz="4" w:space="0" w:color="auto"/>
            </w:tcBorders>
            <w:vAlign w:val="center"/>
          </w:tcPr>
          <w:p w14:paraId="2B511197" w14:textId="11D01A2B"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601C8C7E" w14:textId="7788A122"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4A117703"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67B003EE" w14:textId="1BA04DA0"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DOM/REF/81/INV/64</w:t>
            </w:r>
          </w:p>
        </w:tc>
        <w:tc>
          <w:tcPr>
            <w:tcW w:w="939" w:type="pct"/>
            <w:tcBorders>
              <w:top w:val="single" w:sz="4" w:space="0" w:color="auto"/>
              <w:left w:val="single" w:sz="4" w:space="0" w:color="auto"/>
              <w:bottom w:val="single" w:sz="4" w:space="0" w:color="auto"/>
              <w:right w:val="single" w:sz="4" w:space="0" w:color="auto"/>
            </w:tcBorders>
            <w:vAlign w:val="center"/>
          </w:tcPr>
          <w:p w14:paraId="6693AEB4" w14:textId="6A75EB2F"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Canada</w:t>
            </w:r>
          </w:p>
        </w:tc>
        <w:tc>
          <w:tcPr>
            <w:tcW w:w="2826" w:type="pct"/>
            <w:tcBorders>
              <w:top w:val="single" w:sz="4" w:space="0" w:color="auto"/>
              <w:left w:val="single" w:sz="4" w:space="0" w:color="auto"/>
              <w:bottom w:val="single" w:sz="4" w:space="0" w:color="auto"/>
              <w:right w:val="single" w:sz="4" w:space="0" w:color="auto"/>
            </w:tcBorders>
            <w:vAlign w:val="center"/>
          </w:tcPr>
          <w:p w14:paraId="4AA22926" w14:textId="67D15985"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 xml:space="preserve">Conversion of a commercial refrigerator manufacturing line at </w:t>
            </w:r>
            <w:proofErr w:type="spellStart"/>
            <w:r w:rsidRPr="006524DF">
              <w:rPr>
                <w:bCs/>
                <w:sz w:val="20"/>
                <w:szCs w:val="20"/>
                <w:lang w:val="en-CA" w:eastAsia="en-CA"/>
              </w:rPr>
              <w:t>Fábrica</w:t>
            </w:r>
            <w:proofErr w:type="spellEnd"/>
            <w:r w:rsidRPr="006524DF">
              <w:rPr>
                <w:bCs/>
                <w:sz w:val="20"/>
                <w:szCs w:val="20"/>
                <w:lang w:val="en-CA" w:eastAsia="en-CA"/>
              </w:rPr>
              <w:t xml:space="preserve"> de </w:t>
            </w:r>
            <w:proofErr w:type="spellStart"/>
            <w:r w:rsidRPr="006524DF">
              <w:rPr>
                <w:bCs/>
                <w:sz w:val="20"/>
                <w:szCs w:val="20"/>
                <w:lang w:val="en-CA" w:eastAsia="en-CA"/>
              </w:rPr>
              <w:t>Refrigeradores</w:t>
            </w:r>
            <w:proofErr w:type="spellEnd"/>
            <w:r w:rsidRPr="006524DF">
              <w:rPr>
                <w:bCs/>
                <w:sz w:val="20"/>
                <w:szCs w:val="20"/>
                <w:lang w:val="en-CA" w:eastAsia="en-CA"/>
              </w:rPr>
              <w:t xml:space="preserve"> </w:t>
            </w:r>
            <w:proofErr w:type="spellStart"/>
            <w:r w:rsidRPr="006524DF">
              <w:rPr>
                <w:bCs/>
                <w:sz w:val="20"/>
                <w:szCs w:val="20"/>
                <w:lang w:val="en-CA" w:eastAsia="en-CA"/>
              </w:rPr>
              <w:t>Comerciales</w:t>
            </w:r>
            <w:proofErr w:type="spellEnd"/>
            <w:r w:rsidRPr="006524DF">
              <w:rPr>
                <w:bCs/>
                <w:sz w:val="20"/>
                <w:szCs w:val="20"/>
                <w:lang w:val="en-CA" w:eastAsia="en-CA"/>
              </w:rPr>
              <w:t>, SRL (FARCO) from HFC-134a and R-404A to propane (R-290) as refrigerant</w:t>
            </w:r>
          </w:p>
        </w:tc>
      </w:tr>
      <w:tr w:rsidR="00A91CD0" w:rsidRPr="006524DF" w14:paraId="0683704A"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40EE8882" w14:textId="6A4A3B3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ERI/PHA/82/TAS/17</w:t>
            </w:r>
          </w:p>
        </w:tc>
        <w:tc>
          <w:tcPr>
            <w:tcW w:w="939" w:type="pct"/>
            <w:tcBorders>
              <w:top w:val="single" w:sz="4" w:space="0" w:color="auto"/>
              <w:left w:val="single" w:sz="4" w:space="0" w:color="auto"/>
              <w:bottom w:val="single" w:sz="4" w:space="0" w:color="auto"/>
              <w:right w:val="single" w:sz="4" w:space="0" w:color="auto"/>
            </w:tcBorders>
            <w:vAlign w:val="center"/>
          </w:tcPr>
          <w:p w14:paraId="19F7BFC4" w14:textId="4213B0DF"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50848231" w14:textId="08753AA0"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4A73121A"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7A3753B5" w14:textId="204F9983"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FIJ/PHA/82/TAS/35</w:t>
            </w:r>
          </w:p>
        </w:tc>
        <w:tc>
          <w:tcPr>
            <w:tcW w:w="939" w:type="pct"/>
            <w:tcBorders>
              <w:top w:val="single" w:sz="4" w:space="0" w:color="auto"/>
              <w:left w:val="single" w:sz="4" w:space="0" w:color="auto"/>
              <w:bottom w:val="single" w:sz="4" w:space="0" w:color="auto"/>
              <w:right w:val="single" w:sz="4" w:space="0" w:color="auto"/>
            </w:tcBorders>
            <w:vAlign w:val="center"/>
          </w:tcPr>
          <w:p w14:paraId="37933D5E" w14:textId="3E89DF05"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26A6074E" w14:textId="4A3D9A7B"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0A4F6C11"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7CAC22DC" w14:textId="05A2083E"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GAM/PHA/82/TAS/36</w:t>
            </w:r>
          </w:p>
        </w:tc>
        <w:tc>
          <w:tcPr>
            <w:tcW w:w="939" w:type="pct"/>
            <w:tcBorders>
              <w:top w:val="single" w:sz="4" w:space="0" w:color="auto"/>
              <w:left w:val="single" w:sz="4" w:space="0" w:color="auto"/>
              <w:bottom w:val="single" w:sz="4" w:space="0" w:color="auto"/>
              <w:right w:val="single" w:sz="4" w:space="0" w:color="auto"/>
            </w:tcBorders>
            <w:vAlign w:val="center"/>
          </w:tcPr>
          <w:p w14:paraId="72C24456" w14:textId="4F659073"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21C47F2B" w14:textId="06635BE1"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0ED66FBB"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2B56F2B0" w14:textId="7E4C82E8"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GBS/PHA/82/TAS/25</w:t>
            </w:r>
          </w:p>
        </w:tc>
        <w:tc>
          <w:tcPr>
            <w:tcW w:w="939" w:type="pct"/>
            <w:tcBorders>
              <w:top w:val="single" w:sz="4" w:space="0" w:color="auto"/>
              <w:left w:val="single" w:sz="4" w:space="0" w:color="auto"/>
              <w:bottom w:val="single" w:sz="4" w:space="0" w:color="auto"/>
              <w:right w:val="single" w:sz="4" w:space="0" w:color="auto"/>
            </w:tcBorders>
            <w:vAlign w:val="center"/>
          </w:tcPr>
          <w:p w14:paraId="41A91C82" w14:textId="310A0F24"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FB78783" w14:textId="69F3B776"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A91CD0" w:rsidRPr="006524DF" w14:paraId="5D83F8E5"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4006AADC"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GLO/REF/47/DEM/268</w:t>
            </w:r>
          </w:p>
        </w:tc>
        <w:tc>
          <w:tcPr>
            <w:tcW w:w="939" w:type="pct"/>
            <w:tcBorders>
              <w:top w:val="single" w:sz="4" w:space="0" w:color="auto"/>
              <w:left w:val="single" w:sz="4" w:space="0" w:color="auto"/>
              <w:bottom w:val="single" w:sz="4" w:space="0" w:color="auto"/>
              <w:right w:val="single" w:sz="4" w:space="0" w:color="auto"/>
            </w:tcBorders>
            <w:noWrap/>
            <w:vAlign w:val="center"/>
          </w:tcPr>
          <w:p w14:paraId="5AD586CC"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4CA127E2"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Global chiller replacement project (China, India, Indonesia, Malaysia and Philippines)</w:t>
            </w:r>
          </w:p>
        </w:tc>
      </w:tr>
      <w:tr w:rsidR="00A91CD0" w:rsidRPr="006524DF" w14:paraId="0E060B92"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2AF04355" w14:textId="77777777" w:rsidR="00A91CD0" w:rsidRPr="006524DF" w:rsidRDefault="00A91CD0" w:rsidP="003575C8">
            <w:pPr>
              <w:widowControl w:val="0"/>
              <w:contextualSpacing/>
              <w:jc w:val="left"/>
              <w:rPr>
                <w:b/>
                <w:bCs/>
                <w:sz w:val="20"/>
                <w:szCs w:val="20"/>
                <w:lang w:val="en-CA" w:eastAsia="en-CA"/>
              </w:rPr>
            </w:pPr>
            <w:r w:rsidRPr="006524DF">
              <w:rPr>
                <w:sz w:val="20"/>
                <w:szCs w:val="20"/>
                <w:lang w:val="en-CA" w:eastAsia="en-CA"/>
              </w:rPr>
              <w:t>GLO/SEV/47/TAS/269</w:t>
            </w:r>
          </w:p>
        </w:tc>
        <w:tc>
          <w:tcPr>
            <w:tcW w:w="939" w:type="pct"/>
            <w:tcBorders>
              <w:top w:val="single" w:sz="4" w:space="0" w:color="auto"/>
              <w:left w:val="single" w:sz="4" w:space="0" w:color="auto"/>
              <w:bottom w:val="single" w:sz="4" w:space="0" w:color="auto"/>
              <w:right w:val="single" w:sz="4" w:space="0" w:color="auto"/>
            </w:tcBorders>
            <w:vAlign w:val="center"/>
          </w:tcPr>
          <w:p w14:paraId="5E53DB0F"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Portugal</w:t>
            </w:r>
          </w:p>
        </w:tc>
        <w:tc>
          <w:tcPr>
            <w:tcW w:w="2826" w:type="pct"/>
            <w:tcBorders>
              <w:top w:val="single" w:sz="4" w:space="0" w:color="auto"/>
              <w:left w:val="single" w:sz="4" w:space="0" w:color="auto"/>
              <w:bottom w:val="single" w:sz="4" w:space="0" w:color="auto"/>
              <w:right w:val="single" w:sz="4" w:space="0" w:color="auto"/>
            </w:tcBorders>
            <w:vAlign w:val="center"/>
          </w:tcPr>
          <w:p w14:paraId="5207BDB8"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Communication and cooperation support to Portuguese speaking countries (Angola, Cape Verde, East Timor, Guinea Bissau, Mozambique and Sao Tome and Principe)</w:t>
            </w:r>
          </w:p>
        </w:tc>
      </w:tr>
      <w:tr w:rsidR="00A91CD0" w:rsidRPr="006524DF" w14:paraId="7C93D8C0"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18F69DB5"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GLO/SEV/63/TAS/309</w:t>
            </w:r>
          </w:p>
        </w:tc>
        <w:tc>
          <w:tcPr>
            <w:tcW w:w="939" w:type="pct"/>
            <w:tcBorders>
              <w:top w:val="single" w:sz="4" w:space="0" w:color="auto"/>
              <w:left w:val="single" w:sz="4" w:space="0" w:color="auto"/>
              <w:bottom w:val="single" w:sz="4" w:space="0" w:color="auto"/>
              <w:right w:val="single" w:sz="4" w:space="0" w:color="auto"/>
            </w:tcBorders>
            <w:noWrap/>
            <w:vAlign w:val="center"/>
          </w:tcPr>
          <w:p w14:paraId="480CEF09"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333B14A5"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Resource mobilization for HCFC phase-out co-benefits study</w:t>
            </w:r>
          </w:p>
        </w:tc>
      </w:tr>
      <w:tr w:rsidR="00A91CD0" w:rsidRPr="006524DF" w14:paraId="324A4AAB"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4EEF43A5"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IND/HAL/34/INV/315</w:t>
            </w:r>
          </w:p>
        </w:tc>
        <w:tc>
          <w:tcPr>
            <w:tcW w:w="939" w:type="pct"/>
            <w:tcBorders>
              <w:top w:val="single" w:sz="4" w:space="0" w:color="auto"/>
              <w:left w:val="single" w:sz="4" w:space="0" w:color="auto"/>
              <w:bottom w:val="single" w:sz="4" w:space="0" w:color="auto"/>
              <w:right w:val="single" w:sz="4" w:space="0" w:color="auto"/>
            </w:tcBorders>
            <w:noWrap/>
            <w:vAlign w:val="center"/>
          </w:tcPr>
          <w:p w14:paraId="4C03018F"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2A5FA504"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Halon production and consumption sector phase out plan</w:t>
            </w:r>
          </w:p>
        </w:tc>
      </w:tr>
      <w:tr w:rsidR="00A91CD0" w:rsidRPr="006524DF" w14:paraId="796AA4BB" w14:textId="77777777" w:rsidTr="00E82F97">
        <w:tc>
          <w:tcPr>
            <w:tcW w:w="1235" w:type="pct"/>
            <w:tcBorders>
              <w:top w:val="single" w:sz="4" w:space="0" w:color="auto"/>
              <w:left w:val="single" w:sz="4" w:space="0" w:color="auto"/>
              <w:bottom w:val="single" w:sz="4" w:space="0" w:color="auto"/>
              <w:right w:val="single" w:sz="4" w:space="0" w:color="auto"/>
            </w:tcBorders>
            <w:vAlign w:val="center"/>
          </w:tcPr>
          <w:p w14:paraId="671F4F25" w14:textId="77777777" w:rsidR="00A91CD0" w:rsidRPr="006524DF" w:rsidRDefault="00A91CD0" w:rsidP="003575C8">
            <w:pPr>
              <w:widowControl w:val="0"/>
              <w:contextualSpacing/>
              <w:jc w:val="left"/>
              <w:rPr>
                <w:b/>
                <w:bCs/>
                <w:sz w:val="20"/>
                <w:szCs w:val="20"/>
                <w:lang w:val="en-CA" w:eastAsia="en-CA"/>
              </w:rPr>
            </w:pPr>
            <w:r w:rsidRPr="006524DF">
              <w:rPr>
                <w:sz w:val="20"/>
                <w:szCs w:val="20"/>
                <w:lang w:val="en-CA" w:eastAsia="en-CA"/>
              </w:rPr>
              <w:t>JOR/FUM/29/INV/54</w:t>
            </w:r>
          </w:p>
        </w:tc>
        <w:tc>
          <w:tcPr>
            <w:tcW w:w="939" w:type="pct"/>
            <w:tcBorders>
              <w:top w:val="single" w:sz="4" w:space="0" w:color="auto"/>
              <w:left w:val="single" w:sz="4" w:space="0" w:color="auto"/>
              <w:bottom w:val="single" w:sz="4" w:space="0" w:color="auto"/>
              <w:right w:val="single" w:sz="4" w:space="0" w:color="auto"/>
            </w:tcBorders>
            <w:vAlign w:val="center"/>
          </w:tcPr>
          <w:p w14:paraId="372C3428"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Germany</w:t>
            </w:r>
          </w:p>
        </w:tc>
        <w:tc>
          <w:tcPr>
            <w:tcW w:w="2826" w:type="pct"/>
            <w:tcBorders>
              <w:top w:val="single" w:sz="4" w:space="0" w:color="auto"/>
              <w:left w:val="single" w:sz="4" w:space="0" w:color="auto"/>
              <w:bottom w:val="single" w:sz="4" w:space="0" w:color="auto"/>
              <w:right w:val="single" w:sz="4" w:space="0" w:color="auto"/>
            </w:tcBorders>
            <w:vAlign w:val="center"/>
          </w:tcPr>
          <w:p w14:paraId="35D9A3B8" w14:textId="77777777" w:rsidR="00A91CD0" w:rsidRPr="006524DF" w:rsidRDefault="00A91CD0" w:rsidP="003575C8">
            <w:pPr>
              <w:widowControl w:val="0"/>
              <w:contextualSpacing/>
              <w:jc w:val="left"/>
              <w:rPr>
                <w:bCs/>
                <w:sz w:val="20"/>
                <w:szCs w:val="20"/>
                <w:lang w:val="en-CA" w:eastAsia="en-CA"/>
              </w:rPr>
            </w:pPr>
            <w:r w:rsidRPr="006524DF">
              <w:rPr>
                <w:bCs/>
                <w:sz w:val="20"/>
                <w:szCs w:val="20"/>
                <w:lang w:val="en-CA" w:eastAsia="en-CA"/>
              </w:rPr>
              <w:t>Complete phase-out of the use of methyl bromide in Jordan</w:t>
            </w:r>
          </w:p>
        </w:tc>
      </w:tr>
      <w:tr w:rsidR="00A91CD0" w:rsidRPr="006524DF" w14:paraId="3A6B20E3"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0B3E8070"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JOR/PHA/38/INV/77</w:t>
            </w:r>
          </w:p>
        </w:tc>
        <w:tc>
          <w:tcPr>
            <w:tcW w:w="939" w:type="pct"/>
            <w:tcBorders>
              <w:top w:val="single" w:sz="4" w:space="0" w:color="auto"/>
              <w:left w:val="single" w:sz="4" w:space="0" w:color="auto"/>
              <w:bottom w:val="single" w:sz="4" w:space="0" w:color="auto"/>
              <w:right w:val="single" w:sz="4" w:space="0" w:color="auto"/>
            </w:tcBorders>
            <w:noWrap/>
            <w:vAlign w:val="center"/>
          </w:tcPr>
          <w:p w14:paraId="77D20EBE"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508C88DB" w14:textId="77777777"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National ODS phase-out plan: aerosol, foam, MAC service and solvent sectors</w:t>
            </w:r>
          </w:p>
        </w:tc>
      </w:tr>
      <w:tr w:rsidR="00A91CD0" w:rsidRPr="006524DF" w14:paraId="54F0CB17"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1116A5DB" w14:textId="471C61CF"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JOR/REF/81/INV/103</w:t>
            </w:r>
          </w:p>
        </w:tc>
        <w:tc>
          <w:tcPr>
            <w:tcW w:w="939" w:type="pct"/>
            <w:tcBorders>
              <w:top w:val="single" w:sz="4" w:space="0" w:color="auto"/>
              <w:left w:val="single" w:sz="4" w:space="0" w:color="auto"/>
              <w:bottom w:val="single" w:sz="4" w:space="0" w:color="auto"/>
              <w:right w:val="single" w:sz="4" w:space="0" w:color="auto"/>
            </w:tcBorders>
            <w:noWrap/>
            <w:vAlign w:val="center"/>
          </w:tcPr>
          <w:p w14:paraId="2CE58A7E" w14:textId="5BBA70A2"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7CFEC5A2" w14:textId="57E8F9CA" w:rsidR="00A91CD0" w:rsidRPr="006524DF" w:rsidRDefault="00A91CD0" w:rsidP="00014AA9">
            <w:pPr>
              <w:widowControl w:val="0"/>
              <w:contextualSpacing/>
              <w:jc w:val="left"/>
              <w:rPr>
                <w:sz w:val="20"/>
                <w:szCs w:val="20"/>
                <w:lang w:val="en-CA" w:eastAsia="en-CA"/>
              </w:rPr>
            </w:pPr>
            <w:r w:rsidRPr="006524DF">
              <w:rPr>
                <w:sz w:val="20"/>
                <w:szCs w:val="20"/>
                <w:lang w:val="en-CA" w:eastAsia="en-CA"/>
              </w:rPr>
              <w:t>Conversion of large commercial unitary roof top air</w:t>
            </w:r>
            <w:r w:rsidRPr="006524DF">
              <w:rPr>
                <w:sz w:val="20"/>
                <w:szCs w:val="20"/>
                <w:lang w:val="en-CA" w:eastAsia="en-CA"/>
              </w:rPr>
              <w:noBreakHyphen/>
              <w:t>conditioning units of up to 400kW manufacturing facility from HFC (R134a, R</w:t>
            </w:r>
            <w:r w:rsidR="00014AA9" w:rsidRPr="006524DF">
              <w:rPr>
                <w:sz w:val="20"/>
                <w:szCs w:val="20"/>
                <w:lang w:val="en-CA" w:eastAsia="en-CA"/>
              </w:rPr>
              <w:t>-</w:t>
            </w:r>
            <w:r w:rsidRPr="006524DF">
              <w:rPr>
                <w:sz w:val="20"/>
                <w:szCs w:val="20"/>
                <w:lang w:val="en-CA" w:eastAsia="en-CA"/>
              </w:rPr>
              <w:t>407</w:t>
            </w:r>
            <w:r w:rsidR="00014AA9" w:rsidRPr="006524DF">
              <w:rPr>
                <w:sz w:val="20"/>
                <w:szCs w:val="20"/>
                <w:lang w:val="en-CA" w:eastAsia="en-CA"/>
              </w:rPr>
              <w:t>C</w:t>
            </w:r>
            <w:r w:rsidRPr="006524DF">
              <w:rPr>
                <w:sz w:val="20"/>
                <w:szCs w:val="20"/>
                <w:lang w:val="en-CA" w:eastAsia="en-CA"/>
              </w:rPr>
              <w:t>, R</w:t>
            </w:r>
            <w:r w:rsidR="00014AA9" w:rsidRPr="006524DF">
              <w:rPr>
                <w:sz w:val="20"/>
                <w:szCs w:val="20"/>
                <w:lang w:val="en-CA" w:eastAsia="en-CA"/>
              </w:rPr>
              <w:t>-</w:t>
            </w:r>
            <w:r w:rsidRPr="006524DF">
              <w:rPr>
                <w:sz w:val="20"/>
                <w:szCs w:val="20"/>
                <w:lang w:val="en-CA" w:eastAsia="en-CA"/>
              </w:rPr>
              <w:t>410</w:t>
            </w:r>
            <w:r w:rsidR="00014AA9" w:rsidRPr="006524DF">
              <w:rPr>
                <w:sz w:val="20"/>
                <w:szCs w:val="20"/>
                <w:lang w:val="en-CA" w:eastAsia="en-CA"/>
              </w:rPr>
              <w:t>A</w:t>
            </w:r>
            <w:r w:rsidRPr="006524DF">
              <w:rPr>
                <w:sz w:val="20"/>
                <w:szCs w:val="20"/>
                <w:lang w:val="en-CA" w:eastAsia="en-CA"/>
              </w:rPr>
              <w:t>) to propane R</w:t>
            </w:r>
            <w:r w:rsidR="00014AA9" w:rsidRPr="006524DF">
              <w:rPr>
                <w:sz w:val="20"/>
                <w:szCs w:val="20"/>
                <w:lang w:val="en-CA" w:eastAsia="en-CA"/>
              </w:rPr>
              <w:noBreakHyphen/>
            </w:r>
            <w:r w:rsidRPr="006524DF">
              <w:rPr>
                <w:sz w:val="20"/>
                <w:szCs w:val="20"/>
                <w:lang w:val="en-CA" w:eastAsia="en-CA"/>
              </w:rPr>
              <w:t>290 as refrigerant at Petra Engineering Industries Co.</w:t>
            </w:r>
          </w:p>
        </w:tc>
      </w:tr>
      <w:tr w:rsidR="00A91CD0" w:rsidRPr="006524DF" w14:paraId="0073DD15"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7E5825CA" w14:textId="1D867DD4"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LEB/REF/81/INV/03+</w:t>
            </w:r>
          </w:p>
        </w:tc>
        <w:tc>
          <w:tcPr>
            <w:tcW w:w="939" w:type="pct"/>
            <w:tcBorders>
              <w:top w:val="single" w:sz="4" w:space="0" w:color="auto"/>
              <w:left w:val="single" w:sz="4" w:space="0" w:color="auto"/>
              <w:bottom w:val="single" w:sz="4" w:space="0" w:color="auto"/>
              <w:right w:val="single" w:sz="4" w:space="0" w:color="auto"/>
            </w:tcBorders>
            <w:noWrap/>
            <w:vAlign w:val="center"/>
          </w:tcPr>
          <w:p w14:paraId="16AEB3AB" w14:textId="5B55F91F" w:rsidR="00A91CD0" w:rsidRPr="006524DF" w:rsidRDefault="00A91CD0" w:rsidP="003575C8">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472F6649" w14:textId="3A4777E5" w:rsidR="00A91CD0" w:rsidRPr="006524DF" w:rsidRDefault="00A91CD0" w:rsidP="00014AA9">
            <w:pPr>
              <w:widowControl w:val="0"/>
              <w:contextualSpacing/>
              <w:jc w:val="left"/>
              <w:rPr>
                <w:sz w:val="20"/>
                <w:szCs w:val="20"/>
                <w:lang w:val="en-CA" w:eastAsia="en-CA"/>
              </w:rPr>
            </w:pPr>
            <w:r w:rsidRPr="006524DF">
              <w:rPr>
                <w:sz w:val="20"/>
                <w:szCs w:val="20"/>
                <w:lang w:val="en-CA" w:eastAsia="en-CA"/>
              </w:rPr>
              <w:t>Conversion from HFC-134a and HFC-404A to R-600a and R</w:t>
            </w:r>
            <w:r w:rsidRPr="006524DF">
              <w:rPr>
                <w:sz w:val="20"/>
                <w:szCs w:val="20"/>
                <w:lang w:val="en-CA" w:eastAsia="en-CA"/>
              </w:rPr>
              <w:noBreakHyphen/>
              <w:t xml:space="preserve">290 in domestic refrigeration at </w:t>
            </w:r>
            <w:proofErr w:type="spellStart"/>
            <w:r w:rsidRPr="006524DF">
              <w:rPr>
                <w:sz w:val="20"/>
                <w:szCs w:val="20"/>
                <w:lang w:val="en-CA" w:eastAsia="en-CA"/>
              </w:rPr>
              <w:t>Lematic</w:t>
            </w:r>
            <w:proofErr w:type="spellEnd"/>
            <w:r w:rsidRPr="006524DF">
              <w:rPr>
                <w:sz w:val="20"/>
                <w:szCs w:val="20"/>
                <w:lang w:val="en-CA" w:eastAsia="en-CA"/>
              </w:rPr>
              <w:t xml:space="preserve"> Industries</w:t>
            </w:r>
          </w:p>
        </w:tc>
      </w:tr>
      <w:tr w:rsidR="00E82F97" w:rsidRPr="006524DF" w14:paraId="4A04200A"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7727A356" w14:textId="0E6D1359"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LIR/PHA/85/TAS/29</w:t>
            </w:r>
          </w:p>
        </w:tc>
        <w:tc>
          <w:tcPr>
            <w:tcW w:w="939" w:type="pct"/>
            <w:tcBorders>
              <w:top w:val="single" w:sz="4" w:space="0" w:color="auto"/>
              <w:left w:val="single" w:sz="4" w:space="0" w:color="auto"/>
              <w:bottom w:val="single" w:sz="4" w:space="0" w:color="auto"/>
              <w:right w:val="single" w:sz="4" w:space="0" w:color="auto"/>
            </w:tcBorders>
            <w:noWrap/>
            <w:vAlign w:val="center"/>
          </w:tcPr>
          <w:p w14:paraId="46B2242F" w14:textId="1C8169C9"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Germany</w:t>
            </w:r>
          </w:p>
        </w:tc>
        <w:tc>
          <w:tcPr>
            <w:tcW w:w="2826" w:type="pct"/>
            <w:tcBorders>
              <w:top w:val="single" w:sz="4" w:space="0" w:color="auto"/>
              <w:left w:val="single" w:sz="4" w:space="0" w:color="auto"/>
              <w:bottom w:val="single" w:sz="4" w:space="0" w:color="auto"/>
              <w:right w:val="single" w:sz="4" w:space="0" w:color="auto"/>
            </w:tcBorders>
            <w:vAlign w:val="center"/>
          </w:tcPr>
          <w:p w14:paraId="3B230859" w14:textId="04AD9F45"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4B2731FD"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68955BD6" w14:textId="6D843EFB"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MAG/PHA/82/TAS/31</w:t>
            </w:r>
          </w:p>
        </w:tc>
        <w:tc>
          <w:tcPr>
            <w:tcW w:w="939" w:type="pct"/>
            <w:tcBorders>
              <w:top w:val="single" w:sz="4" w:space="0" w:color="auto"/>
              <w:left w:val="single" w:sz="4" w:space="0" w:color="auto"/>
              <w:bottom w:val="single" w:sz="4" w:space="0" w:color="auto"/>
              <w:right w:val="single" w:sz="4" w:space="0" w:color="auto"/>
            </w:tcBorders>
            <w:noWrap/>
            <w:vAlign w:val="center"/>
          </w:tcPr>
          <w:p w14:paraId="44F11C13" w14:textId="232F8A52"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0CEDDFD" w14:textId="71DA240F"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40BAA8AD"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5242CEFD" w14:textId="0925CC33"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MEX/REF/81/INV/187</w:t>
            </w:r>
          </w:p>
        </w:tc>
        <w:tc>
          <w:tcPr>
            <w:tcW w:w="939" w:type="pct"/>
            <w:tcBorders>
              <w:top w:val="single" w:sz="4" w:space="0" w:color="auto"/>
              <w:left w:val="single" w:sz="4" w:space="0" w:color="auto"/>
              <w:bottom w:val="single" w:sz="4" w:space="0" w:color="auto"/>
              <w:right w:val="single" w:sz="4" w:space="0" w:color="auto"/>
            </w:tcBorders>
            <w:noWrap/>
            <w:vAlign w:val="center"/>
          </w:tcPr>
          <w:p w14:paraId="680BA091" w14:textId="34928618"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211BC0A8" w14:textId="4FE7F587"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Conversion of domestic refrigeration manufacturing facility from HFC-134a to isobutane as a refrigerant and conversion of compressors manufacturing facility from HFC-134a-based to isobutane-based at Mabe Mexico</w:t>
            </w:r>
          </w:p>
        </w:tc>
      </w:tr>
      <w:tr w:rsidR="00E82F97" w:rsidRPr="006524DF" w14:paraId="238CD247"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6B876D5E" w14:textId="1CE39005" w:rsidR="00E82F97" w:rsidRPr="006524DF" w:rsidRDefault="00E82F97" w:rsidP="003575C8">
            <w:pPr>
              <w:widowControl w:val="0"/>
              <w:contextualSpacing/>
              <w:jc w:val="left"/>
              <w:rPr>
                <w:sz w:val="20"/>
                <w:szCs w:val="20"/>
                <w:lang w:val="en-CA" w:eastAsia="en-CA"/>
              </w:rPr>
            </w:pPr>
            <w:r w:rsidRPr="006524DF">
              <w:rPr>
                <w:sz w:val="20"/>
                <w:szCs w:val="20"/>
                <w:lang w:val="en-CA" w:eastAsia="en-CA"/>
              </w:rPr>
              <w:lastRenderedPageBreak/>
              <w:t>MEX/REF/81/INV/188</w:t>
            </w:r>
          </w:p>
        </w:tc>
        <w:tc>
          <w:tcPr>
            <w:tcW w:w="939" w:type="pct"/>
            <w:tcBorders>
              <w:top w:val="single" w:sz="4" w:space="0" w:color="auto"/>
              <w:left w:val="single" w:sz="4" w:space="0" w:color="auto"/>
              <w:bottom w:val="single" w:sz="4" w:space="0" w:color="auto"/>
              <w:right w:val="single" w:sz="4" w:space="0" w:color="auto"/>
            </w:tcBorders>
            <w:noWrap/>
            <w:vAlign w:val="center"/>
          </w:tcPr>
          <w:p w14:paraId="457BA05D" w14:textId="047E9957"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Canada</w:t>
            </w:r>
          </w:p>
        </w:tc>
        <w:tc>
          <w:tcPr>
            <w:tcW w:w="2826" w:type="pct"/>
            <w:tcBorders>
              <w:top w:val="single" w:sz="4" w:space="0" w:color="auto"/>
              <w:left w:val="single" w:sz="4" w:space="0" w:color="auto"/>
              <w:bottom w:val="single" w:sz="4" w:space="0" w:color="auto"/>
              <w:right w:val="single" w:sz="4" w:space="0" w:color="auto"/>
            </w:tcBorders>
            <w:vAlign w:val="center"/>
          </w:tcPr>
          <w:p w14:paraId="32C3FB4F" w14:textId="450F3136"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Conversion of domestic refrigeration manufacturing facility from HFC-134a to isobutane as a refrigerant and conversion of compressors manufacturing facility from HFC-134a-based to isobutane-based at Mabe Mexico</w:t>
            </w:r>
          </w:p>
        </w:tc>
      </w:tr>
      <w:tr w:rsidR="00E82F97" w:rsidRPr="006524DF" w14:paraId="4D862D5C"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26880D9E" w14:textId="3D52F555"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MLW/PHA/82/TAS/44</w:t>
            </w:r>
          </w:p>
        </w:tc>
        <w:tc>
          <w:tcPr>
            <w:tcW w:w="939" w:type="pct"/>
            <w:tcBorders>
              <w:top w:val="single" w:sz="4" w:space="0" w:color="auto"/>
              <w:left w:val="single" w:sz="4" w:space="0" w:color="auto"/>
              <w:bottom w:val="single" w:sz="4" w:space="0" w:color="auto"/>
              <w:right w:val="single" w:sz="4" w:space="0" w:color="auto"/>
            </w:tcBorders>
            <w:noWrap/>
            <w:vAlign w:val="center"/>
          </w:tcPr>
          <w:p w14:paraId="4C7F384B" w14:textId="317484F1"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479F838A" w14:textId="5E1CD895"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0A7F0534"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17EFE1BE" w14:textId="5BA243D8"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MOG/PHA/84/TAS/14</w:t>
            </w:r>
          </w:p>
        </w:tc>
        <w:tc>
          <w:tcPr>
            <w:tcW w:w="939" w:type="pct"/>
            <w:tcBorders>
              <w:top w:val="single" w:sz="4" w:space="0" w:color="auto"/>
              <w:left w:val="single" w:sz="4" w:space="0" w:color="auto"/>
              <w:bottom w:val="single" w:sz="4" w:space="0" w:color="auto"/>
              <w:right w:val="single" w:sz="4" w:space="0" w:color="auto"/>
            </w:tcBorders>
            <w:noWrap/>
            <w:vAlign w:val="center"/>
          </w:tcPr>
          <w:p w14:paraId="68B402F9" w14:textId="19BC8A44"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5CE2F933" w14:textId="71110CB2"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35FFCD4B"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262C0531" w14:textId="5184AB27"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NER/PHA/82/TAS/34</w:t>
            </w:r>
          </w:p>
        </w:tc>
        <w:tc>
          <w:tcPr>
            <w:tcW w:w="939" w:type="pct"/>
            <w:tcBorders>
              <w:top w:val="single" w:sz="4" w:space="0" w:color="auto"/>
              <w:left w:val="single" w:sz="4" w:space="0" w:color="auto"/>
              <w:bottom w:val="single" w:sz="4" w:space="0" w:color="auto"/>
              <w:right w:val="single" w:sz="4" w:space="0" w:color="auto"/>
            </w:tcBorders>
            <w:noWrap/>
            <w:vAlign w:val="center"/>
          </w:tcPr>
          <w:p w14:paraId="01CFF3CF" w14:textId="1955964E"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21C8F8DC" w14:textId="0373E9C2"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3F649D64"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3AD96A73" w14:textId="77777777"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 xml:space="preserve">ODS </w:t>
            </w:r>
            <w:r w:rsidRPr="006524DF">
              <w:rPr>
                <w:sz w:val="20"/>
                <w:szCs w:val="20"/>
                <w:lang w:val="en-CA" w:eastAsia="en-CA"/>
              </w:rPr>
              <w:t>alternative surveys</w:t>
            </w:r>
          </w:p>
        </w:tc>
        <w:tc>
          <w:tcPr>
            <w:tcW w:w="939" w:type="pct"/>
            <w:tcBorders>
              <w:top w:val="single" w:sz="4" w:space="0" w:color="auto"/>
              <w:left w:val="single" w:sz="4" w:space="0" w:color="auto"/>
              <w:bottom w:val="single" w:sz="4" w:space="0" w:color="auto"/>
              <w:right w:val="single" w:sz="4" w:space="0" w:color="auto"/>
            </w:tcBorders>
            <w:noWrap/>
            <w:vAlign w:val="center"/>
          </w:tcPr>
          <w:p w14:paraId="41D58A48" w14:textId="77777777"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World Bank</w:t>
            </w:r>
          </w:p>
        </w:tc>
        <w:tc>
          <w:tcPr>
            <w:tcW w:w="2826" w:type="pct"/>
            <w:tcBorders>
              <w:top w:val="single" w:sz="4" w:space="0" w:color="auto"/>
              <w:left w:val="single" w:sz="4" w:space="0" w:color="auto"/>
              <w:bottom w:val="single" w:sz="4" w:space="0" w:color="auto"/>
              <w:right w:val="single" w:sz="4" w:space="0" w:color="auto"/>
            </w:tcBorders>
            <w:vAlign w:val="center"/>
          </w:tcPr>
          <w:p w14:paraId="3826B117" w14:textId="77777777"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Survey of ODS alternatives at the national level</w:t>
            </w:r>
          </w:p>
        </w:tc>
      </w:tr>
      <w:tr w:rsidR="00E82F97" w:rsidRPr="006524DF" w14:paraId="5275D822"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495E64DF" w14:textId="736DF857"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SAU/REF/76/DEM/28</w:t>
            </w:r>
          </w:p>
        </w:tc>
        <w:tc>
          <w:tcPr>
            <w:tcW w:w="939" w:type="pct"/>
            <w:tcBorders>
              <w:top w:val="single" w:sz="4" w:space="0" w:color="auto"/>
              <w:left w:val="single" w:sz="4" w:space="0" w:color="auto"/>
              <w:bottom w:val="single" w:sz="4" w:space="0" w:color="auto"/>
              <w:right w:val="single" w:sz="4" w:space="0" w:color="auto"/>
            </w:tcBorders>
            <w:noWrap/>
            <w:vAlign w:val="center"/>
          </w:tcPr>
          <w:p w14:paraId="45509CE6" w14:textId="1A42D13C"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409FEDE2" w14:textId="3D316E2F"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Demonstration project on promoting HFO-based low-global</w:t>
            </w:r>
            <w:r w:rsidRPr="006524DF">
              <w:rPr>
                <w:sz w:val="20"/>
                <w:szCs w:val="20"/>
                <w:lang w:val="en-CA" w:eastAsia="en-CA"/>
              </w:rPr>
              <w:noBreakHyphen/>
              <w:t>warming potential refrigerants for air-conditioning sector in high ambient temperatures</w:t>
            </w:r>
          </w:p>
        </w:tc>
      </w:tr>
      <w:tr w:rsidR="00E82F97" w:rsidRPr="006524DF" w14:paraId="4D729EFE"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3280A4BB" w14:textId="749EE38B"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SRL/PHA/82/TAS/51</w:t>
            </w:r>
          </w:p>
        </w:tc>
        <w:tc>
          <w:tcPr>
            <w:tcW w:w="939" w:type="pct"/>
            <w:tcBorders>
              <w:top w:val="single" w:sz="4" w:space="0" w:color="auto"/>
              <w:left w:val="single" w:sz="4" w:space="0" w:color="auto"/>
              <w:bottom w:val="single" w:sz="4" w:space="0" w:color="auto"/>
              <w:right w:val="single" w:sz="4" w:space="0" w:color="auto"/>
            </w:tcBorders>
            <w:noWrap/>
            <w:vAlign w:val="center"/>
          </w:tcPr>
          <w:p w14:paraId="0C3C781F" w14:textId="30756215"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UNDP</w:t>
            </w:r>
          </w:p>
        </w:tc>
        <w:tc>
          <w:tcPr>
            <w:tcW w:w="2826" w:type="pct"/>
            <w:tcBorders>
              <w:top w:val="single" w:sz="4" w:space="0" w:color="auto"/>
              <w:left w:val="single" w:sz="4" w:space="0" w:color="auto"/>
              <w:bottom w:val="single" w:sz="4" w:space="0" w:color="auto"/>
              <w:right w:val="single" w:sz="4" w:space="0" w:color="auto"/>
            </w:tcBorders>
            <w:vAlign w:val="center"/>
          </w:tcPr>
          <w:p w14:paraId="06D8FD1B" w14:textId="2240914E"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2875D2B9"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69D0BDBA" w14:textId="55A05345"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STP/PHA/82/TAS/29</w:t>
            </w:r>
          </w:p>
        </w:tc>
        <w:tc>
          <w:tcPr>
            <w:tcW w:w="939" w:type="pct"/>
            <w:tcBorders>
              <w:top w:val="single" w:sz="4" w:space="0" w:color="auto"/>
              <w:left w:val="single" w:sz="4" w:space="0" w:color="auto"/>
              <w:bottom w:val="single" w:sz="4" w:space="0" w:color="auto"/>
              <w:right w:val="single" w:sz="4" w:space="0" w:color="auto"/>
            </w:tcBorders>
            <w:noWrap/>
            <w:vAlign w:val="center"/>
          </w:tcPr>
          <w:p w14:paraId="080B81A8" w14:textId="113D741B"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3C79D1E3" w14:textId="7D9BEF6B"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3960C815"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7095A0F1" w14:textId="0B80212D"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STV/PHA/77/TAS/24</w:t>
            </w:r>
          </w:p>
        </w:tc>
        <w:tc>
          <w:tcPr>
            <w:tcW w:w="939" w:type="pct"/>
            <w:tcBorders>
              <w:top w:val="single" w:sz="4" w:space="0" w:color="auto"/>
              <w:left w:val="single" w:sz="4" w:space="0" w:color="auto"/>
              <w:bottom w:val="single" w:sz="4" w:space="0" w:color="auto"/>
              <w:right w:val="single" w:sz="4" w:space="0" w:color="auto"/>
            </w:tcBorders>
            <w:noWrap/>
            <w:vAlign w:val="center"/>
          </w:tcPr>
          <w:p w14:paraId="374C2C12" w14:textId="5AE95178"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00438563" w14:textId="43E75132"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3D879B2F"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11F6DD99" w14:textId="77777777"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SWA/PHA/80/TAS/24</w:t>
            </w:r>
          </w:p>
        </w:tc>
        <w:tc>
          <w:tcPr>
            <w:tcW w:w="939" w:type="pct"/>
            <w:tcBorders>
              <w:top w:val="single" w:sz="4" w:space="0" w:color="auto"/>
              <w:left w:val="single" w:sz="4" w:space="0" w:color="auto"/>
              <w:bottom w:val="single" w:sz="4" w:space="0" w:color="auto"/>
              <w:right w:val="single" w:sz="4" w:space="0" w:color="auto"/>
            </w:tcBorders>
            <w:noWrap/>
            <w:vAlign w:val="center"/>
          </w:tcPr>
          <w:p w14:paraId="469FE902" w14:textId="77777777"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FBAD4EE" w14:textId="77777777" w:rsidR="00E82F97" w:rsidRPr="006524DF" w:rsidRDefault="00E82F97" w:rsidP="003575C8">
            <w:pPr>
              <w:widowControl w:val="0"/>
              <w:contextualSpacing/>
              <w:jc w:val="left"/>
              <w:rPr>
                <w:sz w:val="20"/>
                <w:szCs w:val="20"/>
                <w:lang w:val="en-CA" w:eastAsia="en-CA"/>
              </w:rPr>
            </w:pPr>
            <w:r w:rsidRPr="006524DF">
              <w:rPr>
                <w:sz w:val="20"/>
                <w:szCs w:val="20"/>
                <w:lang w:val="en-CA" w:eastAsia="en-CA"/>
              </w:rPr>
              <w:t>Verification report on the implementation of the HCFC phase</w:t>
            </w:r>
            <w:r w:rsidRPr="006524DF">
              <w:rPr>
                <w:sz w:val="20"/>
                <w:szCs w:val="20"/>
                <w:lang w:val="en-CA" w:eastAsia="en-CA"/>
              </w:rPr>
              <w:noBreakHyphen/>
              <w:t>out management plan</w:t>
            </w:r>
          </w:p>
        </w:tc>
      </w:tr>
      <w:tr w:rsidR="00E82F97" w:rsidRPr="006524DF" w14:paraId="0D9772B9"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2E5BBADD" w14:textId="437167BC"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TKM/PHA/82/TAS/14</w:t>
            </w:r>
          </w:p>
        </w:tc>
        <w:tc>
          <w:tcPr>
            <w:tcW w:w="939" w:type="pct"/>
            <w:tcBorders>
              <w:top w:val="single" w:sz="4" w:space="0" w:color="auto"/>
              <w:left w:val="single" w:sz="4" w:space="0" w:color="auto"/>
              <w:bottom w:val="single" w:sz="4" w:space="0" w:color="auto"/>
              <w:right w:val="single" w:sz="4" w:space="0" w:color="auto"/>
            </w:tcBorders>
            <w:noWrap/>
            <w:vAlign w:val="center"/>
          </w:tcPr>
          <w:p w14:paraId="101C6B7B" w14:textId="1D46AF1E"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2D541431" w14:textId="3BB8D26A"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1BC9FB26"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072B8213" w14:textId="438F7E01"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UGA/PHA/82/TAS/25</w:t>
            </w:r>
          </w:p>
        </w:tc>
        <w:tc>
          <w:tcPr>
            <w:tcW w:w="939" w:type="pct"/>
            <w:tcBorders>
              <w:top w:val="single" w:sz="4" w:space="0" w:color="auto"/>
              <w:left w:val="single" w:sz="4" w:space="0" w:color="auto"/>
              <w:bottom w:val="single" w:sz="4" w:space="0" w:color="auto"/>
              <w:right w:val="single" w:sz="4" w:space="0" w:color="auto"/>
            </w:tcBorders>
            <w:noWrap/>
            <w:vAlign w:val="center"/>
          </w:tcPr>
          <w:p w14:paraId="2B29CB1A" w14:textId="0FB7B252"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7D6160C2" w14:textId="1540A639"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54863B0B"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58DCA959" w14:textId="54A78329"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URT/PHA/82/TAS/38</w:t>
            </w:r>
          </w:p>
        </w:tc>
        <w:tc>
          <w:tcPr>
            <w:tcW w:w="939" w:type="pct"/>
            <w:tcBorders>
              <w:top w:val="single" w:sz="4" w:space="0" w:color="auto"/>
              <w:left w:val="single" w:sz="4" w:space="0" w:color="auto"/>
              <w:bottom w:val="single" w:sz="4" w:space="0" w:color="auto"/>
              <w:right w:val="single" w:sz="4" w:space="0" w:color="auto"/>
            </w:tcBorders>
            <w:noWrap/>
            <w:vAlign w:val="center"/>
          </w:tcPr>
          <w:p w14:paraId="24599360" w14:textId="1F0B2F88"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1B778DC3" w14:textId="0B2B2976"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675082B2"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5BE9C3BD" w14:textId="388B36EA"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YUG/PHA/82/TAS/49</w:t>
            </w:r>
          </w:p>
        </w:tc>
        <w:tc>
          <w:tcPr>
            <w:tcW w:w="939" w:type="pct"/>
            <w:tcBorders>
              <w:top w:val="single" w:sz="4" w:space="0" w:color="auto"/>
              <w:left w:val="single" w:sz="4" w:space="0" w:color="auto"/>
              <w:bottom w:val="single" w:sz="4" w:space="0" w:color="auto"/>
              <w:right w:val="single" w:sz="4" w:space="0" w:color="auto"/>
            </w:tcBorders>
            <w:noWrap/>
            <w:vAlign w:val="center"/>
          </w:tcPr>
          <w:p w14:paraId="3206FDC3" w14:textId="5A7FEFAF"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UNIDO</w:t>
            </w:r>
          </w:p>
        </w:tc>
        <w:tc>
          <w:tcPr>
            <w:tcW w:w="2826" w:type="pct"/>
            <w:tcBorders>
              <w:top w:val="single" w:sz="4" w:space="0" w:color="auto"/>
              <w:left w:val="single" w:sz="4" w:space="0" w:color="auto"/>
              <w:bottom w:val="single" w:sz="4" w:space="0" w:color="auto"/>
              <w:right w:val="single" w:sz="4" w:space="0" w:color="auto"/>
            </w:tcBorders>
            <w:vAlign w:val="center"/>
          </w:tcPr>
          <w:p w14:paraId="5141E08E" w14:textId="791AF40C"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r w:rsidR="00E82F97" w:rsidRPr="006524DF" w14:paraId="2D509C44" w14:textId="77777777" w:rsidTr="00E82F97">
        <w:tc>
          <w:tcPr>
            <w:tcW w:w="1235" w:type="pct"/>
            <w:tcBorders>
              <w:top w:val="single" w:sz="4" w:space="0" w:color="auto"/>
              <w:left w:val="single" w:sz="4" w:space="0" w:color="auto"/>
              <w:bottom w:val="single" w:sz="4" w:space="0" w:color="auto"/>
              <w:right w:val="single" w:sz="4" w:space="0" w:color="auto"/>
            </w:tcBorders>
            <w:noWrap/>
            <w:vAlign w:val="center"/>
          </w:tcPr>
          <w:p w14:paraId="3924D2B2" w14:textId="00C15A14" w:rsidR="00E82F97" w:rsidRPr="006524DF" w:rsidRDefault="00E82F97" w:rsidP="003575C8">
            <w:pPr>
              <w:widowControl w:val="0"/>
              <w:contextualSpacing/>
              <w:jc w:val="left"/>
              <w:rPr>
                <w:bCs/>
                <w:sz w:val="20"/>
                <w:szCs w:val="20"/>
                <w:lang w:val="en-CA" w:eastAsia="en-CA"/>
              </w:rPr>
            </w:pPr>
            <w:r w:rsidRPr="006524DF">
              <w:rPr>
                <w:bCs/>
                <w:sz w:val="20"/>
                <w:szCs w:val="20"/>
                <w:lang w:val="en-CA" w:eastAsia="en-CA"/>
              </w:rPr>
              <w:t>ZAM/PHA/82/TAS/35</w:t>
            </w:r>
          </w:p>
        </w:tc>
        <w:tc>
          <w:tcPr>
            <w:tcW w:w="939" w:type="pct"/>
            <w:tcBorders>
              <w:top w:val="single" w:sz="4" w:space="0" w:color="auto"/>
              <w:left w:val="single" w:sz="4" w:space="0" w:color="auto"/>
              <w:bottom w:val="single" w:sz="4" w:space="0" w:color="auto"/>
              <w:right w:val="single" w:sz="4" w:space="0" w:color="auto"/>
            </w:tcBorders>
            <w:noWrap/>
            <w:vAlign w:val="center"/>
          </w:tcPr>
          <w:p w14:paraId="54B3CBA2" w14:textId="6A4B28DE"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UNEP</w:t>
            </w:r>
          </w:p>
        </w:tc>
        <w:tc>
          <w:tcPr>
            <w:tcW w:w="2826" w:type="pct"/>
            <w:tcBorders>
              <w:top w:val="single" w:sz="4" w:space="0" w:color="auto"/>
              <w:left w:val="single" w:sz="4" w:space="0" w:color="auto"/>
              <w:bottom w:val="single" w:sz="4" w:space="0" w:color="auto"/>
              <w:right w:val="single" w:sz="4" w:space="0" w:color="auto"/>
            </w:tcBorders>
            <w:vAlign w:val="center"/>
          </w:tcPr>
          <w:p w14:paraId="1097DEF2" w14:textId="606BBB2A" w:rsidR="00E82F97" w:rsidRPr="006524DF" w:rsidRDefault="00E82F97" w:rsidP="003575C8">
            <w:pPr>
              <w:widowControl w:val="0"/>
              <w:contextualSpacing/>
              <w:jc w:val="left"/>
              <w:rPr>
                <w:sz w:val="20"/>
                <w:szCs w:val="20"/>
                <w:lang w:val="en-CA" w:eastAsia="en-CA"/>
              </w:rPr>
            </w:pPr>
            <w:r w:rsidRPr="006524DF">
              <w:rPr>
                <w:bCs/>
                <w:sz w:val="20"/>
                <w:szCs w:val="20"/>
                <w:lang w:val="en-CA" w:eastAsia="en-CA"/>
              </w:rPr>
              <w:t>Verification report on the implementation of the HCFC phase</w:t>
            </w:r>
            <w:r w:rsidRPr="006524DF">
              <w:rPr>
                <w:bCs/>
                <w:sz w:val="20"/>
                <w:szCs w:val="20"/>
                <w:lang w:val="en-CA" w:eastAsia="en-CA"/>
              </w:rPr>
              <w:noBreakHyphen/>
              <w:t>out management plan</w:t>
            </w:r>
          </w:p>
        </w:tc>
      </w:tr>
    </w:tbl>
    <w:p w14:paraId="74A586A5" w14:textId="77777777" w:rsidR="00E60644" w:rsidRPr="00765981" w:rsidRDefault="00E60644" w:rsidP="00D20704">
      <w:pPr>
        <w:widowControl w:val="0"/>
        <w:spacing w:after="240"/>
        <w:rPr>
          <w:b/>
          <w:lang w:val="en-CA"/>
        </w:rPr>
      </w:pPr>
    </w:p>
    <w:p w14:paraId="0D2B6A18" w14:textId="77777777" w:rsidR="00681C69" w:rsidRPr="00765981" w:rsidRDefault="00681C69" w:rsidP="00D20704">
      <w:pPr>
        <w:widowControl w:val="0"/>
        <w:spacing w:after="240"/>
        <w:rPr>
          <w:b/>
          <w:lang w:val="en-CA"/>
        </w:rPr>
      </w:pPr>
    </w:p>
    <w:p w14:paraId="5591E1D3" w14:textId="77777777" w:rsidR="00681C69" w:rsidRPr="00765981" w:rsidRDefault="00681C69" w:rsidP="00D20704">
      <w:pPr>
        <w:widowControl w:val="0"/>
        <w:spacing w:after="240"/>
        <w:rPr>
          <w:b/>
          <w:lang w:val="en-CA"/>
        </w:rPr>
        <w:sectPr w:rsidR="00681C69" w:rsidRPr="00765981" w:rsidSect="002F2E98">
          <w:headerReference w:type="even" r:id="rId29"/>
          <w:headerReference w:type="default" r:id="rId30"/>
          <w:headerReference w:type="first" r:id="rId31"/>
          <w:footerReference w:type="first" r:id="rId32"/>
          <w:pgSz w:w="12240" w:h="15840" w:code="1"/>
          <w:pgMar w:top="720" w:right="1440" w:bottom="864" w:left="1440" w:header="720" w:footer="475" w:gutter="0"/>
          <w:pgNumType w:start="1"/>
          <w:cols w:space="720"/>
          <w:titlePg/>
        </w:sectPr>
      </w:pPr>
    </w:p>
    <w:p w14:paraId="589143F4" w14:textId="77777777" w:rsidR="00E60644" w:rsidRPr="006524DF" w:rsidRDefault="00E60644" w:rsidP="00E60644">
      <w:pPr>
        <w:widowControl w:val="0"/>
        <w:spacing w:after="240"/>
        <w:jc w:val="center"/>
        <w:rPr>
          <w:b/>
        </w:rPr>
      </w:pPr>
      <w:r w:rsidRPr="006524DF">
        <w:rPr>
          <w:b/>
        </w:rPr>
        <w:lastRenderedPageBreak/>
        <w:t xml:space="preserve">Annex IV </w:t>
      </w:r>
    </w:p>
    <w:p w14:paraId="57E8BB7C" w14:textId="77777777" w:rsidR="00E60644" w:rsidRPr="006524DF" w:rsidRDefault="00E60644" w:rsidP="00E60644">
      <w:pPr>
        <w:widowControl w:val="0"/>
        <w:spacing w:after="240"/>
        <w:jc w:val="center"/>
        <w:rPr>
          <w:b/>
        </w:rPr>
      </w:pPr>
      <w:r w:rsidRPr="006524DF">
        <w:rPr>
          <w:b/>
        </w:rPr>
        <w:t>OUTSTANDING PCRs BY DECISION</w:t>
      </w:r>
    </w:p>
    <w:tbl>
      <w:tblPr>
        <w:tblStyle w:val="TableGrid"/>
        <w:tblW w:w="9527" w:type="dxa"/>
        <w:tblLook w:val="04A0" w:firstRow="1" w:lastRow="0" w:firstColumn="1" w:lastColumn="0" w:noHBand="0" w:noVBand="1"/>
      </w:tblPr>
      <w:tblGrid>
        <w:gridCol w:w="2155"/>
        <w:gridCol w:w="4320"/>
        <w:gridCol w:w="3052"/>
      </w:tblGrid>
      <w:tr w:rsidR="00E60644" w:rsidRPr="006524DF" w14:paraId="6DCF7398" w14:textId="77777777" w:rsidTr="006A16CC">
        <w:tc>
          <w:tcPr>
            <w:tcW w:w="2155" w:type="dxa"/>
            <w:vAlign w:val="center"/>
            <w:hideMark/>
          </w:tcPr>
          <w:p w14:paraId="166D67B4" w14:textId="77777777" w:rsidR="00E60644" w:rsidRPr="006524DF" w:rsidRDefault="00E60644" w:rsidP="00102A32">
            <w:pPr>
              <w:widowControl w:val="0"/>
              <w:jc w:val="center"/>
              <w:rPr>
                <w:b/>
                <w:sz w:val="20"/>
                <w:lang w:val="en-CA"/>
              </w:rPr>
            </w:pPr>
            <w:r w:rsidRPr="006524DF">
              <w:rPr>
                <w:b/>
                <w:sz w:val="20"/>
                <w:lang w:val="en-CA"/>
              </w:rPr>
              <w:t>Country</w:t>
            </w:r>
          </w:p>
        </w:tc>
        <w:tc>
          <w:tcPr>
            <w:tcW w:w="4320" w:type="dxa"/>
            <w:vAlign w:val="center"/>
            <w:hideMark/>
          </w:tcPr>
          <w:p w14:paraId="7E302E31" w14:textId="77777777" w:rsidR="00E60644" w:rsidRPr="006524DF" w:rsidRDefault="00E60644" w:rsidP="00102A32">
            <w:pPr>
              <w:widowControl w:val="0"/>
              <w:jc w:val="center"/>
              <w:rPr>
                <w:b/>
                <w:sz w:val="20"/>
                <w:lang w:val="en-CA"/>
              </w:rPr>
            </w:pPr>
            <w:r w:rsidRPr="006524DF">
              <w:rPr>
                <w:b/>
                <w:sz w:val="20"/>
                <w:lang w:val="en-CA"/>
              </w:rPr>
              <w:t>MYA Sector/Title</w:t>
            </w:r>
          </w:p>
        </w:tc>
        <w:tc>
          <w:tcPr>
            <w:tcW w:w="3052" w:type="dxa"/>
            <w:vAlign w:val="center"/>
            <w:hideMark/>
          </w:tcPr>
          <w:p w14:paraId="19690AC9" w14:textId="77777777" w:rsidR="00E60644" w:rsidRPr="006524DF" w:rsidRDefault="00E60644" w:rsidP="00102A32">
            <w:pPr>
              <w:widowControl w:val="0"/>
              <w:jc w:val="center"/>
              <w:rPr>
                <w:b/>
                <w:sz w:val="20"/>
                <w:lang w:val="en-CA"/>
              </w:rPr>
            </w:pPr>
            <w:r w:rsidRPr="006524DF">
              <w:rPr>
                <w:b/>
                <w:sz w:val="20"/>
                <w:lang w:val="en-CA"/>
              </w:rPr>
              <w:t>Lead agency and Cooperating agency</w:t>
            </w:r>
          </w:p>
        </w:tc>
      </w:tr>
      <w:tr w:rsidR="006A2A6C" w:rsidRPr="006524DF" w14:paraId="02F43EE4" w14:textId="77777777" w:rsidTr="006A16CC">
        <w:tc>
          <w:tcPr>
            <w:tcW w:w="2155" w:type="dxa"/>
            <w:vAlign w:val="center"/>
          </w:tcPr>
          <w:p w14:paraId="4A927F5C" w14:textId="1B8961E2" w:rsidR="006A2A6C" w:rsidRPr="006524DF" w:rsidRDefault="006A2A6C" w:rsidP="006A2A6C">
            <w:pPr>
              <w:widowControl w:val="0"/>
              <w:jc w:val="left"/>
              <w:rPr>
                <w:sz w:val="20"/>
                <w:lang w:val="en-CA" w:eastAsia="en-CA"/>
              </w:rPr>
            </w:pPr>
            <w:r w:rsidRPr="006524DF">
              <w:rPr>
                <w:sz w:val="20"/>
                <w:lang w:val="en-CA" w:eastAsia="en-CA"/>
              </w:rPr>
              <w:t>Saudi Arabia</w:t>
            </w:r>
          </w:p>
        </w:tc>
        <w:tc>
          <w:tcPr>
            <w:tcW w:w="4320" w:type="dxa"/>
            <w:vAlign w:val="center"/>
          </w:tcPr>
          <w:p w14:paraId="712CD10C" w14:textId="08F130EC" w:rsidR="006A2A6C" w:rsidRPr="006524DF" w:rsidRDefault="006A2A6C" w:rsidP="006A2A6C">
            <w:pPr>
              <w:widowControl w:val="0"/>
              <w:jc w:val="left"/>
              <w:rPr>
                <w:sz w:val="20"/>
                <w:lang w:val="en-CA" w:eastAsia="en-CA"/>
              </w:rPr>
            </w:pPr>
            <w:r w:rsidRPr="006524DF">
              <w:rPr>
                <w:sz w:val="20"/>
                <w:lang w:val="en-CA" w:eastAsia="en-CA"/>
              </w:rPr>
              <w:t>HCFC phase-out plan (stage I)</w:t>
            </w:r>
          </w:p>
        </w:tc>
        <w:tc>
          <w:tcPr>
            <w:tcW w:w="3052" w:type="dxa"/>
            <w:vAlign w:val="center"/>
          </w:tcPr>
          <w:p w14:paraId="5F5CB763" w14:textId="549D75D4" w:rsidR="006A2A6C" w:rsidRPr="006524DF" w:rsidRDefault="006A2A6C" w:rsidP="006A2A6C">
            <w:pPr>
              <w:widowControl w:val="0"/>
              <w:jc w:val="left"/>
              <w:rPr>
                <w:sz w:val="20"/>
              </w:rPr>
            </w:pPr>
            <w:r w:rsidRPr="006524DF">
              <w:rPr>
                <w:b/>
                <w:sz w:val="20"/>
              </w:rPr>
              <w:t>UNIDO</w:t>
            </w:r>
            <w:r w:rsidRPr="006524DF">
              <w:rPr>
                <w:sz w:val="20"/>
              </w:rPr>
              <w:t>/UNEP/Japan</w:t>
            </w:r>
          </w:p>
        </w:tc>
      </w:tr>
    </w:tbl>
    <w:p w14:paraId="6F1D4FD9" w14:textId="77777777" w:rsidR="00E60644" w:rsidRPr="00765981" w:rsidRDefault="00E60644" w:rsidP="00E60644">
      <w:pPr>
        <w:widowControl w:val="0"/>
        <w:spacing w:after="240"/>
        <w:rPr>
          <w:sz w:val="20"/>
          <w:szCs w:val="20"/>
          <w:lang w:val="en-CA"/>
        </w:rPr>
      </w:pPr>
      <w:bookmarkStart w:id="10" w:name="_GoBack"/>
    </w:p>
    <w:p w14:paraId="528D1951" w14:textId="77777777" w:rsidR="00E60644" w:rsidRPr="00765981" w:rsidRDefault="00E60644" w:rsidP="00E60644">
      <w:pPr>
        <w:widowControl w:val="0"/>
        <w:spacing w:after="240"/>
        <w:jc w:val="center"/>
        <w:rPr>
          <w:b/>
          <w:lang w:val="en-CA"/>
        </w:rPr>
      </w:pPr>
    </w:p>
    <w:p w14:paraId="0A110EF9" w14:textId="77777777" w:rsidR="00E60644" w:rsidRPr="00765981" w:rsidRDefault="00E60644" w:rsidP="00E60644">
      <w:pPr>
        <w:widowControl w:val="0"/>
        <w:spacing w:after="240"/>
        <w:jc w:val="center"/>
        <w:rPr>
          <w:b/>
          <w:lang w:val="en-CA"/>
        </w:rPr>
        <w:sectPr w:rsidR="00E60644" w:rsidRPr="00765981" w:rsidSect="002F2E98">
          <w:headerReference w:type="first" r:id="rId33"/>
          <w:footerReference w:type="first" r:id="rId34"/>
          <w:pgSz w:w="12240" w:h="15840" w:code="1"/>
          <w:pgMar w:top="720" w:right="1440" w:bottom="864" w:left="1440" w:header="720" w:footer="475" w:gutter="0"/>
          <w:pgNumType w:start="1"/>
          <w:cols w:space="720"/>
          <w:titlePg/>
        </w:sectPr>
      </w:pPr>
    </w:p>
    <w:bookmarkEnd w:id="10"/>
    <w:p w14:paraId="4B781211" w14:textId="77777777" w:rsidR="00E60644" w:rsidRPr="006524DF" w:rsidRDefault="00E60644" w:rsidP="00E60644">
      <w:pPr>
        <w:widowControl w:val="0"/>
        <w:spacing w:after="240"/>
        <w:jc w:val="center"/>
        <w:rPr>
          <w:b/>
        </w:rPr>
      </w:pPr>
      <w:r w:rsidRPr="006524DF">
        <w:rPr>
          <w:b/>
        </w:rPr>
        <w:lastRenderedPageBreak/>
        <w:t>Annex V</w:t>
      </w:r>
    </w:p>
    <w:p w14:paraId="5859E513" w14:textId="77777777" w:rsidR="00E60644" w:rsidRPr="006524DF" w:rsidRDefault="00E60644" w:rsidP="00E60644">
      <w:pPr>
        <w:widowControl w:val="0"/>
        <w:spacing w:after="240"/>
        <w:jc w:val="center"/>
        <w:rPr>
          <w:b/>
        </w:rPr>
      </w:pPr>
      <w:r w:rsidRPr="006524DF">
        <w:rPr>
          <w:b/>
        </w:rPr>
        <w:t>OUTSTANDING MYA PCRs</w:t>
      </w:r>
    </w:p>
    <w:tbl>
      <w:tblPr>
        <w:tblStyle w:val="TableGrid"/>
        <w:tblW w:w="0" w:type="auto"/>
        <w:tblLayout w:type="fixed"/>
        <w:tblLook w:val="04A0" w:firstRow="1" w:lastRow="0" w:firstColumn="1" w:lastColumn="0" w:noHBand="0" w:noVBand="1"/>
      </w:tblPr>
      <w:tblGrid>
        <w:gridCol w:w="1809"/>
        <w:gridCol w:w="3998"/>
        <w:gridCol w:w="3543"/>
      </w:tblGrid>
      <w:tr w:rsidR="00E60644" w:rsidRPr="006524DF" w14:paraId="0C180A18"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0BB5EE03" w14:textId="77777777" w:rsidR="00E60644" w:rsidRPr="006524DF" w:rsidRDefault="00E60644" w:rsidP="00102A32">
            <w:pPr>
              <w:widowControl w:val="0"/>
              <w:jc w:val="center"/>
              <w:rPr>
                <w:b/>
                <w:sz w:val="20"/>
                <w:lang w:val="en-CA"/>
              </w:rPr>
            </w:pPr>
            <w:r w:rsidRPr="006524DF">
              <w:rPr>
                <w:b/>
                <w:sz w:val="20"/>
                <w:lang w:val="en-CA"/>
              </w:rPr>
              <w:t>Country</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D788FFA" w14:textId="77777777" w:rsidR="00E60644" w:rsidRPr="006524DF" w:rsidRDefault="00E60644" w:rsidP="00102A32">
            <w:pPr>
              <w:widowControl w:val="0"/>
              <w:jc w:val="center"/>
              <w:rPr>
                <w:b/>
                <w:sz w:val="20"/>
                <w:lang w:val="en-CA"/>
              </w:rPr>
            </w:pPr>
            <w:r w:rsidRPr="006524DF">
              <w:rPr>
                <w:b/>
                <w:sz w:val="20"/>
                <w:lang w:val="en-CA"/>
              </w:rPr>
              <w:t>MYA Sector/Title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5384E12" w14:textId="77777777" w:rsidR="00E60644" w:rsidRPr="006524DF" w:rsidRDefault="00E60644" w:rsidP="00102A32">
            <w:pPr>
              <w:widowControl w:val="0"/>
              <w:jc w:val="center"/>
              <w:rPr>
                <w:b/>
                <w:sz w:val="20"/>
                <w:lang w:val="en-CA"/>
              </w:rPr>
            </w:pPr>
            <w:r w:rsidRPr="006524DF">
              <w:rPr>
                <w:b/>
                <w:sz w:val="20"/>
                <w:lang w:val="en-CA"/>
              </w:rPr>
              <w:t>Lead agency and Cooperating agency</w:t>
            </w:r>
          </w:p>
        </w:tc>
      </w:tr>
      <w:tr w:rsidR="0028661D" w:rsidRPr="006524DF" w14:paraId="4F816282" w14:textId="77777777" w:rsidTr="00102A32">
        <w:tc>
          <w:tcPr>
            <w:tcW w:w="1809" w:type="dxa"/>
            <w:tcBorders>
              <w:top w:val="single" w:sz="4" w:space="0" w:color="auto"/>
              <w:left w:val="single" w:sz="4" w:space="0" w:color="auto"/>
              <w:bottom w:val="single" w:sz="4" w:space="0" w:color="auto"/>
              <w:right w:val="single" w:sz="4" w:space="0" w:color="auto"/>
            </w:tcBorders>
            <w:vAlign w:val="center"/>
          </w:tcPr>
          <w:p w14:paraId="1DE21AFD" w14:textId="760E16A6" w:rsidR="0028661D" w:rsidRPr="006524DF" w:rsidRDefault="0028661D" w:rsidP="0028661D">
            <w:pPr>
              <w:widowControl w:val="0"/>
              <w:jc w:val="left"/>
              <w:rPr>
                <w:b/>
                <w:sz w:val="20"/>
                <w:lang w:val="en-CA"/>
              </w:rPr>
            </w:pPr>
            <w:r w:rsidRPr="006524DF">
              <w:rPr>
                <w:sz w:val="20"/>
                <w:lang w:val="en-CA"/>
              </w:rPr>
              <w:t>Argentina</w:t>
            </w:r>
          </w:p>
        </w:tc>
        <w:tc>
          <w:tcPr>
            <w:tcW w:w="3998" w:type="dxa"/>
            <w:tcBorders>
              <w:top w:val="single" w:sz="4" w:space="0" w:color="auto"/>
              <w:left w:val="single" w:sz="4" w:space="0" w:color="auto"/>
              <w:bottom w:val="single" w:sz="4" w:space="0" w:color="auto"/>
              <w:right w:val="single" w:sz="4" w:space="0" w:color="auto"/>
            </w:tcBorders>
            <w:vAlign w:val="center"/>
          </w:tcPr>
          <w:p w14:paraId="06320B58" w14:textId="7647A9DE" w:rsidR="0028661D" w:rsidRPr="006524DF" w:rsidRDefault="0028661D" w:rsidP="0028661D">
            <w:pPr>
              <w:widowControl w:val="0"/>
              <w:jc w:val="left"/>
              <w:rPr>
                <w:b/>
                <w:sz w:val="20"/>
                <w:lang w:val="en-CA"/>
              </w:rPr>
            </w:pPr>
            <w:r w:rsidRPr="006524DF">
              <w:rPr>
                <w:sz w:val="20"/>
                <w:lang w:val="en-CA" w:eastAsia="en-CA"/>
              </w:rPr>
              <w:t>HCFC phase-out plan (stage I)</w:t>
            </w:r>
          </w:p>
        </w:tc>
        <w:tc>
          <w:tcPr>
            <w:tcW w:w="3543" w:type="dxa"/>
            <w:tcBorders>
              <w:top w:val="single" w:sz="4" w:space="0" w:color="auto"/>
              <w:left w:val="single" w:sz="4" w:space="0" w:color="auto"/>
              <w:bottom w:val="single" w:sz="4" w:space="0" w:color="auto"/>
              <w:right w:val="single" w:sz="4" w:space="0" w:color="auto"/>
            </w:tcBorders>
            <w:vAlign w:val="center"/>
          </w:tcPr>
          <w:p w14:paraId="48E9E19F" w14:textId="69367E25" w:rsidR="0028661D" w:rsidRPr="006524DF" w:rsidRDefault="0028661D" w:rsidP="0028661D">
            <w:pPr>
              <w:widowControl w:val="0"/>
              <w:jc w:val="left"/>
              <w:rPr>
                <w:b/>
                <w:sz w:val="20"/>
                <w:lang w:val="en-CA"/>
              </w:rPr>
            </w:pPr>
            <w:r w:rsidRPr="006524DF">
              <w:rPr>
                <w:b/>
                <w:sz w:val="20"/>
                <w:lang w:val="en-CA"/>
              </w:rPr>
              <w:t>UNIDO</w:t>
            </w:r>
            <w:r w:rsidR="000161CB" w:rsidRPr="006524DF">
              <w:rPr>
                <w:b/>
                <w:sz w:val="20"/>
                <w:lang w:val="en-CA"/>
              </w:rPr>
              <w:t>/</w:t>
            </w:r>
            <w:r w:rsidR="005C4DAF" w:rsidRPr="006524DF">
              <w:rPr>
                <w:sz w:val="20"/>
                <w:lang w:val="en-CA"/>
              </w:rPr>
              <w:t>World Bank</w:t>
            </w:r>
            <w:r w:rsidR="000161CB" w:rsidRPr="006524DF">
              <w:rPr>
                <w:sz w:val="20"/>
                <w:lang w:val="en-CA"/>
              </w:rPr>
              <w:t>/Italy</w:t>
            </w:r>
          </w:p>
        </w:tc>
      </w:tr>
      <w:tr w:rsidR="0028661D" w:rsidRPr="006524DF" w14:paraId="6CD358A8"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1147F072" w14:textId="77777777" w:rsidR="0028661D" w:rsidRPr="006524DF" w:rsidRDefault="0028661D" w:rsidP="0028661D">
            <w:pPr>
              <w:widowControl w:val="0"/>
              <w:jc w:val="left"/>
              <w:rPr>
                <w:sz w:val="20"/>
                <w:lang w:val="en-CA"/>
              </w:rPr>
            </w:pPr>
            <w:r w:rsidRPr="006524DF">
              <w:rPr>
                <w:sz w:val="20"/>
                <w:lang w:val="en-CA"/>
              </w:rPr>
              <w:t>Argentina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FE001F6" w14:textId="77777777" w:rsidR="0028661D" w:rsidRPr="006524DF" w:rsidRDefault="0028661D" w:rsidP="0028661D">
            <w:pPr>
              <w:widowControl w:val="0"/>
              <w:jc w:val="left"/>
              <w:rPr>
                <w:sz w:val="20"/>
                <w:lang w:val="en-CA"/>
              </w:rPr>
            </w:pPr>
            <w:r w:rsidRPr="006524DF">
              <w:rPr>
                <w:sz w:val="20"/>
                <w:lang w:val="en-CA"/>
              </w:rPr>
              <w:t>Production CFC</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FB7E4DB" w14:textId="2949C905" w:rsidR="0028661D" w:rsidRPr="006524DF" w:rsidRDefault="005C4DAF" w:rsidP="0028661D">
            <w:pPr>
              <w:widowControl w:val="0"/>
              <w:jc w:val="left"/>
              <w:rPr>
                <w:b/>
                <w:sz w:val="20"/>
                <w:lang w:val="en-CA"/>
              </w:rPr>
            </w:pPr>
            <w:r w:rsidRPr="006524DF">
              <w:rPr>
                <w:b/>
                <w:sz w:val="20"/>
                <w:lang w:val="en-CA"/>
              </w:rPr>
              <w:t>World Bank</w:t>
            </w:r>
          </w:p>
        </w:tc>
      </w:tr>
      <w:tr w:rsidR="0028661D" w:rsidRPr="006524DF" w14:paraId="4C74EA18"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02FD2098" w14:textId="77777777" w:rsidR="0028661D" w:rsidRPr="006524DF" w:rsidRDefault="0028661D" w:rsidP="0028661D">
            <w:pPr>
              <w:widowControl w:val="0"/>
              <w:jc w:val="left"/>
              <w:rPr>
                <w:sz w:val="20"/>
                <w:lang w:val="en-CA"/>
              </w:rPr>
            </w:pPr>
            <w:r w:rsidRPr="006524DF">
              <w:rPr>
                <w:sz w:val="20"/>
                <w:lang w:val="en-CA"/>
              </w:rPr>
              <w:t>Bahamas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43D80890" w14:textId="77777777" w:rsidR="0028661D" w:rsidRPr="006524DF" w:rsidRDefault="0028661D" w:rsidP="0028661D">
            <w:pPr>
              <w:widowControl w:val="0"/>
              <w:jc w:val="left"/>
              <w:rPr>
                <w:sz w:val="20"/>
                <w:lang w:val="en-US"/>
              </w:rPr>
            </w:pPr>
            <w:r w:rsidRPr="006524DF">
              <w:rPr>
                <w:sz w:val="20"/>
                <w:lang w:val="en-CA"/>
              </w:rPr>
              <w:t>CFC phase-out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1CD4FA2" w14:textId="4B557926" w:rsidR="0028661D" w:rsidRPr="006524DF" w:rsidRDefault="005C4DAF" w:rsidP="0028661D">
            <w:pPr>
              <w:widowControl w:val="0"/>
              <w:jc w:val="left"/>
              <w:rPr>
                <w:b/>
                <w:sz w:val="20"/>
                <w:lang w:val="en-CA"/>
              </w:rPr>
            </w:pPr>
            <w:r w:rsidRPr="006524DF">
              <w:rPr>
                <w:b/>
                <w:sz w:val="20"/>
                <w:lang w:val="en-CA"/>
              </w:rPr>
              <w:t>World Bank</w:t>
            </w:r>
          </w:p>
        </w:tc>
      </w:tr>
      <w:tr w:rsidR="0028661D" w:rsidRPr="006524DF" w14:paraId="315CE488"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3C45784E" w14:textId="77777777" w:rsidR="0028661D" w:rsidRPr="006524DF" w:rsidRDefault="0028661D" w:rsidP="0028661D">
            <w:pPr>
              <w:widowControl w:val="0"/>
              <w:jc w:val="left"/>
              <w:rPr>
                <w:sz w:val="20"/>
                <w:lang w:val="en-CA"/>
              </w:rPr>
            </w:pPr>
            <w:r w:rsidRPr="006524DF">
              <w:rPr>
                <w:sz w:val="20"/>
                <w:lang w:val="en-CA"/>
              </w:rPr>
              <w:t>China</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0251D27" w14:textId="77777777" w:rsidR="0028661D" w:rsidRPr="006524DF" w:rsidRDefault="0028661D" w:rsidP="0028661D">
            <w:pPr>
              <w:widowControl w:val="0"/>
              <w:jc w:val="left"/>
              <w:rPr>
                <w:sz w:val="20"/>
                <w:lang w:val="en-CA"/>
              </w:rPr>
            </w:pPr>
            <w:r w:rsidRPr="006524DF">
              <w:rPr>
                <w:sz w:val="20"/>
                <w:lang w:val="en-CA"/>
              </w:rPr>
              <w:t>CFCs/CTC/Halon accelerated phase</w:t>
            </w:r>
            <w:r w:rsidRPr="006524DF">
              <w:rPr>
                <w:sz w:val="20"/>
                <w:lang w:val="en-CA"/>
              </w:rPr>
              <w:noBreakHyphen/>
              <w:t>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ADC52AF" w14:textId="3C80E20D" w:rsidR="0028661D" w:rsidRPr="006524DF" w:rsidRDefault="005C4DAF" w:rsidP="0028661D">
            <w:pPr>
              <w:widowControl w:val="0"/>
              <w:jc w:val="left"/>
              <w:rPr>
                <w:b/>
                <w:sz w:val="20"/>
                <w:lang w:val="en-CA"/>
              </w:rPr>
            </w:pPr>
            <w:r w:rsidRPr="006524DF">
              <w:rPr>
                <w:b/>
                <w:sz w:val="20"/>
                <w:lang w:val="en-CA"/>
              </w:rPr>
              <w:t>World Bank</w:t>
            </w:r>
            <w:r w:rsidR="0028661D" w:rsidRPr="006524DF">
              <w:rPr>
                <w:sz w:val="20"/>
                <w:lang w:val="en-CA"/>
              </w:rPr>
              <w:t xml:space="preserve">/United States of America </w:t>
            </w:r>
          </w:p>
        </w:tc>
      </w:tr>
      <w:tr w:rsidR="000161CB" w:rsidRPr="006524DF" w14:paraId="4F3C5787" w14:textId="77777777" w:rsidTr="00102A32">
        <w:tc>
          <w:tcPr>
            <w:tcW w:w="1809" w:type="dxa"/>
            <w:tcBorders>
              <w:top w:val="single" w:sz="4" w:space="0" w:color="auto"/>
              <w:left w:val="single" w:sz="4" w:space="0" w:color="auto"/>
              <w:bottom w:val="single" w:sz="4" w:space="0" w:color="auto"/>
              <w:right w:val="single" w:sz="4" w:space="0" w:color="auto"/>
            </w:tcBorders>
            <w:vAlign w:val="center"/>
          </w:tcPr>
          <w:p w14:paraId="69155F43" w14:textId="0B5A08F6" w:rsidR="000161CB" w:rsidRPr="006524DF" w:rsidRDefault="000161CB" w:rsidP="000161CB">
            <w:pPr>
              <w:widowControl w:val="0"/>
              <w:jc w:val="left"/>
              <w:rPr>
                <w:sz w:val="20"/>
                <w:lang w:val="en-CA"/>
              </w:rPr>
            </w:pPr>
            <w:r w:rsidRPr="006524DF">
              <w:rPr>
                <w:sz w:val="20"/>
                <w:lang w:val="en-CA"/>
              </w:rPr>
              <w:t>Costa Rica</w:t>
            </w:r>
          </w:p>
        </w:tc>
        <w:tc>
          <w:tcPr>
            <w:tcW w:w="3998" w:type="dxa"/>
            <w:tcBorders>
              <w:top w:val="single" w:sz="4" w:space="0" w:color="auto"/>
              <w:left w:val="single" w:sz="4" w:space="0" w:color="auto"/>
              <w:bottom w:val="single" w:sz="4" w:space="0" w:color="auto"/>
              <w:right w:val="single" w:sz="4" w:space="0" w:color="auto"/>
            </w:tcBorders>
            <w:vAlign w:val="center"/>
          </w:tcPr>
          <w:p w14:paraId="73F47C28" w14:textId="7815E1FE" w:rsidR="000161CB" w:rsidRPr="006524DF" w:rsidRDefault="000161CB" w:rsidP="000161CB">
            <w:pPr>
              <w:widowControl w:val="0"/>
              <w:jc w:val="left"/>
              <w:rPr>
                <w:sz w:val="20"/>
                <w:lang w:val="en-CA"/>
              </w:rPr>
            </w:pPr>
            <w:r w:rsidRPr="006524DF">
              <w:rPr>
                <w:sz w:val="20"/>
                <w:lang w:val="en-CA" w:eastAsia="en-CA"/>
              </w:rPr>
              <w:t>HCFC phase-out plan (stage I)</w:t>
            </w:r>
          </w:p>
        </w:tc>
        <w:tc>
          <w:tcPr>
            <w:tcW w:w="3543" w:type="dxa"/>
            <w:tcBorders>
              <w:top w:val="single" w:sz="4" w:space="0" w:color="auto"/>
              <w:left w:val="single" w:sz="4" w:space="0" w:color="auto"/>
              <w:bottom w:val="single" w:sz="4" w:space="0" w:color="auto"/>
              <w:right w:val="single" w:sz="4" w:space="0" w:color="auto"/>
            </w:tcBorders>
            <w:vAlign w:val="center"/>
          </w:tcPr>
          <w:p w14:paraId="054BFD2D" w14:textId="5BD01434" w:rsidR="000161CB" w:rsidRPr="006524DF" w:rsidRDefault="000161CB" w:rsidP="000161CB">
            <w:pPr>
              <w:widowControl w:val="0"/>
              <w:jc w:val="left"/>
              <w:rPr>
                <w:b/>
                <w:sz w:val="20"/>
                <w:lang w:val="en-CA"/>
              </w:rPr>
            </w:pPr>
            <w:r w:rsidRPr="006524DF">
              <w:rPr>
                <w:b/>
                <w:sz w:val="20"/>
                <w:lang w:val="en-CA"/>
              </w:rPr>
              <w:t>UNDP</w:t>
            </w:r>
          </w:p>
        </w:tc>
      </w:tr>
      <w:tr w:rsidR="000161CB" w:rsidRPr="006524DF" w14:paraId="122AA44B"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53B810E5" w14:textId="77777777" w:rsidR="000161CB" w:rsidRPr="006524DF" w:rsidRDefault="000161CB" w:rsidP="000161CB">
            <w:pPr>
              <w:widowControl w:val="0"/>
              <w:jc w:val="left"/>
              <w:rPr>
                <w:sz w:val="20"/>
                <w:lang w:val="en-CA"/>
              </w:rPr>
            </w:pPr>
            <w:r w:rsidRPr="006524DF">
              <w:rPr>
                <w:sz w:val="20"/>
                <w:lang w:val="en-CA"/>
              </w:rPr>
              <w:t>Philippines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576CF2B6" w14:textId="77777777" w:rsidR="000161CB" w:rsidRPr="006524DF" w:rsidRDefault="000161CB" w:rsidP="000161CB">
            <w:pPr>
              <w:widowControl w:val="0"/>
              <w:jc w:val="left"/>
              <w:rPr>
                <w:sz w:val="20"/>
                <w:lang w:val="en-CA"/>
              </w:rPr>
            </w:pPr>
            <w:r w:rsidRPr="006524DF">
              <w:rPr>
                <w:sz w:val="20"/>
                <w:lang w:val="en-CA"/>
              </w:rPr>
              <w:t>CFC phase-out plan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9A821F0" w14:textId="53E1732D" w:rsidR="000161CB" w:rsidRPr="006524DF" w:rsidRDefault="005C4DAF" w:rsidP="000161CB">
            <w:pPr>
              <w:widowControl w:val="0"/>
              <w:jc w:val="left"/>
              <w:rPr>
                <w:b/>
                <w:sz w:val="20"/>
                <w:lang w:val="en-CA"/>
              </w:rPr>
            </w:pPr>
            <w:r w:rsidRPr="006524DF">
              <w:rPr>
                <w:b/>
                <w:sz w:val="20"/>
                <w:lang w:val="en-CA"/>
              </w:rPr>
              <w:t>World Bank</w:t>
            </w:r>
            <w:r w:rsidR="000161CB" w:rsidRPr="006524DF">
              <w:rPr>
                <w:sz w:val="20"/>
                <w:lang w:val="en-CA"/>
              </w:rPr>
              <w:t>/Sweden/UNEP</w:t>
            </w:r>
          </w:p>
        </w:tc>
      </w:tr>
      <w:tr w:rsidR="000161CB" w:rsidRPr="006524DF" w14:paraId="2E96BAE2"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08ED9C41" w14:textId="77777777" w:rsidR="000161CB" w:rsidRPr="006524DF" w:rsidRDefault="000161CB" w:rsidP="000161CB">
            <w:pPr>
              <w:widowControl w:val="0"/>
              <w:jc w:val="left"/>
              <w:rPr>
                <w:sz w:val="20"/>
                <w:lang w:val="en-CA"/>
              </w:rPr>
            </w:pPr>
            <w:r w:rsidRPr="006524DF">
              <w:rPr>
                <w:sz w:val="20"/>
                <w:lang w:val="en-CA"/>
              </w:rPr>
              <w:t>Viet Nam</w:t>
            </w:r>
          </w:p>
        </w:tc>
        <w:tc>
          <w:tcPr>
            <w:tcW w:w="3998" w:type="dxa"/>
            <w:tcBorders>
              <w:top w:val="single" w:sz="4" w:space="0" w:color="auto"/>
              <w:left w:val="single" w:sz="4" w:space="0" w:color="auto"/>
              <w:bottom w:val="single" w:sz="4" w:space="0" w:color="auto"/>
              <w:right w:val="single" w:sz="4" w:space="0" w:color="auto"/>
            </w:tcBorders>
            <w:vAlign w:val="center"/>
            <w:hideMark/>
          </w:tcPr>
          <w:p w14:paraId="1E901646" w14:textId="77777777" w:rsidR="000161CB" w:rsidRPr="006524DF" w:rsidRDefault="000161CB" w:rsidP="000161CB">
            <w:pPr>
              <w:widowControl w:val="0"/>
              <w:jc w:val="left"/>
              <w:rPr>
                <w:sz w:val="20"/>
                <w:lang w:val="en-CA"/>
              </w:rPr>
            </w:pPr>
            <w:r w:rsidRPr="006524DF">
              <w:rPr>
                <w:sz w:val="20"/>
                <w:lang w:val="en-CA"/>
              </w:rPr>
              <w:t>Methyl bromide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B338CC" w14:textId="495F5273" w:rsidR="000161CB" w:rsidRPr="006524DF" w:rsidRDefault="005C4DAF" w:rsidP="000161CB">
            <w:pPr>
              <w:widowControl w:val="0"/>
              <w:jc w:val="left"/>
              <w:rPr>
                <w:b/>
                <w:sz w:val="20"/>
                <w:lang w:val="en-CA"/>
              </w:rPr>
            </w:pPr>
            <w:r w:rsidRPr="006524DF">
              <w:rPr>
                <w:b/>
                <w:sz w:val="20"/>
                <w:lang w:val="en-CA"/>
              </w:rPr>
              <w:t>World Bank</w:t>
            </w:r>
          </w:p>
        </w:tc>
      </w:tr>
      <w:tr w:rsidR="000161CB" w:rsidRPr="0097510B" w14:paraId="701B416F" w14:textId="77777777" w:rsidTr="00102A32">
        <w:tc>
          <w:tcPr>
            <w:tcW w:w="1809" w:type="dxa"/>
            <w:tcBorders>
              <w:top w:val="single" w:sz="4" w:space="0" w:color="auto"/>
              <w:left w:val="single" w:sz="4" w:space="0" w:color="auto"/>
              <w:bottom w:val="single" w:sz="4" w:space="0" w:color="auto"/>
              <w:right w:val="single" w:sz="4" w:space="0" w:color="auto"/>
            </w:tcBorders>
            <w:vAlign w:val="center"/>
            <w:hideMark/>
          </w:tcPr>
          <w:p w14:paraId="678C4298" w14:textId="77777777" w:rsidR="000161CB" w:rsidRPr="006524DF" w:rsidRDefault="000161CB" w:rsidP="000161CB">
            <w:pPr>
              <w:widowControl w:val="0"/>
              <w:jc w:val="left"/>
              <w:rPr>
                <w:sz w:val="20"/>
                <w:lang w:val="en-CA"/>
              </w:rPr>
            </w:pPr>
            <w:r w:rsidRPr="006524DF">
              <w:rPr>
                <w:sz w:val="20"/>
                <w:lang w:val="en-CA"/>
              </w:rPr>
              <w:t>Yemen</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AE3C0E6" w14:textId="77777777" w:rsidR="000161CB" w:rsidRPr="006524DF" w:rsidRDefault="000161CB" w:rsidP="000161CB">
            <w:pPr>
              <w:widowControl w:val="0"/>
              <w:jc w:val="left"/>
              <w:rPr>
                <w:sz w:val="20"/>
                <w:lang w:val="en-CA"/>
              </w:rPr>
            </w:pPr>
            <w:r w:rsidRPr="006524DF">
              <w:rPr>
                <w:sz w:val="20"/>
                <w:lang w:val="en-CA"/>
              </w:rPr>
              <w:t>Methyl bromide</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E6BFECF" w14:textId="77777777" w:rsidR="000161CB" w:rsidRPr="00EA1B43" w:rsidRDefault="000161CB" w:rsidP="000161CB">
            <w:pPr>
              <w:widowControl w:val="0"/>
              <w:jc w:val="left"/>
              <w:rPr>
                <w:b/>
                <w:sz w:val="20"/>
                <w:lang w:val="fr-CA"/>
              </w:rPr>
            </w:pPr>
            <w:r w:rsidRPr="006524DF">
              <w:rPr>
                <w:b/>
                <w:sz w:val="20"/>
                <w:lang w:val="en-CA"/>
              </w:rPr>
              <w:t>Germany</w:t>
            </w:r>
          </w:p>
        </w:tc>
      </w:tr>
    </w:tbl>
    <w:p w14:paraId="60AA314A" w14:textId="77777777" w:rsidR="00E60644" w:rsidRPr="006A5C1F" w:rsidRDefault="00E60644" w:rsidP="00AF3406">
      <w:pPr>
        <w:widowControl w:val="0"/>
        <w:spacing w:after="240"/>
        <w:rPr>
          <w:b/>
          <w:lang w:val="en-CA"/>
        </w:rPr>
      </w:pPr>
    </w:p>
    <w:p w14:paraId="7C31C85C" w14:textId="77777777" w:rsidR="00E60644" w:rsidRPr="005764B1" w:rsidRDefault="00E60644" w:rsidP="00E60644">
      <w:pPr>
        <w:widowControl w:val="0"/>
      </w:pPr>
    </w:p>
    <w:p w14:paraId="1CE06184" w14:textId="77777777" w:rsidR="008C5738" w:rsidRPr="00BB2764" w:rsidRDefault="008C5738" w:rsidP="00F97AFB">
      <w:pPr>
        <w:pStyle w:val="Heading2"/>
        <w:keepNext/>
        <w:keepLines/>
        <w:numPr>
          <w:ilvl w:val="0"/>
          <w:numId w:val="0"/>
        </w:numPr>
        <w:tabs>
          <w:tab w:val="left" w:pos="720"/>
        </w:tabs>
        <w:jc w:val="center"/>
      </w:pPr>
    </w:p>
    <w:sectPr w:rsidR="008C5738" w:rsidRPr="00BB2764" w:rsidSect="00222C40">
      <w:headerReference w:type="even" r:id="rId35"/>
      <w:headerReference w:type="default" r:id="rId36"/>
      <w:footerReference w:type="even" r:id="rId37"/>
      <w:footerReference w:type="default" r:id="rId38"/>
      <w:headerReference w:type="first" r:id="rId39"/>
      <w:footerReference w:type="first" r:id="rId4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459BC" w14:textId="77777777" w:rsidR="002F6A93" w:rsidRDefault="002F6A93" w:rsidP="004A504B">
      <w:r>
        <w:separator/>
      </w:r>
    </w:p>
  </w:endnote>
  <w:endnote w:type="continuationSeparator" w:id="0">
    <w:p w14:paraId="16D9B17F" w14:textId="77777777" w:rsidR="002F6A93" w:rsidRDefault="002F6A93"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FB4E" w14:textId="19B81AD9" w:rsidR="0000445D" w:rsidRPr="0033525D" w:rsidRDefault="0000445D">
    <w:pPr>
      <w:jc w:val="center"/>
    </w:pPr>
    <w:r>
      <w:fldChar w:fldCharType="begin"/>
    </w:r>
    <w:r>
      <w:instrText xml:space="preserve"> PAGE </w:instrText>
    </w:r>
    <w:r>
      <w:fldChar w:fldCharType="separate"/>
    </w:r>
    <w:r w:rsidR="00765981">
      <w:rPr>
        <w:noProof/>
      </w:rPr>
      <w:t>8</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58DE" w14:textId="77777777" w:rsidR="0000445D" w:rsidRPr="0033525D" w:rsidRDefault="0000445D">
    <w:pPr>
      <w:jc w:val="center"/>
    </w:pPr>
    <w:r>
      <w:fldChar w:fldCharType="begin"/>
    </w:r>
    <w:r>
      <w:instrText xml:space="preserve"> PAGE </w:instrText>
    </w:r>
    <w:r>
      <w:fldChar w:fldCharType="separate"/>
    </w:r>
    <w:r>
      <w:rPr>
        <w:noProof/>
      </w:rPr>
      <w:t>2</w:t>
    </w:r>
    <w:r>
      <w:rPr>
        <w:noProof/>
      </w:rPr>
      <w:fldChar w:fldCharType="end"/>
    </w:r>
  </w:p>
  <w:p w14:paraId="0ADD2C72" w14:textId="77777777" w:rsidR="0000445D" w:rsidRDefault="0000445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AFFD" w14:textId="77777777" w:rsidR="0000445D" w:rsidRPr="0033525D" w:rsidRDefault="0000445D">
    <w:pPr>
      <w:jc w:val="center"/>
    </w:pPr>
    <w:r>
      <w:fldChar w:fldCharType="begin"/>
    </w:r>
    <w:r>
      <w:instrText xml:space="preserve"> PAGE </w:instrText>
    </w:r>
    <w:r>
      <w:fldChar w:fldCharType="separate"/>
    </w:r>
    <w:r>
      <w:rPr>
        <w:noProof/>
      </w:rPr>
      <w:t>3</w:t>
    </w:r>
    <w:r>
      <w:rPr>
        <w:noProof/>
      </w:rPr>
      <w:fldChar w:fldCharType="end"/>
    </w:r>
  </w:p>
  <w:p w14:paraId="716F1F73" w14:textId="77777777" w:rsidR="0000445D" w:rsidRDefault="0000445D"/>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49557"/>
      <w:docPartObj>
        <w:docPartGallery w:val="Page Numbers (Bottom of Page)"/>
        <w:docPartUnique/>
      </w:docPartObj>
    </w:sdtPr>
    <w:sdtEndPr>
      <w:rPr>
        <w:noProof/>
      </w:rPr>
    </w:sdtEndPr>
    <w:sdtContent>
      <w:p w14:paraId="40A709E8" w14:textId="5529AE29" w:rsidR="0000445D" w:rsidRDefault="0000445D">
        <w:pPr>
          <w:pStyle w:val="Footer"/>
          <w:jc w:val="center"/>
        </w:pPr>
        <w:r>
          <w:fldChar w:fldCharType="begin"/>
        </w:r>
        <w:r>
          <w:instrText xml:space="preserve"> PAGE   \* MERGEFORMAT </w:instrText>
        </w:r>
        <w:r>
          <w:fldChar w:fldCharType="separate"/>
        </w:r>
        <w:r w:rsidR="00765981">
          <w:rPr>
            <w:noProof/>
          </w:rPr>
          <w:t>1</w:t>
        </w:r>
        <w:r>
          <w:rPr>
            <w:noProof/>
          </w:rPr>
          <w:fldChar w:fldCharType="end"/>
        </w:r>
      </w:p>
    </w:sdtContent>
  </w:sdt>
  <w:p w14:paraId="6333DC86" w14:textId="77777777" w:rsidR="0000445D" w:rsidRPr="00222C40" w:rsidRDefault="0000445D" w:rsidP="00222C40">
    <w:pPr>
      <w:pStyle w:val="Footer"/>
    </w:pPr>
  </w:p>
  <w:p w14:paraId="579FF950" w14:textId="77777777" w:rsidR="0000445D" w:rsidRDefault="0000445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43A8" w14:textId="210EE9C7" w:rsidR="0000445D" w:rsidRPr="0033525D" w:rsidRDefault="0000445D">
    <w:pPr>
      <w:jc w:val="center"/>
    </w:pPr>
    <w:r>
      <w:fldChar w:fldCharType="begin"/>
    </w:r>
    <w:r>
      <w:instrText xml:space="preserve"> PAGE </w:instrText>
    </w:r>
    <w:r>
      <w:fldChar w:fldCharType="separate"/>
    </w:r>
    <w:r w:rsidR="00765981">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F1F9" w14:textId="77777777" w:rsidR="0000445D" w:rsidRPr="002E3916" w:rsidRDefault="0000445D" w:rsidP="002F2E98">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C32E" w14:textId="7D218FBE" w:rsidR="0000445D" w:rsidRPr="0033525D" w:rsidRDefault="0000445D">
    <w:pPr>
      <w:jc w:val="center"/>
    </w:pPr>
    <w:r>
      <w:fldChar w:fldCharType="begin"/>
    </w:r>
    <w:r>
      <w:instrText xml:space="preserve"> PAGE </w:instrText>
    </w:r>
    <w:r>
      <w:fldChar w:fldCharType="separate"/>
    </w:r>
    <w:r w:rsidR="00765981">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459D" w14:textId="77777777" w:rsidR="0000445D" w:rsidRPr="0033525D" w:rsidRDefault="0000445D">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324369"/>
      <w:docPartObj>
        <w:docPartGallery w:val="Page Numbers (Bottom of Page)"/>
        <w:docPartUnique/>
      </w:docPartObj>
    </w:sdtPr>
    <w:sdtEndPr>
      <w:rPr>
        <w:noProof/>
      </w:rPr>
    </w:sdtEndPr>
    <w:sdtContent>
      <w:p w14:paraId="27786A82" w14:textId="0FB8A787" w:rsidR="0000445D" w:rsidRDefault="0000445D">
        <w:pPr>
          <w:pStyle w:val="Footer"/>
          <w:jc w:val="center"/>
        </w:pPr>
        <w:r>
          <w:fldChar w:fldCharType="begin"/>
        </w:r>
        <w:r>
          <w:instrText xml:space="preserve"> PAGE   \* MERGEFORMAT </w:instrText>
        </w:r>
        <w:r>
          <w:fldChar w:fldCharType="separate"/>
        </w:r>
        <w:r w:rsidR="00765981">
          <w:rPr>
            <w:noProof/>
          </w:rPr>
          <w:t>1</w:t>
        </w:r>
        <w:r>
          <w:rPr>
            <w:noProof/>
          </w:rPr>
          <w:fldChar w:fldCharType="end"/>
        </w:r>
      </w:p>
    </w:sdtContent>
  </w:sdt>
  <w:p w14:paraId="519ACFDF" w14:textId="77777777" w:rsidR="0000445D" w:rsidRPr="006A5C1F" w:rsidRDefault="0000445D" w:rsidP="002F2E9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44146"/>
      <w:docPartObj>
        <w:docPartGallery w:val="Page Numbers (Bottom of Page)"/>
        <w:docPartUnique/>
      </w:docPartObj>
    </w:sdtPr>
    <w:sdtEndPr>
      <w:rPr>
        <w:noProof/>
      </w:rPr>
    </w:sdtEndPr>
    <w:sdtContent>
      <w:p w14:paraId="786D936B" w14:textId="5DB44516" w:rsidR="0000445D" w:rsidRDefault="0000445D">
        <w:pPr>
          <w:pStyle w:val="Footer"/>
          <w:jc w:val="center"/>
        </w:pPr>
        <w:r>
          <w:fldChar w:fldCharType="begin"/>
        </w:r>
        <w:r>
          <w:instrText xml:space="preserve"> PAGE   \* MERGEFORMAT </w:instrText>
        </w:r>
        <w:r>
          <w:fldChar w:fldCharType="separate"/>
        </w:r>
        <w:r w:rsidR="00765981">
          <w:rPr>
            <w:noProof/>
          </w:rPr>
          <w:t>1</w:t>
        </w:r>
        <w:r>
          <w:rPr>
            <w:noProof/>
          </w:rPr>
          <w:fldChar w:fldCharType="end"/>
        </w:r>
      </w:p>
    </w:sdtContent>
  </w:sdt>
  <w:p w14:paraId="1EBD74B9" w14:textId="77777777" w:rsidR="0000445D" w:rsidRPr="006A5C1F" w:rsidRDefault="0000445D" w:rsidP="002F2E98">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34645"/>
      <w:docPartObj>
        <w:docPartGallery w:val="Page Numbers (Bottom of Page)"/>
        <w:docPartUnique/>
      </w:docPartObj>
    </w:sdtPr>
    <w:sdtEndPr>
      <w:rPr>
        <w:noProof/>
      </w:rPr>
    </w:sdtEndPr>
    <w:sdtContent>
      <w:p w14:paraId="43E27238" w14:textId="0F7113E2" w:rsidR="0000445D" w:rsidRDefault="0000445D">
        <w:pPr>
          <w:pStyle w:val="Footer"/>
          <w:jc w:val="center"/>
        </w:pPr>
        <w:r>
          <w:fldChar w:fldCharType="begin"/>
        </w:r>
        <w:r>
          <w:instrText xml:space="preserve"> PAGE   \* MERGEFORMAT </w:instrText>
        </w:r>
        <w:r>
          <w:fldChar w:fldCharType="separate"/>
        </w:r>
        <w:r w:rsidR="00765981">
          <w:rPr>
            <w:noProof/>
          </w:rPr>
          <w:t>1</w:t>
        </w:r>
        <w:r>
          <w:rPr>
            <w:noProof/>
          </w:rPr>
          <w:fldChar w:fldCharType="end"/>
        </w:r>
      </w:p>
    </w:sdtContent>
  </w:sdt>
  <w:p w14:paraId="6144B25F" w14:textId="77777777" w:rsidR="0000445D" w:rsidRPr="006A5C1F" w:rsidRDefault="0000445D" w:rsidP="002F2E98">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2185"/>
      <w:docPartObj>
        <w:docPartGallery w:val="Page Numbers (Bottom of Page)"/>
        <w:docPartUnique/>
      </w:docPartObj>
    </w:sdtPr>
    <w:sdtEndPr>
      <w:rPr>
        <w:noProof/>
      </w:rPr>
    </w:sdtEndPr>
    <w:sdtContent>
      <w:p w14:paraId="7850E7E0" w14:textId="62CCD365" w:rsidR="0000445D" w:rsidRDefault="0000445D">
        <w:pPr>
          <w:pStyle w:val="Footer"/>
          <w:jc w:val="center"/>
        </w:pPr>
        <w:r>
          <w:fldChar w:fldCharType="begin"/>
        </w:r>
        <w:r>
          <w:instrText xml:space="preserve"> PAGE   \* MERGEFORMAT </w:instrText>
        </w:r>
        <w:r>
          <w:fldChar w:fldCharType="separate"/>
        </w:r>
        <w:r w:rsidR="00765981">
          <w:rPr>
            <w:noProof/>
          </w:rPr>
          <w:t>1</w:t>
        </w:r>
        <w:r>
          <w:rPr>
            <w:noProof/>
          </w:rPr>
          <w:fldChar w:fldCharType="end"/>
        </w:r>
      </w:p>
    </w:sdtContent>
  </w:sdt>
  <w:p w14:paraId="52DC7576" w14:textId="77777777" w:rsidR="0000445D" w:rsidRPr="006A5C1F" w:rsidRDefault="0000445D" w:rsidP="002F2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3EB3" w14:textId="77777777" w:rsidR="002F6A93" w:rsidRDefault="002F6A93" w:rsidP="004A504B">
      <w:r>
        <w:separator/>
      </w:r>
    </w:p>
  </w:footnote>
  <w:footnote w:type="continuationSeparator" w:id="0">
    <w:p w14:paraId="16AC6074" w14:textId="77777777" w:rsidR="002F6A93" w:rsidRDefault="002F6A93" w:rsidP="004A504B">
      <w:r>
        <w:continuationSeparator/>
      </w:r>
    </w:p>
  </w:footnote>
  <w:footnote w:id="1">
    <w:p w14:paraId="12282B8A" w14:textId="77777777" w:rsidR="0000445D" w:rsidRPr="007F7D65" w:rsidRDefault="0000445D" w:rsidP="00D10596">
      <w:pPr>
        <w:pStyle w:val="FootnoteText"/>
        <w:rPr>
          <w:lang w:val="en-US"/>
        </w:rPr>
      </w:pPr>
      <w:r>
        <w:rPr>
          <w:rStyle w:val="FootnoteReference"/>
        </w:rPr>
        <w:footnoteRef/>
      </w:r>
      <w:r>
        <w:t xml:space="preserve"> </w:t>
      </w:r>
      <w:r w:rsidRPr="007F7D65">
        <w:t xml:space="preserve">Online meetings and an intersessional approval process will be held in </w:t>
      </w:r>
      <w:r>
        <w:t xml:space="preserve">November </w:t>
      </w:r>
      <w:r w:rsidRPr="007F7D65">
        <w:t xml:space="preserve">and </w:t>
      </w:r>
      <w:r>
        <w:t>December</w:t>
      </w:r>
      <w:r w:rsidRPr="007F7D65">
        <w:t xml:space="preserve"> 2021 due to coronavirus disease (COVID-19)</w:t>
      </w:r>
    </w:p>
    <w:p w14:paraId="2A1AFCF0" w14:textId="77777777" w:rsidR="0000445D" w:rsidRPr="00B86471" w:rsidRDefault="0000445D" w:rsidP="00D10596">
      <w:pPr>
        <w:pStyle w:val="FootnoteText"/>
        <w:rPr>
          <w:lang w:val="en-US"/>
        </w:rPr>
      </w:pPr>
    </w:p>
  </w:footnote>
  <w:footnote w:id="2">
    <w:p w14:paraId="686658AE" w14:textId="77777777" w:rsidR="0000445D" w:rsidRPr="00491082" w:rsidRDefault="0000445D" w:rsidP="00200F77">
      <w:pPr>
        <w:pStyle w:val="FootnoteText"/>
      </w:pPr>
      <w:r>
        <w:rPr>
          <w:rStyle w:val="FootnoteReference"/>
        </w:rPr>
        <w:footnoteRef/>
      </w:r>
      <w:r>
        <w:t xml:space="preserve"> The total average is based on the total of five MYA PCRs received as presented in Annex I.  </w:t>
      </w:r>
    </w:p>
  </w:footnote>
  <w:footnote w:id="3">
    <w:p w14:paraId="3964EEB7" w14:textId="791A58CD" w:rsidR="0000445D" w:rsidRDefault="0000445D" w:rsidP="00E94AD7">
      <w:pPr>
        <w:pStyle w:val="FootnoteText"/>
        <w:jc w:val="left"/>
        <w:rPr>
          <w:lang w:val="en-US"/>
        </w:rPr>
      </w:pPr>
      <w:r>
        <w:rPr>
          <w:rStyle w:val="FootnoteReference"/>
        </w:rPr>
        <w:footnoteRef/>
      </w:r>
      <w:r>
        <w:t xml:space="preserve"> Detailed description can be found in the MYA PCR lessons learned database: </w:t>
      </w:r>
      <w:hyperlink r:id="rId1" w:history="1">
        <w:r>
          <w:rPr>
            <w:rStyle w:val="Hyperlink"/>
          </w:rPr>
          <w:t>http://www.multilateralfund.org/myapcr/search.aspx</w:t>
        </w:r>
      </w:hyperlink>
    </w:p>
  </w:footnote>
  <w:footnote w:id="4">
    <w:p w14:paraId="165E65C0" w14:textId="77777777" w:rsidR="0000445D" w:rsidRPr="000161CB" w:rsidRDefault="0000445D" w:rsidP="00996278">
      <w:pPr>
        <w:pStyle w:val="FootnoteText"/>
        <w:rPr>
          <w:lang w:val="en-US"/>
        </w:rPr>
      </w:pPr>
      <w:r w:rsidRPr="000161CB">
        <w:rPr>
          <w:rStyle w:val="FootnoteReference"/>
        </w:rPr>
        <w:footnoteRef/>
      </w:r>
      <w:r w:rsidRPr="000161CB">
        <w:t xml:space="preserve"> </w:t>
      </w:r>
      <w:r w:rsidRPr="000161CB">
        <w:rPr>
          <w:snapToGrid w:val="0"/>
        </w:rPr>
        <w:t>Excluding project preparation, country programmes, multi-year projects, networking, clearing-house activities, and institutional strengthening projects.</w:t>
      </w:r>
    </w:p>
  </w:footnote>
  <w:footnote w:id="5">
    <w:p w14:paraId="4B3B2394" w14:textId="77777777" w:rsidR="0000445D" w:rsidRDefault="0000445D" w:rsidP="00996278">
      <w:pPr>
        <w:pStyle w:val="FootnoteText"/>
        <w:rPr>
          <w:lang w:val="en-CA"/>
        </w:rPr>
      </w:pPr>
      <w:r w:rsidRPr="000161CB">
        <w:rPr>
          <w:rStyle w:val="FootnoteReference"/>
        </w:rPr>
        <w:footnoteRef/>
      </w:r>
      <w:r w:rsidRPr="000161CB">
        <w:t xml:space="preserve"> </w:t>
      </w:r>
      <w:r w:rsidRPr="000161CB">
        <w:rPr>
          <w:lang w:val="en-CA"/>
        </w:rPr>
        <w:t>Including PCRs completed and received from the following countries: Australia (25), Austria (1), Czech Republic (2), Denmark (1), Finland (5), Israel (2), Italy (1), Poland (1), South Africa (1), Spain (4), Sweden (5), Switzerland (3), and United States of America (40).</w:t>
      </w:r>
    </w:p>
  </w:footnote>
  <w:footnote w:id="6">
    <w:p w14:paraId="57434729" w14:textId="77777777" w:rsidR="0000445D" w:rsidRPr="00200F77" w:rsidRDefault="0000445D">
      <w:pPr>
        <w:pStyle w:val="FootnoteText"/>
      </w:pPr>
      <w:r>
        <w:rPr>
          <w:rStyle w:val="FootnoteReference"/>
        </w:rPr>
        <w:footnoteRef/>
      </w:r>
      <w:r>
        <w:t xml:space="preserve"> The total average is based on the total of 13 individual PCRs received.  </w:t>
      </w:r>
    </w:p>
  </w:footnote>
  <w:footnote w:id="7">
    <w:p w14:paraId="4B0DCFA7" w14:textId="77777777" w:rsidR="0000445D" w:rsidRDefault="0000445D" w:rsidP="00222C40">
      <w:pPr>
        <w:pStyle w:val="FootnoteText"/>
        <w:rPr>
          <w:lang w:val="en-US"/>
        </w:rPr>
      </w:pPr>
      <w:r>
        <w:rPr>
          <w:rStyle w:val="FootnoteReference"/>
        </w:rPr>
        <w:footnoteRef/>
      </w:r>
      <w:r>
        <w:t xml:space="preserve"> Lessons learned from the individual PCRs can be found in the PCR lessons learned database: </w:t>
      </w:r>
      <w:hyperlink r:id="rId2" w:history="1">
        <w:r>
          <w:rPr>
            <w:rStyle w:val="Hyperlink"/>
            <w:lang w:val="en-US"/>
          </w:rPr>
          <w:t>http://www.multilateralfund.org/pcrindividual/search.aspx</w:t>
        </w:r>
      </w:hyperlink>
    </w:p>
  </w:footnote>
  <w:footnote w:id="8">
    <w:p w14:paraId="6BE418C0" w14:textId="77777777" w:rsidR="0000445D" w:rsidRPr="002D07D1" w:rsidRDefault="0000445D" w:rsidP="00222C40">
      <w:pPr>
        <w:pStyle w:val="FootnoteText"/>
        <w:rPr>
          <w:lang w:val="en-CA"/>
        </w:rPr>
      </w:pPr>
      <w:r>
        <w:rPr>
          <w:rStyle w:val="FootnoteReference"/>
        </w:rPr>
        <w:footnoteRef/>
      </w:r>
      <w:r>
        <w:t xml:space="preserve"> Decision 81/29.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52E0" w14:textId="77777777" w:rsidR="0000445D" w:rsidRPr="0033525D" w:rsidRDefault="003067C8">
    <w:fldSimple w:instr=" DOCPROPERTY &quot;Document number&quot;  \* MERGEFORMAT ">
      <w:r w:rsidR="0000445D">
        <w:t>UNEP/OzL.Pro/ExCom/88/19</w:t>
      </w:r>
    </w:fldSimple>
  </w:p>
  <w:p w14:paraId="77104758" w14:textId="77777777" w:rsidR="0000445D" w:rsidRPr="0033525D" w:rsidRDefault="0000445D"/>
  <w:p w14:paraId="468DF15B" w14:textId="77777777" w:rsidR="0000445D" w:rsidRPr="0033525D" w:rsidRDefault="0000445D"/>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75DC" w14:textId="4BE26D6B" w:rsidR="0000445D" w:rsidRPr="0033525D" w:rsidRDefault="003067C8" w:rsidP="002F2E98">
    <w:pPr>
      <w:jc w:val="right"/>
    </w:pPr>
    <w:fldSimple w:instr=" DOCPROPERTY &quot;Document number&quot;  \* MERGEFORMAT ">
      <w:r w:rsidR="0000445D">
        <w:t>UNEP/OzL.Pro/ExCom/88/19</w:t>
      </w:r>
    </w:fldSimple>
  </w:p>
  <w:p w14:paraId="1F6D5310" w14:textId="77777777" w:rsidR="0000445D" w:rsidRDefault="0000445D" w:rsidP="002F2E98">
    <w:pPr>
      <w:pStyle w:val="Header"/>
      <w:jc w:val="right"/>
    </w:pPr>
    <w:r>
      <w:t>Annex III</w:t>
    </w:r>
  </w:p>
  <w:p w14:paraId="401853FF" w14:textId="77777777" w:rsidR="0000445D" w:rsidRDefault="0000445D">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7513" w14:textId="63AE5577" w:rsidR="0000445D" w:rsidRPr="0033525D" w:rsidRDefault="003067C8" w:rsidP="002F2E98">
    <w:pPr>
      <w:jc w:val="right"/>
    </w:pPr>
    <w:fldSimple w:instr=" DOCPROPERTY &quot;Document number&quot;  \* MERGEFORMAT ">
      <w:r w:rsidR="0000445D">
        <w:t>UNEP/OzL.Pro/ExCom/88/19</w:t>
      </w:r>
    </w:fldSimple>
  </w:p>
  <w:p w14:paraId="2800431A" w14:textId="77777777" w:rsidR="0000445D" w:rsidRDefault="0000445D" w:rsidP="002F2E98">
    <w:pPr>
      <w:pStyle w:val="Header"/>
      <w:jc w:val="right"/>
    </w:pPr>
    <w:r>
      <w:t>Annex IV</w:t>
    </w:r>
  </w:p>
  <w:p w14:paraId="2D1B172F" w14:textId="77777777" w:rsidR="0000445D" w:rsidRDefault="0000445D">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ADA2" w14:textId="77777777" w:rsidR="0000445D" w:rsidRPr="0033525D" w:rsidRDefault="003067C8">
    <w:fldSimple w:instr=" DOCPROPERTY &quot;Document number&quot;  \* MERGEFORMAT ">
      <w:r w:rsidR="0000445D">
        <w:t>UNEP/OzL.Pro/ExCom/86/22</w:t>
      </w:r>
    </w:fldSimple>
  </w:p>
  <w:p w14:paraId="4730EDB4" w14:textId="77777777" w:rsidR="0000445D" w:rsidRPr="0033525D" w:rsidRDefault="0000445D"/>
  <w:p w14:paraId="3B1BE1AA" w14:textId="77777777" w:rsidR="0000445D" w:rsidRPr="0033525D" w:rsidRDefault="0000445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439E" w14:textId="77777777" w:rsidR="0000445D" w:rsidRPr="0033525D" w:rsidRDefault="003067C8">
    <w:pPr>
      <w:jc w:val="right"/>
    </w:pPr>
    <w:fldSimple w:instr=" DOCPROPERTY &quot;Document number&quot;  \* MERGEFORMAT ">
      <w:r w:rsidR="0000445D">
        <w:t>UNEP/OzL.Pro/ExCom/86/22</w:t>
      </w:r>
    </w:fldSimple>
  </w:p>
  <w:p w14:paraId="75DFC429" w14:textId="77777777" w:rsidR="0000445D" w:rsidRPr="0033525D" w:rsidRDefault="0000445D"/>
  <w:p w14:paraId="247548D7" w14:textId="77777777" w:rsidR="0000445D" w:rsidRPr="0033525D" w:rsidRDefault="0000445D">
    <w:pPr>
      <w:pStyle w:val="Header"/>
    </w:pPr>
  </w:p>
  <w:p w14:paraId="427821F8" w14:textId="77777777" w:rsidR="0000445D" w:rsidRDefault="0000445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2651" w14:textId="2B415189" w:rsidR="0000445D" w:rsidRPr="0033525D" w:rsidRDefault="003067C8" w:rsidP="002F2E98">
    <w:pPr>
      <w:jc w:val="right"/>
    </w:pPr>
    <w:fldSimple w:instr=" DOCPROPERTY &quot;Document number&quot;  \* MERGEFORMAT ">
      <w:r w:rsidR="0000445D">
        <w:t>UNEP/OzL.Pro/ExCom/88/19</w:t>
      </w:r>
    </w:fldSimple>
  </w:p>
  <w:p w14:paraId="24748322" w14:textId="0AC7FE72" w:rsidR="0000445D" w:rsidRDefault="0000445D" w:rsidP="00AE6605">
    <w:pPr>
      <w:pStyle w:val="Header"/>
      <w:jc w:val="right"/>
    </w:pPr>
    <w:r>
      <w:t>Annex V</w:t>
    </w:r>
  </w:p>
  <w:p w14:paraId="24D763CE" w14:textId="77777777" w:rsidR="0000445D" w:rsidRDefault="0000445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0EBE" w14:textId="77777777" w:rsidR="0000445D" w:rsidRPr="0033525D" w:rsidRDefault="003067C8">
    <w:pPr>
      <w:jc w:val="right"/>
    </w:pPr>
    <w:fldSimple w:instr=" DOCPROPERTY &quot;Document number&quot;  \* MERGEFORMAT ">
      <w:r w:rsidR="0000445D">
        <w:t>UNEP/OzL.Pro/ExCom/88/19</w:t>
      </w:r>
    </w:fldSimple>
  </w:p>
  <w:p w14:paraId="086478E7" w14:textId="77777777" w:rsidR="0000445D" w:rsidRPr="0033525D" w:rsidRDefault="0000445D"/>
  <w:p w14:paraId="117EDC49" w14:textId="77777777" w:rsidR="0000445D" w:rsidRPr="0033525D" w:rsidRDefault="000044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85B1" w14:textId="77777777" w:rsidR="0000445D" w:rsidRPr="0033525D" w:rsidRDefault="003067C8">
    <w:fldSimple w:instr=" DOCPROPERTY &quot;Document number&quot;  \* MERGEFORMAT ">
      <w:r w:rsidR="0000445D">
        <w:t>UNEP/OzL.Pro/ExCom/86/22</w:t>
      </w:r>
    </w:fldSimple>
  </w:p>
  <w:p w14:paraId="68E6BEB3" w14:textId="77777777" w:rsidR="0000445D" w:rsidRPr="0033525D" w:rsidRDefault="0000445D"/>
  <w:p w14:paraId="772ECC57" w14:textId="77777777" w:rsidR="0000445D" w:rsidRPr="0033525D" w:rsidRDefault="0000445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8628" w14:textId="77777777" w:rsidR="0000445D" w:rsidRPr="0033525D" w:rsidRDefault="003067C8">
    <w:pPr>
      <w:jc w:val="right"/>
    </w:pPr>
    <w:fldSimple w:instr=" DOCPROPERTY &quot;Document number&quot;  \* MERGEFORMAT ">
      <w:r w:rsidR="0000445D">
        <w:t>UNEP/OzL.Pro/ExCom/86/22</w:t>
      </w:r>
    </w:fldSimple>
  </w:p>
  <w:p w14:paraId="5C2E6E9E" w14:textId="77777777" w:rsidR="0000445D" w:rsidRPr="0033525D" w:rsidRDefault="0000445D"/>
  <w:p w14:paraId="7C56852D" w14:textId="77777777" w:rsidR="0000445D" w:rsidRPr="0033525D" w:rsidRDefault="0000445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6393" w14:textId="54C0C9C0" w:rsidR="0000445D" w:rsidRPr="0033525D" w:rsidRDefault="003067C8" w:rsidP="002F2E98">
    <w:pPr>
      <w:jc w:val="right"/>
    </w:pPr>
    <w:fldSimple w:instr=" DOCPROPERTY &quot;Document number&quot;  \* MERGEFORMAT ">
      <w:r w:rsidR="00014AA9">
        <w:t>UNEP/OzL.Pro/ExCom/88/19</w:t>
      </w:r>
    </w:fldSimple>
  </w:p>
  <w:p w14:paraId="35ABE042" w14:textId="77777777" w:rsidR="0000445D" w:rsidRDefault="0000445D" w:rsidP="002F2E98">
    <w:pPr>
      <w:pStyle w:val="Header"/>
      <w:jc w:val="right"/>
    </w:pPr>
    <w:r>
      <w:t>Annex I</w:t>
    </w:r>
  </w:p>
  <w:p w14:paraId="1DC7265C" w14:textId="77777777" w:rsidR="0000445D" w:rsidRDefault="0000445D" w:rsidP="00014AA9">
    <w:pPr>
      <w:pStyle w:val="Heade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40B8" w14:textId="77777777" w:rsidR="0000445D" w:rsidRPr="0033525D" w:rsidRDefault="003067C8">
    <w:fldSimple w:instr=" DOCPROPERTY &quot;Document number&quot;  \* MERGEFORMAT ">
      <w:r w:rsidR="0000445D">
        <w:t>UNEP/OzL.Pro/ExCom/86/22</w:t>
      </w:r>
    </w:fldSimple>
  </w:p>
  <w:p w14:paraId="389DA378" w14:textId="77777777" w:rsidR="0000445D" w:rsidRPr="0033525D" w:rsidRDefault="0000445D">
    <w:r>
      <w:t>Annex II</w:t>
    </w:r>
  </w:p>
  <w:p w14:paraId="1294F728" w14:textId="77777777" w:rsidR="0000445D" w:rsidRPr="0033525D" w:rsidRDefault="0000445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CA15" w14:textId="30A111CD" w:rsidR="0000445D" w:rsidRPr="0033525D" w:rsidRDefault="003067C8" w:rsidP="002F2E98">
    <w:pPr>
      <w:jc w:val="right"/>
    </w:pPr>
    <w:fldSimple w:instr=" DOCPROPERTY &quot;Document number&quot;  \* MERGEFORMAT ">
      <w:r w:rsidR="0000445D">
        <w:t>UNEP/OzL.Pro/ExCom/88/19</w:t>
      </w:r>
    </w:fldSimple>
  </w:p>
  <w:p w14:paraId="6FA13841" w14:textId="77777777" w:rsidR="0000445D" w:rsidRDefault="0000445D" w:rsidP="002F2E98">
    <w:pPr>
      <w:pStyle w:val="Header"/>
      <w:jc w:val="right"/>
    </w:pPr>
    <w:r>
      <w:t>Annex II</w:t>
    </w:r>
  </w:p>
  <w:p w14:paraId="16F81166" w14:textId="77777777" w:rsidR="0000445D" w:rsidRDefault="0000445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17E3" w14:textId="5FC2817C" w:rsidR="0000445D" w:rsidRPr="0033525D" w:rsidRDefault="003067C8">
    <w:fldSimple w:instr=" DOCPROPERTY &quot;Document number&quot;  \* MERGEFORMAT ">
      <w:r w:rsidR="0000445D">
        <w:t>UNEP/OzL.Pro/ExCom/88/19</w:t>
      </w:r>
    </w:fldSimple>
  </w:p>
  <w:p w14:paraId="6DDA1A6E" w14:textId="77777777" w:rsidR="0000445D" w:rsidRPr="0033525D" w:rsidRDefault="0000445D">
    <w:r>
      <w:t>Annex III</w:t>
    </w:r>
  </w:p>
  <w:p w14:paraId="6334EC4A" w14:textId="77777777" w:rsidR="0000445D" w:rsidRPr="0033525D" w:rsidRDefault="0000445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F654" w14:textId="77777777" w:rsidR="0000445D" w:rsidRPr="0033525D" w:rsidRDefault="003067C8">
    <w:pPr>
      <w:jc w:val="right"/>
    </w:pPr>
    <w:fldSimple w:instr=" DOCPROPERTY &quot;Document number&quot;  \* MERGEFORMAT ">
      <w:r w:rsidR="0000445D">
        <w:t>UNEP/OzL.Pro/ExCom/86/22</w:t>
      </w:r>
    </w:fldSimple>
  </w:p>
  <w:p w14:paraId="6EFDB122" w14:textId="77777777" w:rsidR="0000445D" w:rsidRPr="0033525D" w:rsidRDefault="0000445D" w:rsidP="002F2E98">
    <w:pPr>
      <w:jc w:val="right"/>
    </w:pPr>
    <w:r>
      <w:t>Annex III</w:t>
    </w:r>
  </w:p>
  <w:p w14:paraId="15814B8C" w14:textId="77777777" w:rsidR="0000445D" w:rsidRPr="0033525D" w:rsidRDefault="00004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4AE334"/>
    <w:lvl w:ilvl="0">
      <w:start w:val="1"/>
      <w:numFmt w:val="decimal"/>
      <w:pStyle w:val="Heading1"/>
      <w:lvlText w:val="%1."/>
      <w:lvlJc w:val="left"/>
      <w:pPr>
        <w:tabs>
          <w:tab w:val="num" w:pos="0"/>
        </w:tabs>
        <w:ind w:left="0" w:firstLine="0"/>
      </w:pPr>
      <w:rPr>
        <w:rFonts w:ascii="Times New Roman" w:hAnsi="Times New Roman" w:cs="Times New Roman" w:hint="default"/>
        <w:b w:val="0"/>
        <w:color w:val="auto"/>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4C251F8"/>
    <w:multiLevelType w:val="multilevel"/>
    <w:tmpl w:val="77F6B65E"/>
    <w:lvl w:ilvl="0">
      <w:start w:val="1"/>
      <w:numFmt w:val="lowerLetter"/>
      <w:lvlText w:val="(%1)"/>
      <w:lvlJc w:val="left"/>
      <w:pPr>
        <w:tabs>
          <w:tab w:val="num" w:pos="720"/>
        </w:tabs>
        <w:ind w:left="720" w:firstLine="0"/>
      </w:pPr>
    </w:lvl>
    <w:lvl w:ilvl="1">
      <w:start w:val="1"/>
      <w:numFmt w:val="lowerLetter"/>
      <w:pStyle w:val="lisa"/>
      <w:lvlText w:val="(%2)"/>
      <w:lvlJc w:val="left"/>
      <w:pPr>
        <w:tabs>
          <w:tab w:val="num" w:pos="1710"/>
        </w:tabs>
        <w:ind w:left="2430" w:hanging="720"/>
      </w:pPr>
      <w:rPr>
        <w:b/>
        <w:i w:val="0"/>
      </w:rPr>
    </w:lvl>
    <w:lvl w:ilvl="2">
      <w:start w:val="1"/>
      <w:numFmt w:val="lowerRoman"/>
      <w:lvlText w:val="(%3)"/>
      <w:lvlJc w:val="left"/>
      <w:pPr>
        <w:tabs>
          <w:tab w:val="num" w:pos="1440"/>
        </w:tabs>
        <w:ind w:left="3600" w:hanging="720"/>
      </w:pPr>
    </w:lvl>
    <w:lvl w:ilvl="3">
      <w:start w:val="1"/>
      <w:numFmt w:val="lowerLetter"/>
      <w:lvlText w:val="%4)"/>
      <w:lvlJc w:val="left"/>
      <w:pPr>
        <w:tabs>
          <w:tab w:val="num" w:pos="1440"/>
        </w:tabs>
        <w:ind w:left="4306" w:hanging="706"/>
      </w:pPr>
    </w:lvl>
    <w:lvl w:ilvl="4">
      <w:start w:val="1"/>
      <w:numFmt w:val="decimal"/>
      <w:lvlText w:val="(%5)"/>
      <w:lvlJc w:val="left"/>
      <w:pPr>
        <w:tabs>
          <w:tab w:val="num" w:pos="1440"/>
        </w:tabs>
        <w:ind w:left="5011" w:hanging="705"/>
      </w:pPr>
    </w:lvl>
    <w:lvl w:ilvl="5">
      <w:start w:val="1"/>
      <w:numFmt w:val="lowerLetter"/>
      <w:lvlText w:val="(%6)"/>
      <w:lvlJc w:val="left"/>
      <w:pPr>
        <w:tabs>
          <w:tab w:val="num" w:pos="1440"/>
        </w:tabs>
        <w:ind w:left="5731" w:hanging="720"/>
      </w:pPr>
    </w:lvl>
    <w:lvl w:ilvl="6">
      <w:start w:val="1"/>
      <w:numFmt w:val="lowerRoman"/>
      <w:lvlText w:val="(%7)"/>
      <w:lvlJc w:val="left"/>
      <w:pPr>
        <w:tabs>
          <w:tab w:val="num" w:pos="1440"/>
        </w:tabs>
        <w:ind w:left="6437" w:hanging="706"/>
      </w:pPr>
    </w:lvl>
    <w:lvl w:ilvl="7">
      <w:start w:val="1"/>
      <w:numFmt w:val="lowerLetter"/>
      <w:lvlText w:val="(%8)"/>
      <w:lvlJc w:val="left"/>
      <w:pPr>
        <w:tabs>
          <w:tab w:val="num" w:pos="1440"/>
        </w:tabs>
        <w:ind w:left="7142" w:hanging="705"/>
      </w:pPr>
    </w:lvl>
    <w:lvl w:ilvl="8">
      <w:start w:val="1"/>
      <w:numFmt w:val="lowerRoman"/>
      <w:lvlText w:val="(%9)"/>
      <w:lvlJc w:val="left"/>
      <w:pPr>
        <w:tabs>
          <w:tab w:val="num" w:pos="1440"/>
        </w:tabs>
        <w:ind w:left="7848" w:hanging="706"/>
      </w:pPr>
    </w:lvl>
  </w:abstractNum>
  <w:abstractNum w:abstractNumId="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5B004B8F"/>
    <w:multiLevelType w:val="multilevel"/>
    <w:tmpl w:val="E5487642"/>
    <w:lvl w:ilvl="0">
      <w:start w:val="1"/>
      <w:numFmt w:val="upperRoman"/>
      <w:pStyle w:val="IIntroduction"/>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0"/>
  </w:num>
  <w:num w:numId="3">
    <w:abstractNumId w:val="0"/>
  </w:num>
  <w:num w:numId="4">
    <w:abstractNumId w:val="0"/>
  </w:num>
  <w:num w:numId="5">
    <w:abstractNumId w:val="2"/>
  </w:num>
  <w:num w:numId="6">
    <w:abstractNumId w:val="4"/>
  </w:num>
  <w:num w:numId="7">
    <w:abstractNumId w:val="5"/>
  </w:num>
  <w:num w:numId="8">
    <w:abstractNumId w:val="7"/>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gFABGPPpktAAAA"/>
  </w:docVars>
  <w:rsids>
    <w:rsidRoot w:val="00222C40"/>
    <w:rsid w:val="00000FED"/>
    <w:rsid w:val="000041A8"/>
    <w:rsid w:val="0000434E"/>
    <w:rsid w:val="0000445D"/>
    <w:rsid w:val="0001081E"/>
    <w:rsid w:val="000127CD"/>
    <w:rsid w:val="00014AA9"/>
    <w:rsid w:val="000161CB"/>
    <w:rsid w:val="00020266"/>
    <w:rsid w:val="000211A9"/>
    <w:rsid w:val="00024BD0"/>
    <w:rsid w:val="00031260"/>
    <w:rsid w:val="00035042"/>
    <w:rsid w:val="0003681A"/>
    <w:rsid w:val="000372B7"/>
    <w:rsid w:val="00041030"/>
    <w:rsid w:val="000424C6"/>
    <w:rsid w:val="000437BD"/>
    <w:rsid w:val="000476AD"/>
    <w:rsid w:val="00050F6E"/>
    <w:rsid w:val="00053A54"/>
    <w:rsid w:val="00055DBE"/>
    <w:rsid w:val="00061EC2"/>
    <w:rsid w:val="000717D0"/>
    <w:rsid w:val="00072C24"/>
    <w:rsid w:val="00073086"/>
    <w:rsid w:val="00073AD2"/>
    <w:rsid w:val="00075144"/>
    <w:rsid w:val="00080ED0"/>
    <w:rsid w:val="0008449F"/>
    <w:rsid w:val="00085B8F"/>
    <w:rsid w:val="000879B7"/>
    <w:rsid w:val="00090481"/>
    <w:rsid w:val="00091332"/>
    <w:rsid w:val="00094773"/>
    <w:rsid w:val="00095C24"/>
    <w:rsid w:val="0009657E"/>
    <w:rsid w:val="000A0206"/>
    <w:rsid w:val="000A0281"/>
    <w:rsid w:val="000A3826"/>
    <w:rsid w:val="000A6C26"/>
    <w:rsid w:val="000B4AEF"/>
    <w:rsid w:val="000B77D6"/>
    <w:rsid w:val="000C5D01"/>
    <w:rsid w:val="000C78D8"/>
    <w:rsid w:val="000D1C6D"/>
    <w:rsid w:val="000D22B3"/>
    <w:rsid w:val="000D338E"/>
    <w:rsid w:val="000D3E2A"/>
    <w:rsid w:val="000D52A4"/>
    <w:rsid w:val="000D5E7F"/>
    <w:rsid w:val="000E07BC"/>
    <w:rsid w:val="000E552F"/>
    <w:rsid w:val="000E7546"/>
    <w:rsid w:val="000F1CD4"/>
    <w:rsid w:val="000F1E2D"/>
    <w:rsid w:val="000F3CE0"/>
    <w:rsid w:val="000F4103"/>
    <w:rsid w:val="000F6F60"/>
    <w:rsid w:val="000F70A7"/>
    <w:rsid w:val="000F7A2D"/>
    <w:rsid w:val="00102A32"/>
    <w:rsid w:val="00107D26"/>
    <w:rsid w:val="00110DA2"/>
    <w:rsid w:val="00113CCA"/>
    <w:rsid w:val="00114F90"/>
    <w:rsid w:val="00116739"/>
    <w:rsid w:val="00120425"/>
    <w:rsid w:val="00122F25"/>
    <w:rsid w:val="0012477D"/>
    <w:rsid w:val="001310A2"/>
    <w:rsid w:val="00135980"/>
    <w:rsid w:val="001469EB"/>
    <w:rsid w:val="001539E8"/>
    <w:rsid w:val="00164719"/>
    <w:rsid w:val="00166FC4"/>
    <w:rsid w:val="001677AC"/>
    <w:rsid w:val="00173F16"/>
    <w:rsid w:val="001755AE"/>
    <w:rsid w:val="00180366"/>
    <w:rsid w:val="001804EA"/>
    <w:rsid w:val="001834DF"/>
    <w:rsid w:val="00190A61"/>
    <w:rsid w:val="00191277"/>
    <w:rsid w:val="00192E31"/>
    <w:rsid w:val="001A3342"/>
    <w:rsid w:val="001A3E3D"/>
    <w:rsid w:val="001A7049"/>
    <w:rsid w:val="001B086A"/>
    <w:rsid w:val="001B1E40"/>
    <w:rsid w:val="001C0A2A"/>
    <w:rsid w:val="001C276C"/>
    <w:rsid w:val="001C62CE"/>
    <w:rsid w:val="001C764E"/>
    <w:rsid w:val="001D5BCC"/>
    <w:rsid w:val="001D5F3C"/>
    <w:rsid w:val="001E1052"/>
    <w:rsid w:val="001E21B1"/>
    <w:rsid w:val="001E2F93"/>
    <w:rsid w:val="001E38FB"/>
    <w:rsid w:val="001E4554"/>
    <w:rsid w:val="001E61E5"/>
    <w:rsid w:val="001E62F3"/>
    <w:rsid w:val="001E6CDA"/>
    <w:rsid w:val="001F2159"/>
    <w:rsid w:val="001F6D5C"/>
    <w:rsid w:val="001F7902"/>
    <w:rsid w:val="00200F77"/>
    <w:rsid w:val="00202317"/>
    <w:rsid w:val="002027EB"/>
    <w:rsid w:val="00210B8B"/>
    <w:rsid w:val="00210DFF"/>
    <w:rsid w:val="00214863"/>
    <w:rsid w:val="002156B4"/>
    <w:rsid w:val="00222C40"/>
    <w:rsid w:val="00224FCD"/>
    <w:rsid w:val="00237B5C"/>
    <w:rsid w:val="002400A8"/>
    <w:rsid w:val="00243CD2"/>
    <w:rsid w:val="00245DB7"/>
    <w:rsid w:val="002477E1"/>
    <w:rsid w:val="00253222"/>
    <w:rsid w:val="00261887"/>
    <w:rsid w:val="00262847"/>
    <w:rsid w:val="00263554"/>
    <w:rsid w:val="00271644"/>
    <w:rsid w:val="00277CFC"/>
    <w:rsid w:val="00281BB2"/>
    <w:rsid w:val="00282747"/>
    <w:rsid w:val="0028661D"/>
    <w:rsid w:val="002976EC"/>
    <w:rsid w:val="002A5AEA"/>
    <w:rsid w:val="002A5EFD"/>
    <w:rsid w:val="002A6C54"/>
    <w:rsid w:val="002B254E"/>
    <w:rsid w:val="002B5FA5"/>
    <w:rsid w:val="002B6E52"/>
    <w:rsid w:val="002B72E9"/>
    <w:rsid w:val="002C17C6"/>
    <w:rsid w:val="002C21AA"/>
    <w:rsid w:val="002C3FF8"/>
    <w:rsid w:val="002C7998"/>
    <w:rsid w:val="002F0A8B"/>
    <w:rsid w:val="002F1E53"/>
    <w:rsid w:val="002F2040"/>
    <w:rsid w:val="002F2CAA"/>
    <w:rsid w:val="002F2E98"/>
    <w:rsid w:val="002F5457"/>
    <w:rsid w:val="002F6A93"/>
    <w:rsid w:val="0030052C"/>
    <w:rsid w:val="00300CF0"/>
    <w:rsid w:val="00301363"/>
    <w:rsid w:val="0030643D"/>
    <w:rsid w:val="003067C8"/>
    <w:rsid w:val="00310E2F"/>
    <w:rsid w:val="00321512"/>
    <w:rsid w:val="003229D1"/>
    <w:rsid w:val="00323A06"/>
    <w:rsid w:val="0032539A"/>
    <w:rsid w:val="003306E1"/>
    <w:rsid w:val="003320E4"/>
    <w:rsid w:val="00334C7A"/>
    <w:rsid w:val="0033525D"/>
    <w:rsid w:val="0033576E"/>
    <w:rsid w:val="003414F3"/>
    <w:rsid w:val="00341652"/>
    <w:rsid w:val="0035613E"/>
    <w:rsid w:val="003575C8"/>
    <w:rsid w:val="00357EDF"/>
    <w:rsid w:val="003636CC"/>
    <w:rsid w:val="00363EE9"/>
    <w:rsid w:val="0036729E"/>
    <w:rsid w:val="00372370"/>
    <w:rsid w:val="00376128"/>
    <w:rsid w:val="0037742E"/>
    <w:rsid w:val="00377D56"/>
    <w:rsid w:val="0038245A"/>
    <w:rsid w:val="003840E6"/>
    <w:rsid w:val="00385CFC"/>
    <w:rsid w:val="00386020"/>
    <w:rsid w:val="0038684B"/>
    <w:rsid w:val="0039337A"/>
    <w:rsid w:val="003A1E4E"/>
    <w:rsid w:val="003A3189"/>
    <w:rsid w:val="003A3CA7"/>
    <w:rsid w:val="003A7741"/>
    <w:rsid w:val="003B33BD"/>
    <w:rsid w:val="003B3BA7"/>
    <w:rsid w:val="003B569D"/>
    <w:rsid w:val="003C3C0E"/>
    <w:rsid w:val="003C56CF"/>
    <w:rsid w:val="003C663E"/>
    <w:rsid w:val="003D42A6"/>
    <w:rsid w:val="003D4F21"/>
    <w:rsid w:val="003D4FAC"/>
    <w:rsid w:val="003E7906"/>
    <w:rsid w:val="003F3C50"/>
    <w:rsid w:val="003F7B40"/>
    <w:rsid w:val="00406A6A"/>
    <w:rsid w:val="00406B22"/>
    <w:rsid w:val="00410957"/>
    <w:rsid w:val="004132C6"/>
    <w:rsid w:val="0041408A"/>
    <w:rsid w:val="00415D79"/>
    <w:rsid w:val="00424DBF"/>
    <w:rsid w:val="00427451"/>
    <w:rsid w:val="004328A7"/>
    <w:rsid w:val="00434C74"/>
    <w:rsid w:val="004356A7"/>
    <w:rsid w:val="00437E93"/>
    <w:rsid w:val="004478D6"/>
    <w:rsid w:val="004557AB"/>
    <w:rsid w:val="00455FF9"/>
    <w:rsid w:val="00456EB4"/>
    <w:rsid w:val="004604EB"/>
    <w:rsid w:val="004622F8"/>
    <w:rsid w:val="004718F3"/>
    <w:rsid w:val="00475040"/>
    <w:rsid w:val="004773D4"/>
    <w:rsid w:val="00481761"/>
    <w:rsid w:val="004842E1"/>
    <w:rsid w:val="00490F4F"/>
    <w:rsid w:val="00491082"/>
    <w:rsid w:val="00493BA1"/>
    <w:rsid w:val="00493D40"/>
    <w:rsid w:val="004967B6"/>
    <w:rsid w:val="004A0387"/>
    <w:rsid w:val="004A46FC"/>
    <w:rsid w:val="004A504B"/>
    <w:rsid w:val="004A6911"/>
    <w:rsid w:val="004B2A39"/>
    <w:rsid w:val="004B4014"/>
    <w:rsid w:val="004B54E0"/>
    <w:rsid w:val="004B630A"/>
    <w:rsid w:val="004B6C33"/>
    <w:rsid w:val="004B7384"/>
    <w:rsid w:val="004B7666"/>
    <w:rsid w:val="004C0ED7"/>
    <w:rsid w:val="004C4269"/>
    <w:rsid w:val="004D045A"/>
    <w:rsid w:val="004D6236"/>
    <w:rsid w:val="004D7F90"/>
    <w:rsid w:val="004E0D8F"/>
    <w:rsid w:val="004E4DBB"/>
    <w:rsid w:val="004E4E41"/>
    <w:rsid w:val="004E5A3E"/>
    <w:rsid w:val="004E7975"/>
    <w:rsid w:val="004E7F9C"/>
    <w:rsid w:val="004F1C92"/>
    <w:rsid w:val="004F3493"/>
    <w:rsid w:val="004F3D4E"/>
    <w:rsid w:val="004F4704"/>
    <w:rsid w:val="004F5143"/>
    <w:rsid w:val="005042BF"/>
    <w:rsid w:val="00512B09"/>
    <w:rsid w:val="00513CC7"/>
    <w:rsid w:val="005220ED"/>
    <w:rsid w:val="0052290E"/>
    <w:rsid w:val="005246C9"/>
    <w:rsid w:val="005267D0"/>
    <w:rsid w:val="00530B85"/>
    <w:rsid w:val="0053337F"/>
    <w:rsid w:val="00533796"/>
    <w:rsid w:val="00537343"/>
    <w:rsid w:val="00544F4E"/>
    <w:rsid w:val="00547E39"/>
    <w:rsid w:val="00555D75"/>
    <w:rsid w:val="0056017D"/>
    <w:rsid w:val="00560DF0"/>
    <w:rsid w:val="0056759C"/>
    <w:rsid w:val="0058472B"/>
    <w:rsid w:val="0059241B"/>
    <w:rsid w:val="00592538"/>
    <w:rsid w:val="0059513E"/>
    <w:rsid w:val="005A26C2"/>
    <w:rsid w:val="005A2C01"/>
    <w:rsid w:val="005A6D9F"/>
    <w:rsid w:val="005A777A"/>
    <w:rsid w:val="005B0814"/>
    <w:rsid w:val="005B48FF"/>
    <w:rsid w:val="005B64F0"/>
    <w:rsid w:val="005B6ECB"/>
    <w:rsid w:val="005C01DE"/>
    <w:rsid w:val="005C3AAC"/>
    <w:rsid w:val="005C4DAF"/>
    <w:rsid w:val="005C5C35"/>
    <w:rsid w:val="005D1B1E"/>
    <w:rsid w:val="005D20DA"/>
    <w:rsid w:val="005D363F"/>
    <w:rsid w:val="005D77DD"/>
    <w:rsid w:val="005E0970"/>
    <w:rsid w:val="005F08B4"/>
    <w:rsid w:val="005F5162"/>
    <w:rsid w:val="005F7505"/>
    <w:rsid w:val="0060151A"/>
    <w:rsid w:val="00603321"/>
    <w:rsid w:val="00604C15"/>
    <w:rsid w:val="00605D6D"/>
    <w:rsid w:val="00605E38"/>
    <w:rsid w:val="006158A1"/>
    <w:rsid w:val="006158D5"/>
    <w:rsid w:val="00617D08"/>
    <w:rsid w:val="00625D83"/>
    <w:rsid w:val="00643337"/>
    <w:rsid w:val="0065233E"/>
    <w:rsid w:val="006524DF"/>
    <w:rsid w:val="00654468"/>
    <w:rsid w:val="00655559"/>
    <w:rsid w:val="00655C53"/>
    <w:rsid w:val="006573FE"/>
    <w:rsid w:val="00657434"/>
    <w:rsid w:val="006623E7"/>
    <w:rsid w:val="00662B80"/>
    <w:rsid w:val="00670100"/>
    <w:rsid w:val="00670F6C"/>
    <w:rsid w:val="006718C9"/>
    <w:rsid w:val="00676C3E"/>
    <w:rsid w:val="00681C69"/>
    <w:rsid w:val="006852C7"/>
    <w:rsid w:val="006852CE"/>
    <w:rsid w:val="0069054C"/>
    <w:rsid w:val="00692D14"/>
    <w:rsid w:val="006948D0"/>
    <w:rsid w:val="006A16CC"/>
    <w:rsid w:val="006A2A6C"/>
    <w:rsid w:val="006A7C08"/>
    <w:rsid w:val="006B1926"/>
    <w:rsid w:val="006B1D2C"/>
    <w:rsid w:val="006B62F4"/>
    <w:rsid w:val="006B65C7"/>
    <w:rsid w:val="006C1727"/>
    <w:rsid w:val="006C32FD"/>
    <w:rsid w:val="006C39CE"/>
    <w:rsid w:val="006C6748"/>
    <w:rsid w:val="006D0FCC"/>
    <w:rsid w:val="006D21F5"/>
    <w:rsid w:val="006D34D2"/>
    <w:rsid w:val="006D662D"/>
    <w:rsid w:val="006E0A92"/>
    <w:rsid w:val="006E126D"/>
    <w:rsid w:val="006E1FC3"/>
    <w:rsid w:val="006E7799"/>
    <w:rsid w:val="007015B6"/>
    <w:rsid w:val="00703054"/>
    <w:rsid w:val="00704CE9"/>
    <w:rsid w:val="0070616B"/>
    <w:rsid w:val="00706295"/>
    <w:rsid w:val="00706DC3"/>
    <w:rsid w:val="00706FDA"/>
    <w:rsid w:val="007079A4"/>
    <w:rsid w:val="00707D41"/>
    <w:rsid w:val="00711F9A"/>
    <w:rsid w:val="00713810"/>
    <w:rsid w:val="00714FC7"/>
    <w:rsid w:val="00720F24"/>
    <w:rsid w:val="0072518A"/>
    <w:rsid w:val="0072601A"/>
    <w:rsid w:val="007265B2"/>
    <w:rsid w:val="0072674B"/>
    <w:rsid w:val="007303A5"/>
    <w:rsid w:val="00730B3E"/>
    <w:rsid w:val="00731B98"/>
    <w:rsid w:val="0073420B"/>
    <w:rsid w:val="0073497E"/>
    <w:rsid w:val="00737E71"/>
    <w:rsid w:val="0074760E"/>
    <w:rsid w:val="00747CD0"/>
    <w:rsid w:val="00751225"/>
    <w:rsid w:val="00754ABA"/>
    <w:rsid w:val="00765981"/>
    <w:rsid w:val="00772CA3"/>
    <w:rsid w:val="0077335C"/>
    <w:rsid w:val="00773B67"/>
    <w:rsid w:val="00776043"/>
    <w:rsid w:val="00777755"/>
    <w:rsid w:val="00780E68"/>
    <w:rsid w:val="00790291"/>
    <w:rsid w:val="00795ED5"/>
    <w:rsid w:val="007A1546"/>
    <w:rsid w:val="007A228C"/>
    <w:rsid w:val="007A368E"/>
    <w:rsid w:val="007A5868"/>
    <w:rsid w:val="007A6A5C"/>
    <w:rsid w:val="007A6FC5"/>
    <w:rsid w:val="007B04CE"/>
    <w:rsid w:val="007B6871"/>
    <w:rsid w:val="007B6F73"/>
    <w:rsid w:val="007B769D"/>
    <w:rsid w:val="007B7A2F"/>
    <w:rsid w:val="007C3D33"/>
    <w:rsid w:val="007C4181"/>
    <w:rsid w:val="007C5160"/>
    <w:rsid w:val="007D294A"/>
    <w:rsid w:val="007D47D2"/>
    <w:rsid w:val="007D5761"/>
    <w:rsid w:val="007D6E7B"/>
    <w:rsid w:val="007D6EC0"/>
    <w:rsid w:val="007D7674"/>
    <w:rsid w:val="007D7E1D"/>
    <w:rsid w:val="007E0A31"/>
    <w:rsid w:val="007E0EA4"/>
    <w:rsid w:val="007E13D1"/>
    <w:rsid w:val="007F1736"/>
    <w:rsid w:val="007F3233"/>
    <w:rsid w:val="007F66F0"/>
    <w:rsid w:val="00803669"/>
    <w:rsid w:val="0080711E"/>
    <w:rsid w:val="00807366"/>
    <w:rsid w:val="00810DE4"/>
    <w:rsid w:val="00817715"/>
    <w:rsid w:val="00826265"/>
    <w:rsid w:val="00831979"/>
    <w:rsid w:val="00832407"/>
    <w:rsid w:val="00836081"/>
    <w:rsid w:val="008450A4"/>
    <w:rsid w:val="008466D1"/>
    <w:rsid w:val="008504E3"/>
    <w:rsid w:val="00851352"/>
    <w:rsid w:val="00854001"/>
    <w:rsid w:val="0085428B"/>
    <w:rsid w:val="008552AB"/>
    <w:rsid w:val="00857077"/>
    <w:rsid w:val="00863230"/>
    <w:rsid w:val="00865BD0"/>
    <w:rsid w:val="00865EC8"/>
    <w:rsid w:val="008660F5"/>
    <w:rsid w:val="00870853"/>
    <w:rsid w:val="008717D8"/>
    <w:rsid w:val="0087215C"/>
    <w:rsid w:val="00873DDC"/>
    <w:rsid w:val="00875D25"/>
    <w:rsid w:val="00880E35"/>
    <w:rsid w:val="008854C6"/>
    <w:rsid w:val="008875FE"/>
    <w:rsid w:val="00887F8E"/>
    <w:rsid w:val="008916A8"/>
    <w:rsid w:val="0089262E"/>
    <w:rsid w:val="00894B2D"/>
    <w:rsid w:val="00896234"/>
    <w:rsid w:val="00897E43"/>
    <w:rsid w:val="008B0590"/>
    <w:rsid w:val="008B2186"/>
    <w:rsid w:val="008B432D"/>
    <w:rsid w:val="008B5450"/>
    <w:rsid w:val="008B76DE"/>
    <w:rsid w:val="008B7F68"/>
    <w:rsid w:val="008C5738"/>
    <w:rsid w:val="008C7EAD"/>
    <w:rsid w:val="008D0CFE"/>
    <w:rsid w:val="008D6152"/>
    <w:rsid w:val="008E7E9D"/>
    <w:rsid w:val="008F0F81"/>
    <w:rsid w:val="008F27BF"/>
    <w:rsid w:val="008F5A81"/>
    <w:rsid w:val="009142EC"/>
    <w:rsid w:val="009154C3"/>
    <w:rsid w:val="0091660A"/>
    <w:rsid w:val="00920AE9"/>
    <w:rsid w:val="009217B4"/>
    <w:rsid w:val="0092307B"/>
    <w:rsid w:val="00923540"/>
    <w:rsid w:val="00925391"/>
    <w:rsid w:val="00925EB5"/>
    <w:rsid w:val="00926767"/>
    <w:rsid w:val="009361D5"/>
    <w:rsid w:val="009406FC"/>
    <w:rsid w:val="009428A4"/>
    <w:rsid w:val="00953D3F"/>
    <w:rsid w:val="009608D8"/>
    <w:rsid w:val="0096302A"/>
    <w:rsid w:val="009659F4"/>
    <w:rsid w:val="0096639F"/>
    <w:rsid w:val="0096690A"/>
    <w:rsid w:val="00970D60"/>
    <w:rsid w:val="009727EE"/>
    <w:rsid w:val="00972E40"/>
    <w:rsid w:val="0097510B"/>
    <w:rsid w:val="00976C0B"/>
    <w:rsid w:val="0099390E"/>
    <w:rsid w:val="009960E5"/>
    <w:rsid w:val="00996278"/>
    <w:rsid w:val="00996C4C"/>
    <w:rsid w:val="009A7ADC"/>
    <w:rsid w:val="009B50B4"/>
    <w:rsid w:val="009C19B7"/>
    <w:rsid w:val="009C1AC0"/>
    <w:rsid w:val="009C4CF8"/>
    <w:rsid w:val="009C5ABB"/>
    <w:rsid w:val="009D31BC"/>
    <w:rsid w:val="009D7C51"/>
    <w:rsid w:val="009E196C"/>
    <w:rsid w:val="009F2C38"/>
    <w:rsid w:val="009F33A7"/>
    <w:rsid w:val="009F36BF"/>
    <w:rsid w:val="00A0644B"/>
    <w:rsid w:val="00A111B6"/>
    <w:rsid w:val="00A16EC5"/>
    <w:rsid w:val="00A2037D"/>
    <w:rsid w:val="00A223E2"/>
    <w:rsid w:val="00A23E1D"/>
    <w:rsid w:val="00A26D27"/>
    <w:rsid w:val="00A30B26"/>
    <w:rsid w:val="00A376EE"/>
    <w:rsid w:val="00A42A99"/>
    <w:rsid w:val="00A463DC"/>
    <w:rsid w:val="00A5151A"/>
    <w:rsid w:val="00A5344D"/>
    <w:rsid w:val="00A54CEA"/>
    <w:rsid w:val="00A5518B"/>
    <w:rsid w:val="00A57E0A"/>
    <w:rsid w:val="00A61FAF"/>
    <w:rsid w:val="00A721DA"/>
    <w:rsid w:val="00A823F6"/>
    <w:rsid w:val="00A8275C"/>
    <w:rsid w:val="00A831F4"/>
    <w:rsid w:val="00A853F9"/>
    <w:rsid w:val="00A8683A"/>
    <w:rsid w:val="00A8719E"/>
    <w:rsid w:val="00A91CD0"/>
    <w:rsid w:val="00A97DF5"/>
    <w:rsid w:val="00AA0A89"/>
    <w:rsid w:val="00AA439A"/>
    <w:rsid w:val="00AA5AFA"/>
    <w:rsid w:val="00AA6429"/>
    <w:rsid w:val="00AB200D"/>
    <w:rsid w:val="00AB23B3"/>
    <w:rsid w:val="00AB6D98"/>
    <w:rsid w:val="00AC01AA"/>
    <w:rsid w:val="00AC4F72"/>
    <w:rsid w:val="00AD05C2"/>
    <w:rsid w:val="00AD15F0"/>
    <w:rsid w:val="00AD5C4D"/>
    <w:rsid w:val="00AD7282"/>
    <w:rsid w:val="00AE0C27"/>
    <w:rsid w:val="00AE6605"/>
    <w:rsid w:val="00AE76B4"/>
    <w:rsid w:val="00AF1FF9"/>
    <w:rsid w:val="00AF2645"/>
    <w:rsid w:val="00AF3406"/>
    <w:rsid w:val="00AF61A0"/>
    <w:rsid w:val="00AF741A"/>
    <w:rsid w:val="00B01ADB"/>
    <w:rsid w:val="00B04161"/>
    <w:rsid w:val="00B056F9"/>
    <w:rsid w:val="00B10C7A"/>
    <w:rsid w:val="00B11B27"/>
    <w:rsid w:val="00B11E3D"/>
    <w:rsid w:val="00B12990"/>
    <w:rsid w:val="00B14196"/>
    <w:rsid w:val="00B14276"/>
    <w:rsid w:val="00B15A02"/>
    <w:rsid w:val="00B17E82"/>
    <w:rsid w:val="00B245EE"/>
    <w:rsid w:val="00B2598B"/>
    <w:rsid w:val="00B25D10"/>
    <w:rsid w:val="00B32C8C"/>
    <w:rsid w:val="00B35DB3"/>
    <w:rsid w:val="00B45304"/>
    <w:rsid w:val="00B4575A"/>
    <w:rsid w:val="00B52564"/>
    <w:rsid w:val="00B5277F"/>
    <w:rsid w:val="00B54E30"/>
    <w:rsid w:val="00B56FE0"/>
    <w:rsid w:val="00B57557"/>
    <w:rsid w:val="00B575BA"/>
    <w:rsid w:val="00B60665"/>
    <w:rsid w:val="00B71608"/>
    <w:rsid w:val="00B74E41"/>
    <w:rsid w:val="00B76429"/>
    <w:rsid w:val="00B805BF"/>
    <w:rsid w:val="00B92D93"/>
    <w:rsid w:val="00B93466"/>
    <w:rsid w:val="00B956D4"/>
    <w:rsid w:val="00B96AA0"/>
    <w:rsid w:val="00B97446"/>
    <w:rsid w:val="00BA2624"/>
    <w:rsid w:val="00BA4CCB"/>
    <w:rsid w:val="00BA7432"/>
    <w:rsid w:val="00BB2764"/>
    <w:rsid w:val="00BB454B"/>
    <w:rsid w:val="00BB50A4"/>
    <w:rsid w:val="00BC18A8"/>
    <w:rsid w:val="00BC1AA0"/>
    <w:rsid w:val="00BC1D0A"/>
    <w:rsid w:val="00BC2495"/>
    <w:rsid w:val="00BC6059"/>
    <w:rsid w:val="00BC7EB9"/>
    <w:rsid w:val="00BD2643"/>
    <w:rsid w:val="00BD56B1"/>
    <w:rsid w:val="00BD6558"/>
    <w:rsid w:val="00BE1D11"/>
    <w:rsid w:val="00BE5F60"/>
    <w:rsid w:val="00BE60DD"/>
    <w:rsid w:val="00BE7E68"/>
    <w:rsid w:val="00BF1575"/>
    <w:rsid w:val="00BF2F76"/>
    <w:rsid w:val="00BF3022"/>
    <w:rsid w:val="00BF3214"/>
    <w:rsid w:val="00BF5492"/>
    <w:rsid w:val="00BF5573"/>
    <w:rsid w:val="00BF6148"/>
    <w:rsid w:val="00BF64E3"/>
    <w:rsid w:val="00C00012"/>
    <w:rsid w:val="00C07929"/>
    <w:rsid w:val="00C113ED"/>
    <w:rsid w:val="00C1577D"/>
    <w:rsid w:val="00C15867"/>
    <w:rsid w:val="00C179CB"/>
    <w:rsid w:val="00C2296D"/>
    <w:rsid w:val="00C23155"/>
    <w:rsid w:val="00C32091"/>
    <w:rsid w:val="00C4081E"/>
    <w:rsid w:val="00C40C41"/>
    <w:rsid w:val="00C45816"/>
    <w:rsid w:val="00C45885"/>
    <w:rsid w:val="00C50F22"/>
    <w:rsid w:val="00C54B2B"/>
    <w:rsid w:val="00C57971"/>
    <w:rsid w:val="00C60C62"/>
    <w:rsid w:val="00C60F9B"/>
    <w:rsid w:val="00C63921"/>
    <w:rsid w:val="00C64E51"/>
    <w:rsid w:val="00C65BD7"/>
    <w:rsid w:val="00C665BA"/>
    <w:rsid w:val="00C71292"/>
    <w:rsid w:val="00C76BA4"/>
    <w:rsid w:val="00C8250D"/>
    <w:rsid w:val="00C83A48"/>
    <w:rsid w:val="00C85865"/>
    <w:rsid w:val="00C85E85"/>
    <w:rsid w:val="00C94A4A"/>
    <w:rsid w:val="00C959F1"/>
    <w:rsid w:val="00CA2A53"/>
    <w:rsid w:val="00CA2C22"/>
    <w:rsid w:val="00CA2EAE"/>
    <w:rsid w:val="00CA38BF"/>
    <w:rsid w:val="00CA4AC1"/>
    <w:rsid w:val="00CB0316"/>
    <w:rsid w:val="00CB0B11"/>
    <w:rsid w:val="00CB426A"/>
    <w:rsid w:val="00CB5354"/>
    <w:rsid w:val="00CB6784"/>
    <w:rsid w:val="00CB67EF"/>
    <w:rsid w:val="00CC3C9E"/>
    <w:rsid w:val="00CC6A14"/>
    <w:rsid w:val="00CC70A3"/>
    <w:rsid w:val="00CD3A09"/>
    <w:rsid w:val="00CD4442"/>
    <w:rsid w:val="00CD4955"/>
    <w:rsid w:val="00CD53C3"/>
    <w:rsid w:val="00CD574E"/>
    <w:rsid w:val="00CD5E5A"/>
    <w:rsid w:val="00CD758C"/>
    <w:rsid w:val="00CE4C22"/>
    <w:rsid w:val="00CF00E0"/>
    <w:rsid w:val="00CF1577"/>
    <w:rsid w:val="00CF2A23"/>
    <w:rsid w:val="00CF4114"/>
    <w:rsid w:val="00CF41EC"/>
    <w:rsid w:val="00CF5D04"/>
    <w:rsid w:val="00D02CF4"/>
    <w:rsid w:val="00D04DE4"/>
    <w:rsid w:val="00D063F1"/>
    <w:rsid w:val="00D0644A"/>
    <w:rsid w:val="00D06E39"/>
    <w:rsid w:val="00D10596"/>
    <w:rsid w:val="00D10E14"/>
    <w:rsid w:val="00D14F22"/>
    <w:rsid w:val="00D1509A"/>
    <w:rsid w:val="00D1675A"/>
    <w:rsid w:val="00D20704"/>
    <w:rsid w:val="00D20963"/>
    <w:rsid w:val="00D42FAD"/>
    <w:rsid w:val="00D44954"/>
    <w:rsid w:val="00D4741C"/>
    <w:rsid w:val="00D478B8"/>
    <w:rsid w:val="00D51314"/>
    <w:rsid w:val="00D52A62"/>
    <w:rsid w:val="00D564A6"/>
    <w:rsid w:val="00D5676A"/>
    <w:rsid w:val="00D57918"/>
    <w:rsid w:val="00D607B9"/>
    <w:rsid w:val="00D62681"/>
    <w:rsid w:val="00D73790"/>
    <w:rsid w:val="00D73DC6"/>
    <w:rsid w:val="00D74C1A"/>
    <w:rsid w:val="00D754C1"/>
    <w:rsid w:val="00D77393"/>
    <w:rsid w:val="00D77A35"/>
    <w:rsid w:val="00D81B3E"/>
    <w:rsid w:val="00D8550C"/>
    <w:rsid w:val="00D86027"/>
    <w:rsid w:val="00D86F23"/>
    <w:rsid w:val="00D870EB"/>
    <w:rsid w:val="00D87FA7"/>
    <w:rsid w:val="00D90C38"/>
    <w:rsid w:val="00D90C70"/>
    <w:rsid w:val="00D90E49"/>
    <w:rsid w:val="00D930A1"/>
    <w:rsid w:val="00D95261"/>
    <w:rsid w:val="00D96ADE"/>
    <w:rsid w:val="00DA0CE2"/>
    <w:rsid w:val="00DA1B61"/>
    <w:rsid w:val="00DA65AF"/>
    <w:rsid w:val="00DA724A"/>
    <w:rsid w:val="00DB54A7"/>
    <w:rsid w:val="00DC6A10"/>
    <w:rsid w:val="00DD415D"/>
    <w:rsid w:val="00DE09EE"/>
    <w:rsid w:val="00DE5BFC"/>
    <w:rsid w:val="00DE657E"/>
    <w:rsid w:val="00DF0DA2"/>
    <w:rsid w:val="00DF4603"/>
    <w:rsid w:val="00DF4704"/>
    <w:rsid w:val="00DF5184"/>
    <w:rsid w:val="00E024AA"/>
    <w:rsid w:val="00E029F6"/>
    <w:rsid w:val="00E03C1D"/>
    <w:rsid w:val="00E15C77"/>
    <w:rsid w:val="00E15E2B"/>
    <w:rsid w:val="00E16AB3"/>
    <w:rsid w:val="00E17E80"/>
    <w:rsid w:val="00E2327A"/>
    <w:rsid w:val="00E23709"/>
    <w:rsid w:val="00E250F1"/>
    <w:rsid w:val="00E25766"/>
    <w:rsid w:val="00E27A05"/>
    <w:rsid w:val="00E3550D"/>
    <w:rsid w:val="00E359FB"/>
    <w:rsid w:val="00E447A2"/>
    <w:rsid w:val="00E4533C"/>
    <w:rsid w:val="00E46AAA"/>
    <w:rsid w:val="00E522AC"/>
    <w:rsid w:val="00E52838"/>
    <w:rsid w:val="00E52F73"/>
    <w:rsid w:val="00E60644"/>
    <w:rsid w:val="00E614E0"/>
    <w:rsid w:val="00E6546D"/>
    <w:rsid w:val="00E73F7F"/>
    <w:rsid w:val="00E76643"/>
    <w:rsid w:val="00E82F97"/>
    <w:rsid w:val="00E8322C"/>
    <w:rsid w:val="00E85409"/>
    <w:rsid w:val="00E87466"/>
    <w:rsid w:val="00E9186A"/>
    <w:rsid w:val="00E93321"/>
    <w:rsid w:val="00E94AD7"/>
    <w:rsid w:val="00E97469"/>
    <w:rsid w:val="00EA1B43"/>
    <w:rsid w:val="00EA429F"/>
    <w:rsid w:val="00EA4F9E"/>
    <w:rsid w:val="00EA63CA"/>
    <w:rsid w:val="00EA6D3B"/>
    <w:rsid w:val="00EA734C"/>
    <w:rsid w:val="00EA764F"/>
    <w:rsid w:val="00EB00AD"/>
    <w:rsid w:val="00EB12EE"/>
    <w:rsid w:val="00EB136C"/>
    <w:rsid w:val="00EB28B4"/>
    <w:rsid w:val="00EB2D68"/>
    <w:rsid w:val="00EB390D"/>
    <w:rsid w:val="00EB480E"/>
    <w:rsid w:val="00EB4D0A"/>
    <w:rsid w:val="00EB5EC6"/>
    <w:rsid w:val="00EB73F4"/>
    <w:rsid w:val="00EB7FC9"/>
    <w:rsid w:val="00ED27E8"/>
    <w:rsid w:val="00ED28E3"/>
    <w:rsid w:val="00ED7027"/>
    <w:rsid w:val="00ED7137"/>
    <w:rsid w:val="00EE05AC"/>
    <w:rsid w:val="00EE19FC"/>
    <w:rsid w:val="00EE39AD"/>
    <w:rsid w:val="00EE5AA7"/>
    <w:rsid w:val="00EE71AE"/>
    <w:rsid w:val="00EE7BC5"/>
    <w:rsid w:val="00EF06EA"/>
    <w:rsid w:val="00EF09FA"/>
    <w:rsid w:val="00EF3A2C"/>
    <w:rsid w:val="00EF765B"/>
    <w:rsid w:val="00F1002E"/>
    <w:rsid w:val="00F13FD8"/>
    <w:rsid w:val="00F14B86"/>
    <w:rsid w:val="00F20FA2"/>
    <w:rsid w:val="00F21088"/>
    <w:rsid w:val="00F32461"/>
    <w:rsid w:val="00F327E7"/>
    <w:rsid w:val="00F34237"/>
    <w:rsid w:val="00F345E1"/>
    <w:rsid w:val="00F35568"/>
    <w:rsid w:val="00F35746"/>
    <w:rsid w:val="00F36CB8"/>
    <w:rsid w:val="00F42322"/>
    <w:rsid w:val="00F447C7"/>
    <w:rsid w:val="00F44C82"/>
    <w:rsid w:val="00F459B4"/>
    <w:rsid w:val="00F46E40"/>
    <w:rsid w:val="00F5211B"/>
    <w:rsid w:val="00F5351A"/>
    <w:rsid w:val="00F53FB0"/>
    <w:rsid w:val="00F554A9"/>
    <w:rsid w:val="00F60AC9"/>
    <w:rsid w:val="00F6280F"/>
    <w:rsid w:val="00F716FD"/>
    <w:rsid w:val="00F76746"/>
    <w:rsid w:val="00F77ED3"/>
    <w:rsid w:val="00F80355"/>
    <w:rsid w:val="00F84557"/>
    <w:rsid w:val="00F87C43"/>
    <w:rsid w:val="00F94F23"/>
    <w:rsid w:val="00F97AFB"/>
    <w:rsid w:val="00FA628C"/>
    <w:rsid w:val="00FB0C81"/>
    <w:rsid w:val="00FB7E2D"/>
    <w:rsid w:val="00FC2200"/>
    <w:rsid w:val="00FC2540"/>
    <w:rsid w:val="00FC43DF"/>
    <w:rsid w:val="00FD02B0"/>
    <w:rsid w:val="00FD463D"/>
    <w:rsid w:val="00FD67B0"/>
    <w:rsid w:val="00FD76FE"/>
    <w:rsid w:val="00FE48A9"/>
    <w:rsid w:val="00FE4BE2"/>
    <w:rsid w:val="00FF0204"/>
    <w:rsid w:val="00FF2B19"/>
    <w:rsid w:val="00FF3995"/>
    <w:rsid w:val="00FF3AED"/>
    <w:rsid w:val="00FF59BB"/>
    <w:rsid w:val="00FF5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31B55"/>
  <w15:docId w15:val="{498D1FC7-DF22-4BA4-99F8-0EE5F43C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9"/>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5"/>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6"/>
      </w:numPr>
    </w:pPr>
  </w:style>
  <w:style w:type="numbering" w:styleId="ArticleSection">
    <w:name w:val="Outline List 3"/>
    <w:basedOn w:val="NoList"/>
    <w:semiHidden/>
    <w:rsid w:val="00493D40"/>
    <w:pPr>
      <w:numPr>
        <w:numId w:val="7"/>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8"/>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basedOn w:val="Normal"/>
    <w:link w:val="FootnoteTextChar"/>
    <w:uiPriority w:val="99"/>
    <w:unhideWhenUsed/>
    <w:rsid w:val="006E126D"/>
    <w:rPr>
      <w:sz w:val="20"/>
      <w:szCs w:val="20"/>
    </w:rPr>
  </w:style>
  <w:style w:type="character" w:customStyle="1" w:styleId="FootnoteTextChar">
    <w:name w:val="Footnote Text Char"/>
    <w:basedOn w:val="DefaultParagraphFont"/>
    <w:link w:val="FootnoteText"/>
    <w:uiPriority w:val="99"/>
    <w:rsid w:val="006E126D"/>
    <w:rPr>
      <w:lang w:val="en-GB"/>
    </w:rPr>
  </w:style>
  <w:style w:type="character" w:styleId="FootnoteReference">
    <w:name w:val="footnote reference"/>
    <w:aliases w:val="Footnote text,Footnote Text1,Footnote Text2"/>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rsid w:val="00222C40"/>
    <w:rPr>
      <w:sz w:val="22"/>
      <w:szCs w:val="22"/>
      <w:lang w:val="en-GB"/>
    </w:rPr>
  </w:style>
  <w:style w:type="paragraph" w:customStyle="1" w:styleId="lisa">
    <w:name w:val="lisa"/>
    <w:basedOn w:val="Normal"/>
    <w:rsid w:val="00222C40"/>
    <w:pPr>
      <w:widowControl w:val="0"/>
      <w:numPr>
        <w:ilvl w:val="1"/>
        <w:numId w:val="11"/>
      </w:numPr>
      <w:spacing w:after="240"/>
      <w:outlineLvl w:val="1"/>
    </w:pPr>
    <w:rPr>
      <w:b/>
      <w:szCs w:val="24"/>
    </w:rPr>
  </w:style>
  <w:style w:type="character" w:styleId="Hyperlink">
    <w:name w:val="Hyperlink"/>
    <w:basedOn w:val="DefaultParagraphFont"/>
    <w:uiPriority w:val="99"/>
    <w:semiHidden/>
    <w:unhideWhenUsed/>
    <w:rsid w:val="00222C40"/>
    <w:rPr>
      <w:color w:val="0000FF"/>
      <w:u w:val="single"/>
    </w:rPr>
  </w:style>
  <w:style w:type="paragraph" w:customStyle="1" w:styleId="IIntroduction">
    <w:name w:val="I. Introduction"/>
    <w:basedOn w:val="Normal"/>
    <w:rsid w:val="00222C40"/>
    <w:pPr>
      <w:numPr>
        <w:numId w:val="12"/>
      </w:numPr>
      <w:spacing w:before="240" w:after="240"/>
    </w:pPr>
    <w:rPr>
      <w:b/>
      <w:sz w:val="24"/>
      <w:szCs w:val="20"/>
    </w:rPr>
  </w:style>
  <w:style w:type="character" w:customStyle="1" w:styleId="FooterChar">
    <w:name w:val="Footer Char"/>
    <w:basedOn w:val="DefaultParagraphFont"/>
    <w:link w:val="Footer"/>
    <w:uiPriority w:val="99"/>
    <w:rsid w:val="00222C40"/>
    <w:rPr>
      <w:sz w:val="22"/>
      <w:szCs w:val="22"/>
      <w:lang w:val="en-GB"/>
    </w:rPr>
  </w:style>
  <w:style w:type="paragraph" w:styleId="ListParagraph">
    <w:name w:val="List Paragraph"/>
    <w:basedOn w:val="Normal"/>
    <w:uiPriority w:val="34"/>
    <w:qFormat/>
    <w:rsid w:val="0022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3014">
      <w:bodyDiv w:val="1"/>
      <w:marLeft w:val="0"/>
      <w:marRight w:val="0"/>
      <w:marTop w:val="0"/>
      <w:marBottom w:val="0"/>
      <w:divBdr>
        <w:top w:val="none" w:sz="0" w:space="0" w:color="auto"/>
        <w:left w:val="none" w:sz="0" w:space="0" w:color="auto"/>
        <w:bottom w:val="none" w:sz="0" w:space="0" w:color="auto"/>
        <w:right w:val="none" w:sz="0" w:space="0" w:color="auto"/>
      </w:divBdr>
    </w:div>
    <w:div w:id="60173979">
      <w:bodyDiv w:val="1"/>
      <w:marLeft w:val="0"/>
      <w:marRight w:val="0"/>
      <w:marTop w:val="0"/>
      <w:marBottom w:val="0"/>
      <w:divBdr>
        <w:top w:val="none" w:sz="0" w:space="0" w:color="auto"/>
        <w:left w:val="none" w:sz="0" w:space="0" w:color="auto"/>
        <w:bottom w:val="none" w:sz="0" w:space="0" w:color="auto"/>
        <w:right w:val="none" w:sz="0" w:space="0" w:color="auto"/>
      </w:divBdr>
    </w:div>
    <w:div w:id="74330113">
      <w:bodyDiv w:val="1"/>
      <w:marLeft w:val="0"/>
      <w:marRight w:val="0"/>
      <w:marTop w:val="0"/>
      <w:marBottom w:val="0"/>
      <w:divBdr>
        <w:top w:val="none" w:sz="0" w:space="0" w:color="auto"/>
        <w:left w:val="none" w:sz="0" w:space="0" w:color="auto"/>
        <w:bottom w:val="none" w:sz="0" w:space="0" w:color="auto"/>
        <w:right w:val="none" w:sz="0" w:space="0" w:color="auto"/>
      </w:divBdr>
    </w:div>
    <w:div w:id="176778727">
      <w:bodyDiv w:val="1"/>
      <w:marLeft w:val="0"/>
      <w:marRight w:val="0"/>
      <w:marTop w:val="0"/>
      <w:marBottom w:val="0"/>
      <w:divBdr>
        <w:top w:val="none" w:sz="0" w:space="0" w:color="auto"/>
        <w:left w:val="none" w:sz="0" w:space="0" w:color="auto"/>
        <w:bottom w:val="none" w:sz="0" w:space="0" w:color="auto"/>
        <w:right w:val="none" w:sz="0" w:space="0" w:color="auto"/>
      </w:divBdr>
    </w:div>
    <w:div w:id="231353475">
      <w:bodyDiv w:val="1"/>
      <w:marLeft w:val="0"/>
      <w:marRight w:val="0"/>
      <w:marTop w:val="0"/>
      <w:marBottom w:val="0"/>
      <w:divBdr>
        <w:top w:val="none" w:sz="0" w:space="0" w:color="auto"/>
        <w:left w:val="none" w:sz="0" w:space="0" w:color="auto"/>
        <w:bottom w:val="none" w:sz="0" w:space="0" w:color="auto"/>
        <w:right w:val="none" w:sz="0" w:space="0" w:color="auto"/>
      </w:divBdr>
    </w:div>
    <w:div w:id="268897173">
      <w:bodyDiv w:val="1"/>
      <w:marLeft w:val="0"/>
      <w:marRight w:val="0"/>
      <w:marTop w:val="0"/>
      <w:marBottom w:val="0"/>
      <w:divBdr>
        <w:top w:val="none" w:sz="0" w:space="0" w:color="auto"/>
        <w:left w:val="none" w:sz="0" w:space="0" w:color="auto"/>
        <w:bottom w:val="none" w:sz="0" w:space="0" w:color="auto"/>
        <w:right w:val="none" w:sz="0" w:space="0" w:color="auto"/>
      </w:divBdr>
    </w:div>
    <w:div w:id="280041426">
      <w:bodyDiv w:val="1"/>
      <w:marLeft w:val="0"/>
      <w:marRight w:val="0"/>
      <w:marTop w:val="0"/>
      <w:marBottom w:val="0"/>
      <w:divBdr>
        <w:top w:val="none" w:sz="0" w:space="0" w:color="auto"/>
        <w:left w:val="none" w:sz="0" w:space="0" w:color="auto"/>
        <w:bottom w:val="none" w:sz="0" w:space="0" w:color="auto"/>
        <w:right w:val="none" w:sz="0" w:space="0" w:color="auto"/>
      </w:divBdr>
    </w:div>
    <w:div w:id="414203608">
      <w:bodyDiv w:val="1"/>
      <w:marLeft w:val="0"/>
      <w:marRight w:val="0"/>
      <w:marTop w:val="0"/>
      <w:marBottom w:val="0"/>
      <w:divBdr>
        <w:top w:val="none" w:sz="0" w:space="0" w:color="auto"/>
        <w:left w:val="none" w:sz="0" w:space="0" w:color="auto"/>
        <w:bottom w:val="none" w:sz="0" w:space="0" w:color="auto"/>
        <w:right w:val="none" w:sz="0" w:space="0" w:color="auto"/>
      </w:divBdr>
    </w:div>
    <w:div w:id="536818277">
      <w:bodyDiv w:val="1"/>
      <w:marLeft w:val="0"/>
      <w:marRight w:val="0"/>
      <w:marTop w:val="0"/>
      <w:marBottom w:val="0"/>
      <w:divBdr>
        <w:top w:val="none" w:sz="0" w:space="0" w:color="auto"/>
        <w:left w:val="none" w:sz="0" w:space="0" w:color="auto"/>
        <w:bottom w:val="none" w:sz="0" w:space="0" w:color="auto"/>
        <w:right w:val="none" w:sz="0" w:space="0" w:color="auto"/>
      </w:divBdr>
    </w:div>
    <w:div w:id="701176185">
      <w:bodyDiv w:val="1"/>
      <w:marLeft w:val="0"/>
      <w:marRight w:val="0"/>
      <w:marTop w:val="0"/>
      <w:marBottom w:val="0"/>
      <w:divBdr>
        <w:top w:val="none" w:sz="0" w:space="0" w:color="auto"/>
        <w:left w:val="none" w:sz="0" w:space="0" w:color="auto"/>
        <w:bottom w:val="none" w:sz="0" w:space="0" w:color="auto"/>
        <w:right w:val="none" w:sz="0" w:space="0" w:color="auto"/>
      </w:divBdr>
    </w:div>
    <w:div w:id="795216611">
      <w:bodyDiv w:val="1"/>
      <w:marLeft w:val="0"/>
      <w:marRight w:val="0"/>
      <w:marTop w:val="0"/>
      <w:marBottom w:val="0"/>
      <w:divBdr>
        <w:top w:val="none" w:sz="0" w:space="0" w:color="auto"/>
        <w:left w:val="none" w:sz="0" w:space="0" w:color="auto"/>
        <w:bottom w:val="none" w:sz="0" w:space="0" w:color="auto"/>
        <w:right w:val="none" w:sz="0" w:space="0" w:color="auto"/>
      </w:divBdr>
    </w:div>
    <w:div w:id="849026951">
      <w:bodyDiv w:val="1"/>
      <w:marLeft w:val="0"/>
      <w:marRight w:val="0"/>
      <w:marTop w:val="0"/>
      <w:marBottom w:val="0"/>
      <w:divBdr>
        <w:top w:val="none" w:sz="0" w:space="0" w:color="auto"/>
        <w:left w:val="none" w:sz="0" w:space="0" w:color="auto"/>
        <w:bottom w:val="none" w:sz="0" w:space="0" w:color="auto"/>
        <w:right w:val="none" w:sz="0" w:space="0" w:color="auto"/>
      </w:divBdr>
    </w:div>
    <w:div w:id="1094010547">
      <w:bodyDiv w:val="1"/>
      <w:marLeft w:val="0"/>
      <w:marRight w:val="0"/>
      <w:marTop w:val="0"/>
      <w:marBottom w:val="0"/>
      <w:divBdr>
        <w:top w:val="none" w:sz="0" w:space="0" w:color="auto"/>
        <w:left w:val="none" w:sz="0" w:space="0" w:color="auto"/>
        <w:bottom w:val="none" w:sz="0" w:space="0" w:color="auto"/>
        <w:right w:val="none" w:sz="0" w:space="0" w:color="auto"/>
      </w:divBdr>
    </w:div>
    <w:div w:id="1260915044">
      <w:bodyDiv w:val="1"/>
      <w:marLeft w:val="0"/>
      <w:marRight w:val="0"/>
      <w:marTop w:val="0"/>
      <w:marBottom w:val="0"/>
      <w:divBdr>
        <w:top w:val="none" w:sz="0" w:space="0" w:color="auto"/>
        <w:left w:val="none" w:sz="0" w:space="0" w:color="auto"/>
        <w:bottom w:val="none" w:sz="0" w:space="0" w:color="auto"/>
        <w:right w:val="none" w:sz="0" w:space="0" w:color="auto"/>
      </w:divBdr>
    </w:div>
    <w:div w:id="1766027279">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6.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1.xml"/></Relationships>
</file>

<file path=word/_rels/footnotes.xml.rels><?xml version="1.0" encoding="UTF-8" standalone="yes"?>
<Relationships xmlns="http://schemas.openxmlformats.org/package/2006/relationships"><Relationship Id="rId2" Type="http://schemas.openxmlformats.org/officeDocument/2006/relationships/hyperlink" Target="http://www.multilateralfund.org/pcrindividual/search.aspx" TargetMode="External"/><Relationship Id="rId1" Type="http://schemas.openxmlformats.org/officeDocument/2006/relationships/hyperlink" Target="http://www.multilateralfund.org/pcrmya/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B89F773C4B04FA1A88A390C771F1B" ma:contentTypeVersion="4" ma:contentTypeDescription="Create a new document." ma:contentTypeScope="" ma:versionID="89c8a66afef95a1f1e9baeb592909a99">
  <xsd:schema xmlns:xsd="http://www.w3.org/2001/XMLSchema" xmlns:p="http://schemas.microsoft.com/office/2006/metadata/properties" xmlns:ns2="6b03d5a6-c642-4a08-93b6-965b66bfac2e" xmlns:ns3="64e33b30-101d-41de-b951-961aab25ea29" targetNamespace="http://schemas.microsoft.com/office/2006/metadata/properties" ma:root="true" ma:fieldsID="d4d1e2d4d98820a92512702f791e2694"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ocument_x0020_Number xmlns="6b03d5a6-c642-4a08-93b6-965b66bfac2e">UNEP/OzL.Pro/ExCom/88/19</Document_x0020_Number>
    <DocumentType xmlns="64e33b30-101d-41de-b951-961aab25ea29">Pre-session</DocumentType>
  </documentManagement>
</p:properties>
</file>

<file path=customXml/itemProps1.xml><?xml version="1.0" encoding="utf-8"?>
<ds:datastoreItem xmlns:ds="http://schemas.openxmlformats.org/officeDocument/2006/customXml" ds:itemID="{90C74F26-A387-4BAA-86C1-1D1DD4766F7F}"/>
</file>

<file path=customXml/itemProps2.xml><?xml version="1.0" encoding="utf-8"?>
<ds:datastoreItem xmlns:ds="http://schemas.openxmlformats.org/officeDocument/2006/customXml" ds:itemID="{D3425F5C-56F8-4AA6-B9BE-6811482E32F3}"/>
</file>

<file path=customXml/itemProps3.xml><?xml version="1.0" encoding="utf-8"?>
<ds:datastoreItem xmlns:ds="http://schemas.openxmlformats.org/officeDocument/2006/customXml" ds:itemID="{4009F720-E148-4329-93CB-FE17A2B82AF3}"/>
</file>

<file path=customXml/itemProps4.xml><?xml version="1.0" encoding="utf-8"?>
<ds:datastoreItem xmlns:ds="http://schemas.openxmlformats.org/officeDocument/2006/customXml" ds:itemID="{F0B85CF5-C627-4216-8243-5893ABB8765F}"/>
</file>

<file path=docProps/app.xml><?xml version="1.0" encoding="utf-8"?>
<Properties xmlns="http://schemas.openxmlformats.org/officeDocument/2006/extended-properties" xmlns:vt="http://schemas.openxmlformats.org/officeDocument/2006/docPropsVTypes">
  <Template>normal</Template>
  <TotalTime>1</TotalTime>
  <Pages>17</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2021 consolidated project completion report</vt:lpstr>
    </vt:vector>
  </TitlesOfParts>
  <Company>UNMFS</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consolidated project completion report</dc:title>
  <dc:subject/>
  <dc:creator>Evaluation Office MLF</dc:creator>
  <cp:keywords/>
  <dc:description/>
  <cp:lastModifiedBy>Joel Pare-Julien</cp:lastModifiedBy>
  <cp:revision>2</cp:revision>
  <cp:lastPrinted>2020-10-23T19:20:00Z</cp:lastPrinted>
  <dcterms:created xsi:type="dcterms:W3CDTF">2021-10-19T12:45:00Z</dcterms:created>
  <dcterms:modified xsi:type="dcterms:W3CDTF">2021-10-19T12:45:00Z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UNEP/OzL.Pro/ExCom/88/19</vt:lpwstr>
  </property>
  <property fmtid="{D5CDD505-2E9C-101B-9397-08002B2CF9AE}" pid="3" name="Revision date">
    <vt:lpwstr>10/19/2021</vt:lpwstr>
  </property>
  <property fmtid="{D5CDD505-2E9C-101B-9397-08002B2CF9AE}" pid="4" name="ContentTypeId">
    <vt:lpwstr>0x010100BE9B89F773C4B04FA1A88A390C771F1B</vt:lpwstr>
  </property>
</Properties>
</file>