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2" w:type="dxa"/>
        <w:tblInd w:w="-432" w:type="dxa"/>
        <w:tblLayout w:type="fixed"/>
        <w:tblLook w:val="0000" w:firstRow="0" w:lastRow="0" w:firstColumn="0" w:lastColumn="0" w:noHBand="0" w:noVBand="0"/>
      </w:tblPr>
      <w:tblGrid>
        <w:gridCol w:w="2070"/>
        <w:gridCol w:w="4458"/>
        <w:gridCol w:w="3544"/>
      </w:tblGrid>
      <w:tr w:rsidR="00441083" w:rsidRPr="0014412C" w14:paraId="2E1A19F8" w14:textId="77777777" w:rsidTr="00A672BF">
        <w:trPr>
          <w:trHeight w:val="720"/>
        </w:trPr>
        <w:tc>
          <w:tcPr>
            <w:tcW w:w="6528" w:type="dxa"/>
            <w:gridSpan w:val="2"/>
            <w:tcBorders>
              <w:bottom w:val="single" w:sz="18" w:space="0" w:color="auto"/>
            </w:tcBorders>
          </w:tcPr>
          <w:p w14:paraId="4F863D0D" w14:textId="77777777" w:rsidR="00092E5B" w:rsidRPr="00092E5B" w:rsidRDefault="00092E5B" w:rsidP="0009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val="fr-CA" w:eastAsia="fr-CA"/>
              </w:rPr>
            </w:pPr>
            <w:proofErr w:type="gramStart"/>
            <w:r w:rsidRPr="00092E5B">
              <w:rPr>
                <w:rFonts w:ascii="Courier New" w:hAnsi="Courier New" w:cs="Courier New"/>
                <w:sz w:val="20"/>
                <w:szCs w:val="20"/>
                <w:lang w:val="fr-CA" w:eastAsia="fr-CA"/>
              </w:rPr>
              <w:t>où</w:t>
            </w:r>
            <w:proofErr w:type="gramEnd"/>
          </w:p>
          <w:p w14:paraId="3D2658CB" w14:textId="77777777" w:rsidR="00441083" w:rsidRPr="0014412C"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28"/>
                <w:szCs w:val="28"/>
                <w:lang w:val="fr-CA"/>
              </w:rPr>
            </w:pPr>
            <w:r w:rsidRPr="0014412C">
              <w:rPr>
                <w:rFonts w:ascii="Univers" w:hAnsi="Univers"/>
                <w:b/>
                <w:sz w:val="28"/>
                <w:szCs w:val="28"/>
                <w:lang w:val="fr-CA"/>
              </w:rPr>
              <w:t>NATIONS</w:t>
            </w:r>
          </w:p>
          <w:p w14:paraId="03294B14" w14:textId="77777777" w:rsidR="00441083" w:rsidRPr="0014412C"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lang w:val="fr-CA"/>
              </w:rPr>
            </w:pPr>
            <w:r w:rsidRPr="0014412C">
              <w:rPr>
                <w:rFonts w:ascii="Univers" w:hAnsi="Univers"/>
                <w:b/>
                <w:sz w:val="28"/>
                <w:szCs w:val="28"/>
                <w:lang w:val="fr-CA"/>
              </w:rPr>
              <w:t xml:space="preserve">UNIES </w:t>
            </w:r>
          </w:p>
        </w:tc>
        <w:tc>
          <w:tcPr>
            <w:tcW w:w="3544" w:type="dxa"/>
            <w:tcBorders>
              <w:bottom w:val="single" w:sz="18" w:space="0" w:color="auto"/>
            </w:tcBorders>
          </w:tcPr>
          <w:p w14:paraId="6231DDE2" w14:textId="77777777" w:rsidR="00441083" w:rsidRPr="0014412C" w:rsidRDefault="00E60D9C">
            <w:pPr>
              <w:tabs>
                <w:tab w:val="left" w:pos="3010"/>
              </w:tabs>
              <w:jc w:val="center"/>
              <w:rPr>
                <w:sz w:val="52"/>
                <w:szCs w:val="52"/>
                <w:lang w:val="fr-CA"/>
              </w:rPr>
            </w:pPr>
            <w:r w:rsidRPr="0014412C">
              <w:rPr>
                <w:rFonts w:ascii="Univers Bold" w:hAnsi="Univers Bold"/>
                <w:b/>
                <w:sz w:val="72"/>
                <w:lang w:val="fr-CA"/>
              </w:rPr>
              <w:t xml:space="preserve">          EP</w:t>
            </w:r>
          </w:p>
        </w:tc>
      </w:tr>
      <w:tr w:rsidR="00441083" w:rsidRPr="0014412C" w14:paraId="70590F20" w14:textId="77777777" w:rsidTr="00A67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3A631B08" w14:textId="77777777" w:rsidR="00441083" w:rsidRPr="0014412C" w:rsidRDefault="00C6443E">
            <w:pPr>
              <w:spacing w:before="120"/>
              <w:rPr>
                <w:lang w:val="fr-CA"/>
              </w:rPr>
            </w:pPr>
            <w:r w:rsidRPr="0014412C">
              <w:rPr>
                <w:noProof/>
                <w:lang w:val="en-CA" w:eastAsia="en-CA"/>
              </w:rPr>
              <w:drawing>
                <wp:anchor distT="0" distB="0" distL="114300" distR="114300" simplePos="0" relativeHeight="251660288" behindDoc="0" locked="0" layoutInCell="1" allowOverlap="1" wp14:anchorId="48B5B34E" wp14:editId="7DAC7FF0">
                  <wp:simplePos x="0" y="0"/>
                  <wp:positionH relativeFrom="column">
                    <wp:posOffset>57785</wp:posOffset>
                  </wp:positionH>
                  <wp:positionV relativeFrom="paragraph">
                    <wp:posOffset>920115</wp:posOffset>
                  </wp:positionV>
                  <wp:extent cx="800100" cy="705485"/>
                  <wp:effectExtent l="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sidR="001C3D0C" w:rsidRPr="0014412C">
              <w:rPr>
                <w:noProof/>
                <w:lang w:val="en-CA" w:eastAsia="en-CA"/>
              </w:rPr>
              <w:drawing>
                <wp:anchor distT="0" distB="0" distL="114300" distR="114300" simplePos="0" relativeHeight="251661312" behindDoc="1" locked="0" layoutInCell="0" allowOverlap="1" wp14:anchorId="5DB51AC3" wp14:editId="07D09F5B">
                  <wp:simplePos x="0" y="0"/>
                  <wp:positionH relativeFrom="column">
                    <wp:posOffset>72390</wp:posOffset>
                  </wp:positionH>
                  <wp:positionV relativeFrom="paragraph">
                    <wp:posOffset>112395</wp:posOffset>
                  </wp:positionV>
                  <wp:extent cx="760809" cy="67627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60809" cy="676275"/>
                          </a:xfrm>
                          <a:prstGeom prst="rect">
                            <a:avLst/>
                          </a:prstGeom>
                          <a:noFill/>
                        </pic:spPr>
                      </pic:pic>
                    </a:graphicData>
                  </a:graphic>
                  <wp14:sizeRelH relativeFrom="margin">
                    <wp14:pctWidth>0</wp14:pctWidth>
                  </wp14:sizeRelH>
                  <wp14:sizeRelV relativeFrom="margin">
                    <wp14:pctHeight>0</wp14:pctHeight>
                  </wp14:sizeRelV>
                </wp:anchor>
              </w:drawing>
            </w:r>
          </w:p>
        </w:tc>
        <w:tc>
          <w:tcPr>
            <w:tcW w:w="4458" w:type="dxa"/>
            <w:tcBorders>
              <w:top w:val="nil"/>
              <w:left w:val="nil"/>
              <w:bottom w:val="single" w:sz="36" w:space="0" w:color="auto"/>
              <w:right w:val="nil"/>
            </w:tcBorders>
          </w:tcPr>
          <w:p w14:paraId="2D8CE968" w14:textId="77777777" w:rsidR="00F84C2E" w:rsidRDefault="00F84C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p>
          <w:p w14:paraId="2C102877" w14:textId="3DEC4E84" w:rsidR="00441083" w:rsidRPr="0014412C"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r w:rsidRPr="0014412C">
              <w:rPr>
                <w:rFonts w:ascii="Univers" w:hAnsi="Univers"/>
                <w:b/>
                <w:sz w:val="32"/>
                <w:lang w:val="fr-CA"/>
              </w:rPr>
              <w:t>Programme des</w:t>
            </w:r>
          </w:p>
          <w:p w14:paraId="02ED35F3" w14:textId="77777777" w:rsidR="00441083" w:rsidRPr="0014412C" w:rsidRDefault="00E60D9C">
            <w:pPr>
              <w:rPr>
                <w:rFonts w:ascii="Univers" w:hAnsi="Univers"/>
                <w:b/>
                <w:sz w:val="32"/>
                <w:lang w:val="fr-CA"/>
              </w:rPr>
            </w:pPr>
            <w:r w:rsidRPr="0014412C">
              <w:rPr>
                <w:rFonts w:ascii="Univers" w:hAnsi="Univers"/>
                <w:b/>
                <w:sz w:val="32"/>
                <w:lang w:val="fr-CA"/>
              </w:rPr>
              <w:t>Nations Unies pour</w:t>
            </w:r>
          </w:p>
          <w:p w14:paraId="613B6126" w14:textId="77777777" w:rsidR="00441083" w:rsidRPr="0014412C" w:rsidRDefault="00E60D9C">
            <w:pPr>
              <w:rPr>
                <w:rFonts w:ascii="Univers" w:hAnsi="Univers"/>
                <w:b/>
                <w:sz w:val="32"/>
                <w:lang w:val="fr-CA"/>
              </w:rPr>
            </w:pPr>
            <w:r w:rsidRPr="0014412C">
              <w:rPr>
                <w:rFonts w:ascii="Univers" w:hAnsi="Univers"/>
                <w:b/>
                <w:sz w:val="32"/>
                <w:lang w:val="fr-CA"/>
              </w:rPr>
              <w:t>l’environnement</w:t>
            </w:r>
          </w:p>
          <w:p w14:paraId="3E0ADFA6" w14:textId="77777777" w:rsidR="00441083" w:rsidRPr="0014412C" w:rsidRDefault="00E60D9C">
            <w:pPr>
              <w:spacing w:before="720"/>
              <w:ind w:left="158"/>
              <w:rPr>
                <w:lang w:val="fr-CA"/>
              </w:rPr>
            </w:pPr>
            <w:r w:rsidRPr="0014412C">
              <w:rPr>
                <w:lang w:val="fr-CA"/>
              </w:rPr>
              <w:t xml:space="preserve"> </w:t>
            </w:r>
          </w:p>
        </w:tc>
        <w:tc>
          <w:tcPr>
            <w:tcW w:w="3544" w:type="dxa"/>
            <w:tcBorders>
              <w:top w:val="nil"/>
              <w:left w:val="nil"/>
              <w:bottom w:val="single" w:sz="36" w:space="0" w:color="auto"/>
              <w:right w:val="nil"/>
            </w:tcBorders>
          </w:tcPr>
          <w:p w14:paraId="4F198F41" w14:textId="77777777" w:rsidR="00F84C2E" w:rsidRDefault="00F84C2E">
            <w:pPr>
              <w:rPr>
                <w:lang w:val="fr-CA"/>
              </w:rPr>
            </w:pPr>
          </w:p>
          <w:p w14:paraId="306C5C28" w14:textId="11E31140" w:rsidR="00441083" w:rsidRPr="0014412C" w:rsidRDefault="00E60D9C">
            <w:pPr>
              <w:rPr>
                <w:lang w:val="fr-CA"/>
              </w:rPr>
            </w:pPr>
            <w:proofErr w:type="spellStart"/>
            <w:r w:rsidRPr="0014412C">
              <w:rPr>
                <w:lang w:val="fr-CA"/>
              </w:rPr>
              <w:t>Distr</w:t>
            </w:r>
            <w:proofErr w:type="spellEnd"/>
            <w:r w:rsidRPr="0014412C">
              <w:rPr>
                <w:lang w:val="fr-CA"/>
              </w:rPr>
              <w:t>.</w:t>
            </w:r>
          </w:p>
          <w:p w14:paraId="48183981" w14:textId="77777777" w:rsidR="00441083" w:rsidRPr="0014412C" w:rsidRDefault="00E60D9C" w:rsidP="00DD3433">
            <w:pPr>
              <w:rPr>
                <w:lang w:val="fr-CA"/>
              </w:rPr>
            </w:pPr>
            <w:r w:rsidRPr="0014412C">
              <w:rPr>
                <w:lang w:val="fr-CA"/>
              </w:rPr>
              <w:t>G</w:t>
            </w:r>
            <w:r w:rsidR="00DD3433" w:rsidRPr="0014412C">
              <w:rPr>
                <w:lang w:val="fr-CA"/>
              </w:rPr>
              <w:t>É</w:t>
            </w:r>
            <w:r w:rsidRPr="0014412C">
              <w:rPr>
                <w:lang w:val="fr-CA"/>
              </w:rPr>
              <w:t>N</w:t>
            </w:r>
            <w:r w:rsidR="00DD3433" w:rsidRPr="0014412C">
              <w:rPr>
                <w:lang w:val="fr-CA"/>
              </w:rPr>
              <w:t>É</w:t>
            </w:r>
            <w:r w:rsidRPr="0014412C">
              <w:rPr>
                <w:lang w:val="fr-CA"/>
              </w:rPr>
              <w:t>RAL</w:t>
            </w:r>
            <w:r w:rsidR="00FF3CF1" w:rsidRPr="0014412C">
              <w:rPr>
                <w:lang w:val="fr-CA"/>
              </w:rPr>
              <w:t>E</w:t>
            </w:r>
          </w:p>
          <w:p w14:paraId="6462F4EF" w14:textId="77777777" w:rsidR="00441083" w:rsidRPr="0014412C" w:rsidRDefault="00441083">
            <w:pPr>
              <w:rPr>
                <w:lang w:val="fr-CA"/>
              </w:rPr>
            </w:pPr>
          </w:p>
          <w:p w14:paraId="435B6451" w14:textId="38770625" w:rsidR="00441083" w:rsidRPr="00F84C2E" w:rsidRDefault="00E60D9C">
            <w:pPr>
              <w:rPr>
                <w:lang w:val="en-CA"/>
              </w:rPr>
            </w:pPr>
            <w:r w:rsidRPr="0014412C">
              <w:rPr>
                <w:lang w:val="fr-CA"/>
              </w:rPr>
              <w:fldChar w:fldCharType="begin"/>
            </w:r>
            <w:r w:rsidRPr="00F84C2E">
              <w:rPr>
                <w:lang w:val="en-CA"/>
              </w:rPr>
              <w:instrText xml:space="preserve"> DOCPROPERTY "Document number"  \* MERGEFORMAT </w:instrText>
            </w:r>
            <w:r w:rsidRPr="0014412C">
              <w:rPr>
                <w:lang w:val="fr-CA"/>
              </w:rPr>
              <w:fldChar w:fldCharType="separate"/>
            </w:r>
            <w:r w:rsidR="00A672BF" w:rsidRPr="00F84C2E">
              <w:rPr>
                <w:lang w:val="en-CA"/>
              </w:rPr>
              <w:t>UNEP/</w:t>
            </w:r>
            <w:proofErr w:type="spellStart"/>
            <w:r w:rsidR="00A672BF" w:rsidRPr="00F84C2E">
              <w:rPr>
                <w:lang w:val="en-CA"/>
              </w:rPr>
              <w:t>OzL.Pro</w:t>
            </w:r>
            <w:proofErr w:type="spellEnd"/>
            <w:r w:rsidR="00A672BF" w:rsidRPr="00F84C2E">
              <w:rPr>
                <w:lang w:val="en-CA"/>
              </w:rPr>
              <w:t>/</w:t>
            </w:r>
            <w:proofErr w:type="spellStart"/>
            <w:r w:rsidR="00A672BF" w:rsidRPr="00F84C2E">
              <w:rPr>
                <w:lang w:val="en-CA"/>
              </w:rPr>
              <w:t>ExCom</w:t>
            </w:r>
            <w:proofErr w:type="spellEnd"/>
            <w:r w:rsidR="00A672BF" w:rsidRPr="00F84C2E">
              <w:rPr>
                <w:lang w:val="en-CA"/>
              </w:rPr>
              <w:t>/88/2/Add.1</w:t>
            </w:r>
            <w:r w:rsidRPr="0014412C">
              <w:rPr>
                <w:lang w:val="fr-CA"/>
              </w:rPr>
              <w:fldChar w:fldCharType="end"/>
            </w:r>
          </w:p>
          <w:p w14:paraId="24245C0E" w14:textId="68051204" w:rsidR="002F0B57" w:rsidRPr="0014412C" w:rsidRDefault="002F0B57" w:rsidP="00C9547D">
            <w:pPr>
              <w:rPr>
                <w:lang w:val="fr-CA"/>
              </w:rPr>
            </w:pPr>
            <w:r w:rsidRPr="0014412C">
              <w:rPr>
                <w:lang w:val="fr-CA"/>
              </w:rPr>
              <w:fldChar w:fldCharType="begin"/>
            </w:r>
            <w:r w:rsidRPr="0014412C">
              <w:rPr>
                <w:lang w:val="fr-CA"/>
              </w:rPr>
              <w:instrText xml:space="preserve"> DOCPROPERTY "Revision date" \@ "d MMMM YYYY"  \* MERGEFORMAT </w:instrText>
            </w:r>
            <w:r w:rsidRPr="0014412C">
              <w:rPr>
                <w:lang w:val="fr-CA"/>
              </w:rPr>
              <w:fldChar w:fldCharType="separate"/>
            </w:r>
            <w:r w:rsidR="00092E5B" w:rsidRPr="0014412C">
              <w:rPr>
                <w:lang w:val="fr-CA"/>
              </w:rPr>
              <w:t>1</w:t>
            </w:r>
            <w:r w:rsidR="00731386" w:rsidRPr="0014412C">
              <w:rPr>
                <w:lang w:val="fr-CA"/>
              </w:rPr>
              <w:t>1</w:t>
            </w:r>
            <w:r w:rsidR="00092E5B" w:rsidRPr="0014412C">
              <w:rPr>
                <w:lang w:val="fr-CA"/>
              </w:rPr>
              <w:t xml:space="preserve"> </w:t>
            </w:r>
            <w:r w:rsidR="00731386" w:rsidRPr="0014412C">
              <w:rPr>
                <w:lang w:val="fr-CA"/>
              </w:rPr>
              <w:t>novembre</w:t>
            </w:r>
            <w:r w:rsidR="00092E5B" w:rsidRPr="0014412C">
              <w:rPr>
                <w:lang w:val="fr-CA"/>
              </w:rPr>
              <w:t xml:space="preserve"> 2021</w:t>
            </w:r>
            <w:r w:rsidRPr="0014412C">
              <w:rPr>
                <w:lang w:val="fr-CA"/>
              </w:rPr>
              <w:fldChar w:fldCharType="end"/>
            </w:r>
          </w:p>
          <w:p w14:paraId="21EC5CC1" w14:textId="77777777" w:rsidR="00441083" w:rsidRPr="0014412C" w:rsidRDefault="00FC5578">
            <w:pPr>
              <w:rPr>
                <w:caps/>
                <w:lang w:val="fr-CA"/>
              </w:rPr>
            </w:pPr>
            <w:r w:rsidRPr="0014412C">
              <w:rPr>
                <w:caps/>
                <w:lang w:val="fr-CA"/>
              </w:rPr>
              <w:br/>
            </w:r>
            <w:r w:rsidR="00E60D9C" w:rsidRPr="0014412C">
              <w:rPr>
                <w:caps/>
                <w:lang w:val="fr-CA"/>
              </w:rPr>
              <w:t>FRANÇAIS</w:t>
            </w:r>
          </w:p>
          <w:p w14:paraId="03AF1F86" w14:textId="77777777" w:rsidR="00441083" w:rsidRPr="0014412C" w:rsidRDefault="00E60D9C">
            <w:pPr>
              <w:rPr>
                <w:lang w:val="fr-CA"/>
              </w:rPr>
            </w:pPr>
            <w:r w:rsidRPr="0014412C">
              <w:rPr>
                <w:lang w:val="fr-CA"/>
              </w:rPr>
              <w:t xml:space="preserve">ORIGINAL: </w:t>
            </w:r>
            <w:r w:rsidR="0091161A" w:rsidRPr="0014412C">
              <w:rPr>
                <w:lang w:val="fr-CA"/>
              </w:rPr>
              <w:t>ANGLAIS</w:t>
            </w:r>
          </w:p>
        </w:tc>
      </w:tr>
    </w:tbl>
    <w:p w14:paraId="3866C390" w14:textId="77777777" w:rsidR="00441083" w:rsidRPr="0014412C" w:rsidRDefault="00E60D9C" w:rsidP="009F6617">
      <w:pPr>
        <w:jc w:val="left"/>
        <w:rPr>
          <w:lang w:val="fr-CA"/>
        </w:rPr>
      </w:pPr>
      <w:r w:rsidRPr="0014412C">
        <w:rPr>
          <w:lang w:val="fr-CA"/>
        </w:rPr>
        <w:t>COMIT</w:t>
      </w:r>
      <w:r w:rsidR="00DD3433" w:rsidRPr="0014412C">
        <w:rPr>
          <w:lang w:val="fr-CA"/>
        </w:rPr>
        <w:t>É</w:t>
      </w:r>
      <w:r w:rsidRPr="0014412C">
        <w:rPr>
          <w:lang w:val="fr-CA"/>
        </w:rPr>
        <w:t xml:space="preserve"> EX</w:t>
      </w:r>
      <w:r w:rsidR="00DD3433" w:rsidRPr="0014412C">
        <w:rPr>
          <w:lang w:val="fr-CA"/>
        </w:rPr>
        <w:t xml:space="preserve">ÉCUTIF </w:t>
      </w:r>
      <w:r w:rsidR="00DD3433" w:rsidRPr="0014412C">
        <w:rPr>
          <w:lang w:val="fr-CA"/>
        </w:rPr>
        <w:br/>
        <w:t xml:space="preserve">  DU FONDS MULTILATÉ</w:t>
      </w:r>
      <w:r w:rsidRPr="0014412C">
        <w:rPr>
          <w:lang w:val="fr-CA"/>
        </w:rPr>
        <w:t xml:space="preserve">RAL AUX FINS </w:t>
      </w:r>
      <w:r w:rsidRPr="0014412C">
        <w:rPr>
          <w:lang w:val="fr-CA"/>
        </w:rPr>
        <w:br/>
        <w:t xml:space="preserve">  D’APPLICATION DU PROTOCOLE DE MONTR</w:t>
      </w:r>
      <w:r w:rsidR="00DD3433" w:rsidRPr="0014412C">
        <w:rPr>
          <w:lang w:val="fr-CA"/>
        </w:rPr>
        <w:t>É</w:t>
      </w:r>
      <w:r w:rsidRPr="0014412C">
        <w:rPr>
          <w:lang w:val="fr-CA"/>
        </w:rPr>
        <w:t>AL</w:t>
      </w:r>
      <w:r w:rsidRPr="0014412C">
        <w:rPr>
          <w:lang w:val="fr-CA"/>
        </w:rPr>
        <w:br/>
      </w:r>
      <w:r w:rsidR="00E54871" w:rsidRPr="0014412C">
        <w:rPr>
          <w:lang w:val="fr-CA"/>
        </w:rPr>
        <w:t>Quatre</w:t>
      </w:r>
      <w:r w:rsidRPr="0014412C">
        <w:rPr>
          <w:lang w:val="fr-CA"/>
        </w:rPr>
        <w:t>-</w:t>
      </w:r>
      <w:r w:rsidR="00E54871" w:rsidRPr="0014412C">
        <w:rPr>
          <w:lang w:val="fr-CA"/>
        </w:rPr>
        <w:t>vingt</w:t>
      </w:r>
      <w:r w:rsidR="00AE63D8" w:rsidRPr="0014412C">
        <w:rPr>
          <w:lang w:val="fr-CA"/>
        </w:rPr>
        <w:t>-</w:t>
      </w:r>
      <w:r w:rsidR="009F6617" w:rsidRPr="0014412C">
        <w:rPr>
          <w:lang w:val="fr-CA"/>
        </w:rPr>
        <w:t>huit</w:t>
      </w:r>
      <w:r w:rsidR="004C2C87" w:rsidRPr="0014412C">
        <w:rPr>
          <w:lang w:val="fr-CA"/>
        </w:rPr>
        <w:t>i</w:t>
      </w:r>
      <w:r w:rsidR="00E54871" w:rsidRPr="0014412C">
        <w:rPr>
          <w:lang w:val="fr-CA"/>
        </w:rPr>
        <w:t>ème</w:t>
      </w:r>
      <w:r w:rsidR="00FC5578" w:rsidRPr="0014412C">
        <w:rPr>
          <w:lang w:val="fr-CA"/>
        </w:rPr>
        <w:t xml:space="preserve"> </w:t>
      </w:r>
      <w:r w:rsidRPr="0014412C">
        <w:rPr>
          <w:lang w:val="fr-CA"/>
        </w:rPr>
        <w:t>réunion</w:t>
      </w:r>
    </w:p>
    <w:p w14:paraId="59692DFF" w14:textId="77777777" w:rsidR="00441083" w:rsidRPr="0014412C" w:rsidRDefault="00E54871" w:rsidP="009F6617">
      <w:pPr>
        <w:jc w:val="left"/>
        <w:rPr>
          <w:lang w:val="fr-CA"/>
        </w:rPr>
      </w:pPr>
      <w:r w:rsidRPr="0014412C">
        <w:rPr>
          <w:lang w:val="fr-CA"/>
        </w:rPr>
        <w:t>Montréal,</w:t>
      </w:r>
      <w:r w:rsidR="00FC5578" w:rsidRPr="0014412C">
        <w:rPr>
          <w:lang w:val="fr-CA"/>
        </w:rPr>
        <w:t xml:space="preserve"> </w:t>
      </w:r>
      <w:r w:rsidR="009F6617" w:rsidRPr="0014412C">
        <w:rPr>
          <w:lang w:val="fr-CA"/>
        </w:rPr>
        <w:t>15</w:t>
      </w:r>
      <w:r w:rsidR="00AC013C" w:rsidRPr="0014412C">
        <w:rPr>
          <w:lang w:val="fr-CA"/>
        </w:rPr>
        <w:t xml:space="preserve"> </w:t>
      </w:r>
      <w:r w:rsidR="00E60D9C" w:rsidRPr="0014412C">
        <w:rPr>
          <w:lang w:val="fr-CA"/>
        </w:rPr>
        <w:t xml:space="preserve">– </w:t>
      </w:r>
      <w:r w:rsidR="009F6617" w:rsidRPr="0014412C">
        <w:rPr>
          <w:lang w:val="fr-CA"/>
        </w:rPr>
        <w:t>19 novembre</w:t>
      </w:r>
      <w:r w:rsidR="004C2C87" w:rsidRPr="0014412C">
        <w:rPr>
          <w:lang w:val="fr-CA"/>
        </w:rPr>
        <w:t xml:space="preserve"> 20</w:t>
      </w:r>
      <w:r w:rsidR="002C06D4" w:rsidRPr="0014412C">
        <w:rPr>
          <w:lang w:val="fr-CA"/>
        </w:rPr>
        <w:t>2</w:t>
      </w:r>
      <w:r w:rsidR="004C2C87" w:rsidRPr="0014412C">
        <w:rPr>
          <w:lang w:val="fr-CA"/>
        </w:rPr>
        <w:t>1</w:t>
      </w:r>
      <w:r w:rsidR="002C06D4" w:rsidRPr="0014412C">
        <w:rPr>
          <w:rStyle w:val="FootnoteReference"/>
          <w:lang w:val="fr-CA"/>
        </w:rPr>
        <w:footnoteReference w:id="1"/>
      </w:r>
    </w:p>
    <w:p w14:paraId="331682CD" w14:textId="77777777" w:rsidR="00441083" w:rsidRPr="0014412C" w:rsidRDefault="00441083">
      <w:pPr>
        <w:jc w:val="left"/>
        <w:rPr>
          <w:lang w:val="fr-CA"/>
        </w:rPr>
      </w:pPr>
    </w:p>
    <w:p w14:paraId="3628A7CA" w14:textId="77777777" w:rsidR="00A672BF" w:rsidRDefault="00A672BF" w:rsidP="00731386">
      <w:pPr>
        <w:jc w:val="center"/>
        <w:rPr>
          <w:b/>
          <w:bCs/>
          <w:lang w:val="fr-CA"/>
        </w:rPr>
      </w:pPr>
    </w:p>
    <w:p w14:paraId="6DAFEAFA" w14:textId="51D0E906" w:rsidR="00731386" w:rsidRPr="0014412C" w:rsidRDefault="00731386" w:rsidP="00A672BF">
      <w:pPr>
        <w:spacing w:after="240"/>
        <w:jc w:val="center"/>
        <w:rPr>
          <w:b/>
          <w:bCs/>
          <w:lang w:val="fr-CA"/>
        </w:rPr>
      </w:pPr>
      <w:r w:rsidRPr="0014412C">
        <w:rPr>
          <w:b/>
          <w:bCs/>
          <w:lang w:val="fr-CA"/>
        </w:rPr>
        <w:t>Addendum</w:t>
      </w:r>
    </w:p>
    <w:p w14:paraId="0C3EABC4" w14:textId="539ADEE6" w:rsidR="00731386" w:rsidRPr="0014412C" w:rsidRDefault="00055E89" w:rsidP="00A672BF">
      <w:pPr>
        <w:pStyle w:val="Title1"/>
        <w:spacing w:after="240"/>
        <w:rPr>
          <w:lang w:val="fr-CA"/>
        </w:rPr>
      </w:pPr>
      <w:r>
        <w:rPr>
          <w:lang w:val="fr-CA"/>
        </w:rPr>
        <w:t xml:space="preserve">ACTIVITÉS DU </w:t>
      </w:r>
      <w:r w:rsidRPr="0014412C">
        <w:rPr>
          <w:lang w:val="fr-CA"/>
        </w:rPr>
        <w:t>SECRÉTARIAT</w:t>
      </w:r>
    </w:p>
    <w:p w14:paraId="2C9D6842" w14:textId="229983A3" w:rsidR="00731386" w:rsidRDefault="00731386" w:rsidP="00A672BF">
      <w:pPr>
        <w:pStyle w:val="Heading1"/>
        <w:keepNext/>
        <w:numPr>
          <w:ilvl w:val="0"/>
          <w:numId w:val="0"/>
        </w:numPr>
        <w:jc w:val="center"/>
        <w:rPr>
          <w:b/>
          <w:u w:val="single"/>
          <w:lang w:val="fr-CA"/>
        </w:rPr>
      </w:pPr>
      <w:r w:rsidRPr="0014412C">
        <w:rPr>
          <w:b/>
          <w:u w:val="single"/>
          <w:lang w:val="fr-CA"/>
        </w:rPr>
        <w:t xml:space="preserve">Audit </w:t>
      </w:r>
      <w:r w:rsidR="00055E89">
        <w:rPr>
          <w:b/>
          <w:u w:val="single"/>
          <w:lang w:val="fr-CA"/>
        </w:rPr>
        <w:t>du</w:t>
      </w:r>
      <w:r w:rsidRPr="0014412C">
        <w:rPr>
          <w:b/>
          <w:u w:val="single"/>
          <w:lang w:val="fr-CA"/>
        </w:rPr>
        <w:t xml:space="preserve"> </w:t>
      </w:r>
      <w:r w:rsidR="00277470" w:rsidRPr="0014412C">
        <w:rPr>
          <w:b/>
          <w:u w:val="single"/>
          <w:lang w:val="fr-CA"/>
        </w:rPr>
        <w:t>Fonds multilatéral</w:t>
      </w:r>
      <w:r w:rsidRPr="0014412C">
        <w:rPr>
          <w:b/>
          <w:u w:val="single"/>
          <w:lang w:val="fr-CA"/>
        </w:rPr>
        <w:t xml:space="preserve"> </w:t>
      </w:r>
      <w:r w:rsidR="00055E89">
        <w:rPr>
          <w:b/>
          <w:u w:val="single"/>
          <w:lang w:val="fr-CA"/>
        </w:rPr>
        <w:t>par le</w:t>
      </w:r>
      <w:r w:rsidRPr="0014412C">
        <w:rPr>
          <w:b/>
          <w:u w:val="single"/>
          <w:lang w:val="fr-CA"/>
        </w:rPr>
        <w:t xml:space="preserve"> </w:t>
      </w:r>
      <w:r w:rsidR="0014412C" w:rsidRPr="0014412C">
        <w:rPr>
          <w:b/>
          <w:u w:val="single"/>
          <w:lang w:val="fr-CA"/>
        </w:rPr>
        <w:t xml:space="preserve">Bureau des services de contrôle interne </w:t>
      </w:r>
      <w:r w:rsidRPr="0014412C">
        <w:rPr>
          <w:b/>
          <w:u w:val="single"/>
          <w:lang w:val="fr-CA"/>
        </w:rPr>
        <w:t>(</w:t>
      </w:r>
      <w:r w:rsidR="0014412C" w:rsidRPr="0014412C">
        <w:rPr>
          <w:b/>
          <w:u w:val="single"/>
          <w:lang w:val="fr-CA"/>
        </w:rPr>
        <w:t>BSCI</w:t>
      </w:r>
      <w:r w:rsidRPr="0014412C">
        <w:rPr>
          <w:b/>
          <w:u w:val="single"/>
          <w:lang w:val="fr-CA"/>
        </w:rPr>
        <w:t>)</w:t>
      </w:r>
    </w:p>
    <w:p w14:paraId="765BC194" w14:textId="77777777" w:rsidR="00F84C2E" w:rsidRPr="00F84C2E" w:rsidRDefault="00F84C2E" w:rsidP="00F84C2E">
      <w:pPr>
        <w:rPr>
          <w:lang w:val="fr-CA"/>
        </w:rPr>
      </w:pPr>
    </w:p>
    <w:p w14:paraId="2DB57568" w14:textId="706AA593" w:rsidR="00731386" w:rsidRPr="0014412C" w:rsidRDefault="00566EEF" w:rsidP="00A672BF">
      <w:pPr>
        <w:tabs>
          <w:tab w:val="left" w:pos="720"/>
          <w:tab w:val="left" w:pos="1440"/>
          <w:tab w:val="left" w:pos="2160"/>
        </w:tabs>
        <w:spacing w:after="120"/>
        <w:outlineLvl w:val="1"/>
        <w:rPr>
          <w:b/>
          <w:bCs/>
          <w:lang w:val="fr-CA"/>
        </w:rPr>
      </w:pPr>
      <w:r>
        <w:rPr>
          <w:b/>
          <w:bCs/>
          <w:lang w:val="fr-CA"/>
        </w:rPr>
        <w:t>Historique</w:t>
      </w:r>
    </w:p>
    <w:p w14:paraId="2565F0EC" w14:textId="3E8376FC" w:rsidR="00731386" w:rsidRPr="0014412C" w:rsidRDefault="00055E89" w:rsidP="00A672BF">
      <w:pPr>
        <w:pStyle w:val="Heading1"/>
        <w:spacing w:after="120"/>
        <w:rPr>
          <w:lang w:val="fr-CA"/>
        </w:rPr>
      </w:pPr>
      <w:r>
        <w:rPr>
          <w:lang w:val="fr-CA"/>
        </w:rPr>
        <w:t xml:space="preserve">Dans le cadre des procédures </w:t>
      </w:r>
      <w:r w:rsidR="007D039D">
        <w:rPr>
          <w:lang w:val="fr-CA"/>
        </w:rPr>
        <w:t xml:space="preserve">standard de sortie mises en place par les deux </w:t>
      </w:r>
      <w:r w:rsidR="006E5419">
        <w:rPr>
          <w:lang w:val="fr-CA"/>
        </w:rPr>
        <w:t xml:space="preserve">anciens Chefs du Secrétariat du </w:t>
      </w:r>
      <w:r w:rsidR="00277470" w:rsidRPr="0014412C">
        <w:rPr>
          <w:lang w:val="fr-CA"/>
        </w:rPr>
        <w:t>Fonds multilatéral</w:t>
      </w:r>
      <w:r w:rsidR="00731386" w:rsidRPr="0014412C">
        <w:rPr>
          <w:lang w:val="fr-CA"/>
        </w:rPr>
        <w:t xml:space="preserve">, </w:t>
      </w:r>
      <w:r w:rsidR="006E5419">
        <w:rPr>
          <w:lang w:val="fr-CA"/>
        </w:rPr>
        <w:t xml:space="preserve">le Chef du Secrétariat a demandé au </w:t>
      </w:r>
      <w:r w:rsidR="0014546A">
        <w:rPr>
          <w:lang w:val="fr-CA"/>
        </w:rPr>
        <w:t>PNUE</w:t>
      </w:r>
      <w:r w:rsidR="00731386" w:rsidRPr="0014412C">
        <w:rPr>
          <w:lang w:val="fr-CA"/>
        </w:rPr>
        <w:t xml:space="preserve"> </w:t>
      </w:r>
      <w:r w:rsidR="006E5419">
        <w:rPr>
          <w:lang w:val="fr-CA"/>
        </w:rPr>
        <w:t xml:space="preserve">de mener, avant son départ à la retraite, un audit du </w:t>
      </w:r>
      <w:r w:rsidR="0014412C">
        <w:rPr>
          <w:lang w:val="fr-CA"/>
        </w:rPr>
        <w:t>Secrétariat du Fonds</w:t>
      </w:r>
      <w:r w:rsidR="00731386" w:rsidRPr="0014412C">
        <w:rPr>
          <w:lang w:val="fr-CA"/>
        </w:rPr>
        <w:t xml:space="preserve">, </w:t>
      </w:r>
      <w:r w:rsidR="006E5419">
        <w:rPr>
          <w:lang w:val="fr-CA"/>
        </w:rPr>
        <w:t xml:space="preserve">dans son rôle de facilitateur des travaux du </w:t>
      </w:r>
      <w:r w:rsidR="00277470" w:rsidRPr="0014412C">
        <w:rPr>
          <w:lang w:val="fr-CA"/>
        </w:rPr>
        <w:t>Comité Exécutif</w:t>
      </w:r>
      <w:r w:rsidR="00731386" w:rsidRPr="0014412C">
        <w:rPr>
          <w:lang w:val="fr-CA"/>
        </w:rPr>
        <w:t xml:space="preserve">. </w:t>
      </w:r>
      <w:r w:rsidR="006E5419">
        <w:rPr>
          <w:lang w:val="fr-CA"/>
        </w:rPr>
        <w:t>Donnant suite à cette demande</w:t>
      </w:r>
      <w:r w:rsidR="00731386" w:rsidRPr="0014412C">
        <w:rPr>
          <w:lang w:val="fr-CA"/>
        </w:rPr>
        <w:t xml:space="preserve">, </w:t>
      </w:r>
      <w:r w:rsidR="006E5419">
        <w:rPr>
          <w:lang w:val="fr-CA"/>
        </w:rPr>
        <w:t>l</w:t>
      </w:r>
      <w:r w:rsidR="00731386" w:rsidRPr="0014412C">
        <w:rPr>
          <w:lang w:val="fr-CA"/>
        </w:rPr>
        <w:t xml:space="preserve">e </w:t>
      </w:r>
      <w:r w:rsidR="0014412C" w:rsidRPr="0014412C">
        <w:rPr>
          <w:lang w:val="fr-CA"/>
        </w:rPr>
        <w:t xml:space="preserve">Bureau des services de contrôle interne </w:t>
      </w:r>
      <w:r w:rsidR="00731386" w:rsidRPr="0014412C">
        <w:rPr>
          <w:lang w:val="fr-CA"/>
        </w:rPr>
        <w:t>(</w:t>
      </w:r>
      <w:r w:rsidR="0014412C" w:rsidRPr="0014412C">
        <w:rPr>
          <w:lang w:val="fr-CA"/>
        </w:rPr>
        <w:t>BSCI</w:t>
      </w:r>
      <w:r w:rsidR="00731386" w:rsidRPr="0014412C">
        <w:rPr>
          <w:lang w:val="fr-CA"/>
        </w:rPr>
        <w:t xml:space="preserve">) </w:t>
      </w:r>
      <w:r w:rsidR="006E5419">
        <w:rPr>
          <w:lang w:val="fr-CA"/>
        </w:rPr>
        <w:t xml:space="preserve">a mené un </w:t>
      </w:r>
      <w:r w:rsidR="00731386" w:rsidRPr="0014412C">
        <w:rPr>
          <w:lang w:val="fr-CA"/>
        </w:rPr>
        <w:t xml:space="preserve">audit </w:t>
      </w:r>
      <w:r w:rsidR="006E5419">
        <w:rPr>
          <w:lang w:val="fr-CA"/>
        </w:rPr>
        <w:t>du</w:t>
      </w:r>
      <w:r w:rsidR="00731386" w:rsidRPr="0014412C">
        <w:rPr>
          <w:lang w:val="fr-CA"/>
        </w:rPr>
        <w:t xml:space="preserve"> </w:t>
      </w:r>
      <w:r w:rsidR="00277470" w:rsidRPr="0014412C">
        <w:rPr>
          <w:lang w:val="fr-CA"/>
        </w:rPr>
        <w:t>Secrétariat</w:t>
      </w:r>
      <w:r w:rsidR="00731386" w:rsidRPr="0014412C">
        <w:rPr>
          <w:lang w:val="fr-CA"/>
        </w:rPr>
        <w:t xml:space="preserve"> </w:t>
      </w:r>
      <w:r w:rsidR="006E5419">
        <w:rPr>
          <w:lang w:val="fr-CA"/>
        </w:rPr>
        <w:t>du</w:t>
      </w:r>
      <w:r w:rsidR="00731386" w:rsidRPr="0014412C">
        <w:rPr>
          <w:lang w:val="fr-CA"/>
        </w:rPr>
        <w:t xml:space="preserve"> </w:t>
      </w:r>
      <w:r w:rsidR="00277470" w:rsidRPr="0014412C">
        <w:rPr>
          <w:lang w:val="fr-CA"/>
        </w:rPr>
        <w:t>Fonds multilatéral</w:t>
      </w:r>
      <w:r w:rsidR="00731386" w:rsidRPr="0014412C">
        <w:rPr>
          <w:lang w:val="fr-CA"/>
        </w:rPr>
        <w:t xml:space="preserve"> </w:t>
      </w:r>
      <w:r w:rsidR="006E5419">
        <w:rPr>
          <w:lang w:val="fr-CA"/>
        </w:rPr>
        <w:t>aux fins d’application du Protocole de Montréal</w:t>
      </w:r>
      <w:r w:rsidR="00731386" w:rsidRPr="0014412C">
        <w:rPr>
          <w:lang w:val="fr-CA"/>
        </w:rPr>
        <w:t xml:space="preserve"> (</w:t>
      </w:r>
      <w:r w:rsidR="007460C7">
        <w:rPr>
          <w:lang w:val="fr-CA"/>
        </w:rPr>
        <w:t>« l</w:t>
      </w:r>
      <w:r w:rsidR="00731386" w:rsidRPr="0014412C">
        <w:rPr>
          <w:lang w:val="fr-CA"/>
        </w:rPr>
        <w:t xml:space="preserve">e </w:t>
      </w:r>
      <w:r w:rsidR="0014412C">
        <w:rPr>
          <w:lang w:val="fr-CA"/>
        </w:rPr>
        <w:t>Secrétariat du Fonds</w:t>
      </w:r>
      <w:r w:rsidR="007460C7">
        <w:rPr>
          <w:lang w:val="fr-CA"/>
        </w:rPr>
        <w:t> »</w:t>
      </w:r>
      <w:r w:rsidR="00731386" w:rsidRPr="0014412C">
        <w:rPr>
          <w:lang w:val="fr-CA"/>
        </w:rPr>
        <w:t>), co</w:t>
      </w:r>
      <w:r w:rsidR="007460C7">
        <w:rPr>
          <w:lang w:val="fr-CA"/>
        </w:rPr>
        <w:t>uvrant la période de j</w:t>
      </w:r>
      <w:r w:rsidR="0014546A">
        <w:rPr>
          <w:lang w:val="fr-CA"/>
        </w:rPr>
        <w:t>anvier</w:t>
      </w:r>
      <w:r w:rsidR="00731386" w:rsidRPr="0014412C">
        <w:rPr>
          <w:lang w:val="fr-CA"/>
        </w:rPr>
        <w:t xml:space="preserve"> 2018 </w:t>
      </w:r>
      <w:r w:rsidR="007460C7">
        <w:rPr>
          <w:lang w:val="fr-CA"/>
        </w:rPr>
        <w:t>à</w:t>
      </w:r>
      <w:r w:rsidR="00731386" w:rsidRPr="0014412C">
        <w:rPr>
          <w:lang w:val="fr-CA"/>
        </w:rPr>
        <w:t xml:space="preserve"> </w:t>
      </w:r>
      <w:r w:rsidR="007460C7">
        <w:rPr>
          <w:lang w:val="fr-CA"/>
        </w:rPr>
        <w:t>d</w:t>
      </w:r>
      <w:r w:rsidR="0014546A">
        <w:rPr>
          <w:lang w:val="fr-CA"/>
        </w:rPr>
        <w:t>écembre</w:t>
      </w:r>
      <w:r w:rsidR="00731386" w:rsidRPr="0014412C">
        <w:rPr>
          <w:lang w:val="fr-CA"/>
        </w:rPr>
        <w:t xml:space="preserve"> 2020. </w:t>
      </w:r>
      <w:r w:rsidR="007460C7">
        <w:rPr>
          <w:lang w:val="fr-CA"/>
        </w:rPr>
        <w:t>L’audit avait pour objet, selon le</w:t>
      </w:r>
      <w:r w:rsidR="00731386" w:rsidRPr="0014412C">
        <w:rPr>
          <w:lang w:val="fr-CA"/>
        </w:rPr>
        <w:t xml:space="preserve"> </w:t>
      </w:r>
      <w:r w:rsidR="0014412C" w:rsidRPr="0014412C">
        <w:rPr>
          <w:lang w:val="fr-CA"/>
        </w:rPr>
        <w:t>BSCI</w:t>
      </w:r>
      <w:r w:rsidR="00731386" w:rsidRPr="0014412C">
        <w:rPr>
          <w:lang w:val="fr-CA"/>
        </w:rPr>
        <w:t xml:space="preserve">, </w:t>
      </w:r>
      <w:r w:rsidR="007460C7">
        <w:rPr>
          <w:lang w:val="fr-CA"/>
        </w:rPr>
        <w:t>d’évaluer l’adéquation et l’efficacité de l</w:t>
      </w:r>
      <w:r w:rsidR="00707EDF">
        <w:rPr>
          <w:lang w:val="fr-CA"/>
        </w:rPr>
        <w:t>’administration, de la gestion des risques et des procédures de contrôle aux fins de la prestation des services du</w:t>
      </w:r>
      <w:r w:rsidR="00731386" w:rsidRPr="0014412C">
        <w:rPr>
          <w:lang w:val="fr-CA"/>
        </w:rPr>
        <w:t xml:space="preserve"> </w:t>
      </w:r>
      <w:r w:rsidR="0014412C">
        <w:rPr>
          <w:lang w:val="fr-CA"/>
        </w:rPr>
        <w:t>Secrétariat du Fonds</w:t>
      </w:r>
      <w:r w:rsidR="00731386" w:rsidRPr="0014412C">
        <w:rPr>
          <w:lang w:val="fr-CA"/>
        </w:rPr>
        <w:t xml:space="preserve">. </w:t>
      </w:r>
      <w:r w:rsidR="00707EDF">
        <w:rPr>
          <w:lang w:val="fr-CA"/>
        </w:rPr>
        <w:t>Il couvre les domaines à risque relevant de la planification stratégique, de la gestion des performances et de la gestion financière</w:t>
      </w:r>
      <w:r w:rsidR="00731386" w:rsidRPr="0014412C">
        <w:rPr>
          <w:lang w:val="fr-CA"/>
        </w:rPr>
        <w:t>.</w:t>
      </w:r>
    </w:p>
    <w:p w14:paraId="52D854EA" w14:textId="4276D707" w:rsidR="00731386" w:rsidRPr="0014412C" w:rsidRDefault="00707EDF" w:rsidP="00A672BF">
      <w:pPr>
        <w:pStyle w:val="Heading1"/>
        <w:spacing w:after="120"/>
        <w:rPr>
          <w:lang w:val="fr-CA"/>
        </w:rPr>
      </w:pPr>
      <w:r>
        <w:rPr>
          <w:lang w:val="fr-CA"/>
        </w:rPr>
        <w:t>L’</w:t>
      </w:r>
      <w:r w:rsidR="00731386" w:rsidRPr="0014412C">
        <w:rPr>
          <w:lang w:val="fr-CA"/>
        </w:rPr>
        <w:t xml:space="preserve">audit </w:t>
      </w:r>
      <w:r>
        <w:rPr>
          <w:lang w:val="fr-CA"/>
        </w:rPr>
        <w:t>a été menée de j</w:t>
      </w:r>
      <w:r w:rsidR="0014546A">
        <w:rPr>
          <w:lang w:val="fr-CA"/>
        </w:rPr>
        <w:t>anvier</w:t>
      </w:r>
      <w:r w:rsidR="00731386" w:rsidRPr="0014412C">
        <w:rPr>
          <w:lang w:val="fr-CA"/>
        </w:rPr>
        <w:t xml:space="preserve"> </w:t>
      </w:r>
      <w:r>
        <w:rPr>
          <w:lang w:val="fr-CA"/>
        </w:rPr>
        <w:t>à</w:t>
      </w:r>
      <w:r w:rsidR="00731386" w:rsidRPr="0014412C">
        <w:rPr>
          <w:lang w:val="fr-CA"/>
        </w:rPr>
        <w:t xml:space="preserve"> </w:t>
      </w:r>
      <w:r>
        <w:rPr>
          <w:lang w:val="fr-CA"/>
        </w:rPr>
        <w:t>mai</w:t>
      </w:r>
      <w:r w:rsidR="00731386" w:rsidRPr="0014412C">
        <w:rPr>
          <w:lang w:val="fr-CA"/>
        </w:rPr>
        <w:t xml:space="preserve"> 2021. </w:t>
      </w:r>
      <w:r w:rsidR="00754BF8">
        <w:rPr>
          <w:lang w:val="fr-CA"/>
        </w:rPr>
        <w:t>La méthodologie appliquée comprenait des entrevues avec le personnel clé</w:t>
      </w:r>
      <w:r w:rsidR="00731386" w:rsidRPr="0014412C">
        <w:rPr>
          <w:lang w:val="fr-CA"/>
        </w:rPr>
        <w:t xml:space="preserve">; </w:t>
      </w:r>
      <w:r w:rsidR="00754BF8">
        <w:rPr>
          <w:lang w:val="fr-CA"/>
        </w:rPr>
        <w:t>l’étude des documents pertinents</w:t>
      </w:r>
      <w:r w:rsidR="00731386" w:rsidRPr="0014412C">
        <w:rPr>
          <w:lang w:val="fr-CA"/>
        </w:rPr>
        <w:t xml:space="preserve">; </w:t>
      </w:r>
      <w:r w:rsidR="00754BF8">
        <w:rPr>
          <w:lang w:val="fr-CA"/>
        </w:rPr>
        <w:t xml:space="preserve">l’examen analytique des données </w:t>
      </w:r>
      <w:r w:rsidR="00D52E66">
        <w:rPr>
          <w:lang w:val="fr-CA"/>
        </w:rPr>
        <w:t xml:space="preserve">de </w:t>
      </w:r>
      <w:proofErr w:type="spellStart"/>
      <w:r w:rsidR="00731386" w:rsidRPr="0014412C">
        <w:rPr>
          <w:lang w:val="fr-CA"/>
        </w:rPr>
        <w:t>Umoja</w:t>
      </w:r>
      <w:proofErr w:type="spellEnd"/>
      <w:r w:rsidR="00731386" w:rsidRPr="0014412C">
        <w:rPr>
          <w:lang w:val="fr-CA"/>
        </w:rPr>
        <w:t>;</w:t>
      </w:r>
      <w:r w:rsidR="00731386" w:rsidRPr="0014412C">
        <w:rPr>
          <w:rStyle w:val="FootnoteReference"/>
          <w:lang w:val="fr-CA"/>
        </w:rPr>
        <w:footnoteReference w:id="2"/>
      </w:r>
      <w:r w:rsidR="00731386" w:rsidRPr="0014412C">
        <w:rPr>
          <w:lang w:val="fr-CA"/>
        </w:rPr>
        <w:t xml:space="preserve"> </w:t>
      </w:r>
      <w:r w:rsidR="00D52E66">
        <w:rPr>
          <w:lang w:val="fr-CA"/>
        </w:rPr>
        <w:t>et la vérification d’échantillons de transactions</w:t>
      </w:r>
      <w:r w:rsidR="00731386" w:rsidRPr="0014412C">
        <w:rPr>
          <w:lang w:val="fr-CA"/>
        </w:rPr>
        <w:t xml:space="preserve">. </w:t>
      </w:r>
      <w:r w:rsidR="00D52E66">
        <w:rPr>
          <w:lang w:val="fr-CA"/>
        </w:rPr>
        <w:t xml:space="preserve">En raison des restrictions imposées par la pandémie de </w:t>
      </w:r>
      <w:r w:rsidR="00731386" w:rsidRPr="0014412C">
        <w:rPr>
          <w:lang w:val="fr-CA"/>
        </w:rPr>
        <w:t>COVID</w:t>
      </w:r>
      <w:r w:rsidR="00A672BF">
        <w:rPr>
          <w:lang w:val="fr-CA"/>
        </w:rPr>
        <w:noBreakHyphen/>
      </w:r>
      <w:r w:rsidR="00731386" w:rsidRPr="0014412C">
        <w:rPr>
          <w:lang w:val="fr-CA"/>
        </w:rPr>
        <w:t xml:space="preserve">19, </w:t>
      </w:r>
      <w:r w:rsidR="00D52E66">
        <w:rPr>
          <w:lang w:val="fr-CA"/>
        </w:rPr>
        <w:t>l’équipe d’</w:t>
      </w:r>
      <w:r w:rsidR="00731386" w:rsidRPr="0014412C">
        <w:rPr>
          <w:lang w:val="fr-CA"/>
        </w:rPr>
        <w:t xml:space="preserve">audit </w:t>
      </w:r>
      <w:r w:rsidR="00D52E66">
        <w:rPr>
          <w:lang w:val="fr-CA"/>
        </w:rPr>
        <w:t xml:space="preserve">n’a pas été en mesure de se rendre à </w:t>
      </w:r>
      <w:r w:rsidR="00D52E66" w:rsidRPr="0014412C">
        <w:rPr>
          <w:lang w:val="fr-CA"/>
        </w:rPr>
        <w:t>Montréal</w:t>
      </w:r>
      <w:r w:rsidR="00D52E66">
        <w:rPr>
          <w:lang w:val="fr-CA"/>
        </w:rPr>
        <w:t xml:space="preserve"> (</w:t>
      </w:r>
      <w:r w:rsidR="00731386" w:rsidRPr="0014412C">
        <w:rPr>
          <w:lang w:val="fr-CA"/>
        </w:rPr>
        <w:t>Canada</w:t>
      </w:r>
      <w:r w:rsidR="00D52E66">
        <w:rPr>
          <w:lang w:val="fr-CA"/>
        </w:rPr>
        <w:t>)</w:t>
      </w:r>
      <w:r w:rsidR="00731386" w:rsidRPr="0014412C">
        <w:rPr>
          <w:lang w:val="fr-CA"/>
        </w:rPr>
        <w:t xml:space="preserve">, </w:t>
      </w:r>
      <w:r w:rsidR="00D52E66">
        <w:rPr>
          <w:lang w:val="fr-CA"/>
        </w:rPr>
        <w:t xml:space="preserve">le siège du </w:t>
      </w:r>
      <w:r w:rsidR="0014412C">
        <w:rPr>
          <w:lang w:val="fr-CA"/>
        </w:rPr>
        <w:t>Secrétariat du Fonds</w:t>
      </w:r>
      <w:r w:rsidR="00731386" w:rsidRPr="0014412C">
        <w:rPr>
          <w:lang w:val="fr-CA"/>
        </w:rPr>
        <w:t xml:space="preserve">. </w:t>
      </w:r>
      <w:r w:rsidR="00D52E66">
        <w:rPr>
          <w:lang w:val="fr-CA"/>
        </w:rPr>
        <w:t>L’équipe s</w:t>
      </w:r>
      <w:r w:rsidR="00573740">
        <w:rPr>
          <w:lang w:val="fr-CA"/>
        </w:rPr>
        <w:t xml:space="preserve">’était donc basée sur les </w:t>
      </w:r>
      <w:r w:rsidR="00731386" w:rsidRPr="0014412C">
        <w:rPr>
          <w:lang w:val="fr-CA"/>
        </w:rPr>
        <w:t>information</w:t>
      </w:r>
      <w:r w:rsidR="00573740">
        <w:rPr>
          <w:lang w:val="fr-CA"/>
        </w:rPr>
        <w:t>s et les documents fournis par l</w:t>
      </w:r>
      <w:r w:rsidR="00731386" w:rsidRPr="0014412C">
        <w:rPr>
          <w:lang w:val="fr-CA"/>
        </w:rPr>
        <w:t xml:space="preserve">e </w:t>
      </w:r>
      <w:r w:rsidR="0014412C">
        <w:rPr>
          <w:lang w:val="fr-CA"/>
        </w:rPr>
        <w:t>Secrétariat du Fonds</w:t>
      </w:r>
      <w:r w:rsidR="00731386" w:rsidRPr="0014412C">
        <w:rPr>
          <w:lang w:val="fr-CA"/>
        </w:rPr>
        <w:t xml:space="preserve">, </w:t>
      </w:r>
      <w:r w:rsidR="00573740">
        <w:rPr>
          <w:lang w:val="fr-CA"/>
        </w:rPr>
        <w:t>en plus des données d’</w:t>
      </w:r>
      <w:proofErr w:type="spellStart"/>
      <w:r w:rsidR="00731386" w:rsidRPr="0014412C">
        <w:rPr>
          <w:lang w:val="fr-CA"/>
        </w:rPr>
        <w:t>Umoja</w:t>
      </w:r>
      <w:proofErr w:type="spellEnd"/>
      <w:r w:rsidR="00731386" w:rsidRPr="0014412C">
        <w:rPr>
          <w:lang w:val="fr-CA"/>
        </w:rPr>
        <w:t xml:space="preserve">, </w:t>
      </w:r>
      <w:r w:rsidR="00573740">
        <w:rPr>
          <w:lang w:val="fr-CA"/>
        </w:rPr>
        <w:t>et d’un certain nombre de rencontres en ligne</w:t>
      </w:r>
      <w:r w:rsidR="00731386" w:rsidRPr="0014412C">
        <w:rPr>
          <w:lang w:val="fr-CA"/>
        </w:rPr>
        <w:t xml:space="preserve">. </w:t>
      </w:r>
      <w:r w:rsidR="00573740">
        <w:rPr>
          <w:lang w:val="fr-CA"/>
        </w:rPr>
        <w:t>L’a</w:t>
      </w:r>
      <w:r w:rsidR="00731386" w:rsidRPr="0014412C">
        <w:rPr>
          <w:lang w:val="fr-CA"/>
        </w:rPr>
        <w:t xml:space="preserve">udit </w:t>
      </w:r>
      <w:r w:rsidR="00573740">
        <w:rPr>
          <w:lang w:val="fr-CA"/>
        </w:rPr>
        <w:t xml:space="preserve">a été effectué en conformité aux Normes internationales </w:t>
      </w:r>
      <w:r w:rsidR="00E6042D">
        <w:rPr>
          <w:lang w:val="fr-CA"/>
        </w:rPr>
        <w:t xml:space="preserve">pour </w:t>
      </w:r>
      <w:r w:rsidR="00573740">
        <w:rPr>
          <w:lang w:val="fr-CA"/>
        </w:rPr>
        <w:t xml:space="preserve">la </w:t>
      </w:r>
      <w:r w:rsidR="00E6042D">
        <w:rPr>
          <w:lang w:val="fr-CA"/>
        </w:rPr>
        <w:t>p</w:t>
      </w:r>
      <w:r w:rsidR="00573740">
        <w:rPr>
          <w:lang w:val="fr-CA"/>
        </w:rPr>
        <w:t>ratique professionnelle de l’audit interne</w:t>
      </w:r>
      <w:r w:rsidR="00731386" w:rsidRPr="0014412C">
        <w:rPr>
          <w:lang w:val="fr-CA"/>
        </w:rPr>
        <w:t>.</w:t>
      </w:r>
    </w:p>
    <w:p w14:paraId="503E8447" w14:textId="16B54486" w:rsidR="00731386" w:rsidRPr="0014412C" w:rsidRDefault="00731386" w:rsidP="00A672BF">
      <w:pPr>
        <w:keepNext/>
        <w:keepLines/>
        <w:widowControl w:val="0"/>
        <w:rPr>
          <w:b/>
          <w:lang w:val="fr-CA"/>
        </w:rPr>
      </w:pPr>
      <w:r w:rsidRPr="0014412C">
        <w:rPr>
          <w:b/>
          <w:lang w:val="fr-CA"/>
        </w:rPr>
        <w:lastRenderedPageBreak/>
        <w:t>R</w:t>
      </w:r>
      <w:r w:rsidR="00E6042D">
        <w:rPr>
          <w:b/>
          <w:lang w:val="fr-CA"/>
        </w:rPr>
        <w:t>é</w:t>
      </w:r>
      <w:r w:rsidRPr="0014412C">
        <w:rPr>
          <w:b/>
          <w:lang w:val="fr-CA"/>
        </w:rPr>
        <w:t>sult</w:t>
      </w:r>
      <w:r w:rsidR="00E6042D">
        <w:rPr>
          <w:b/>
          <w:lang w:val="fr-CA"/>
        </w:rPr>
        <w:t>at</w:t>
      </w:r>
      <w:r w:rsidRPr="0014412C">
        <w:rPr>
          <w:b/>
          <w:lang w:val="fr-CA"/>
        </w:rPr>
        <w:t xml:space="preserve">s </w:t>
      </w:r>
      <w:r w:rsidR="00E6042D">
        <w:rPr>
          <w:b/>
          <w:lang w:val="fr-CA"/>
        </w:rPr>
        <w:t>de l’</w:t>
      </w:r>
      <w:r w:rsidRPr="0014412C">
        <w:rPr>
          <w:b/>
          <w:lang w:val="fr-CA"/>
        </w:rPr>
        <w:t>audit</w:t>
      </w:r>
    </w:p>
    <w:p w14:paraId="09656785" w14:textId="77777777" w:rsidR="00731386" w:rsidRPr="0014412C" w:rsidRDefault="00731386" w:rsidP="00A672BF">
      <w:pPr>
        <w:keepNext/>
        <w:keepLines/>
        <w:widowControl w:val="0"/>
        <w:rPr>
          <w:lang w:val="fr-CA"/>
        </w:rPr>
      </w:pPr>
    </w:p>
    <w:p w14:paraId="124116FC" w14:textId="60B175C8" w:rsidR="00731386" w:rsidRPr="0014412C" w:rsidRDefault="00E6042D" w:rsidP="00A672BF">
      <w:pPr>
        <w:pStyle w:val="Heading1"/>
        <w:keepNext/>
        <w:keepLines/>
        <w:widowControl w:val="0"/>
        <w:rPr>
          <w:lang w:val="fr-CA"/>
        </w:rPr>
      </w:pPr>
      <w:r>
        <w:rPr>
          <w:lang w:val="fr-CA"/>
        </w:rPr>
        <w:t>À l’issue de l’a</w:t>
      </w:r>
      <w:r w:rsidR="00731386" w:rsidRPr="0014412C">
        <w:rPr>
          <w:lang w:val="fr-CA"/>
        </w:rPr>
        <w:t xml:space="preserve">udit, </w:t>
      </w:r>
      <w:r>
        <w:rPr>
          <w:lang w:val="fr-CA"/>
        </w:rPr>
        <w:t xml:space="preserve">le </w:t>
      </w:r>
      <w:r w:rsidR="0014412C" w:rsidRPr="0014412C">
        <w:rPr>
          <w:lang w:val="fr-CA"/>
        </w:rPr>
        <w:t>BSCI</w:t>
      </w:r>
      <w:r w:rsidR="00731386" w:rsidRPr="0014412C">
        <w:rPr>
          <w:lang w:val="fr-CA"/>
        </w:rPr>
        <w:t xml:space="preserve"> </w:t>
      </w:r>
      <w:r>
        <w:rPr>
          <w:lang w:val="fr-CA"/>
        </w:rPr>
        <w:t xml:space="preserve">a formulé les </w:t>
      </w:r>
      <w:r w:rsidR="00731386" w:rsidRPr="0014412C">
        <w:rPr>
          <w:lang w:val="fr-CA"/>
        </w:rPr>
        <w:t xml:space="preserve">six </w:t>
      </w:r>
      <w:r w:rsidR="0014546A">
        <w:rPr>
          <w:lang w:val="fr-CA"/>
        </w:rPr>
        <w:t>recommandation</w:t>
      </w:r>
      <w:r w:rsidR="00731386" w:rsidRPr="0014412C">
        <w:rPr>
          <w:lang w:val="fr-CA"/>
        </w:rPr>
        <w:t>s</w:t>
      </w:r>
      <w:r>
        <w:rPr>
          <w:lang w:val="fr-CA"/>
        </w:rPr>
        <w:t xml:space="preserve"> ci-après</w:t>
      </w:r>
      <w:r w:rsidR="00731386" w:rsidRPr="0014412C">
        <w:rPr>
          <w:lang w:val="fr-CA"/>
        </w:rPr>
        <w:t>, class</w:t>
      </w:r>
      <w:r>
        <w:rPr>
          <w:lang w:val="fr-CA"/>
        </w:rPr>
        <w:t>ées comme « importantes »,</w:t>
      </w:r>
      <w:r w:rsidR="00731386" w:rsidRPr="0014412C">
        <w:rPr>
          <w:rStyle w:val="FootnoteReference"/>
          <w:lang w:val="fr-CA"/>
        </w:rPr>
        <w:footnoteReference w:id="3"/>
      </w:r>
      <w:r w:rsidR="00731386" w:rsidRPr="0014412C">
        <w:rPr>
          <w:lang w:val="fr-CA"/>
        </w:rPr>
        <w:t xml:space="preserve"> </w:t>
      </w:r>
      <w:r>
        <w:rPr>
          <w:lang w:val="fr-CA"/>
        </w:rPr>
        <w:t xml:space="preserve">qui devraient être abordées par le </w:t>
      </w:r>
      <w:r w:rsidR="0014412C">
        <w:rPr>
          <w:lang w:val="fr-CA"/>
        </w:rPr>
        <w:t>Secrétariat du Fonds</w:t>
      </w:r>
      <w:r w:rsidR="00731386" w:rsidRPr="0014412C">
        <w:rPr>
          <w:lang w:val="fr-CA"/>
        </w:rPr>
        <w:t xml:space="preserve"> (</w:t>
      </w:r>
      <w:r>
        <w:rPr>
          <w:lang w:val="fr-CA"/>
        </w:rPr>
        <w:t>cinq</w:t>
      </w:r>
      <w:r w:rsidR="00731386" w:rsidRPr="0014412C">
        <w:rPr>
          <w:lang w:val="fr-CA"/>
        </w:rPr>
        <w:t xml:space="preserve"> </w:t>
      </w:r>
      <w:r w:rsidR="0014546A">
        <w:rPr>
          <w:lang w:val="fr-CA"/>
        </w:rPr>
        <w:t>recommandation</w:t>
      </w:r>
      <w:r w:rsidR="00731386" w:rsidRPr="0014412C">
        <w:rPr>
          <w:lang w:val="fr-CA"/>
        </w:rPr>
        <w:t xml:space="preserve">s) </w:t>
      </w:r>
      <w:r>
        <w:rPr>
          <w:lang w:val="fr-CA"/>
        </w:rPr>
        <w:t xml:space="preserve">et par le </w:t>
      </w:r>
      <w:r w:rsidR="0014546A">
        <w:rPr>
          <w:lang w:val="fr-CA"/>
        </w:rPr>
        <w:t>PNUE</w:t>
      </w:r>
      <w:r w:rsidR="00731386" w:rsidRPr="0014412C">
        <w:rPr>
          <w:lang w:val="fr-CA"/>
        </w:rPr>
        <w:t xml:space="preserve"> </w:t>
      </w:r>
      <w:r>
        <w:rPr>
          <w:lang w:val="fr-CA"/>
        </w:rPr>
        <w:t xml:space="preserve">en sa qualité de </w:t>
      </w:r>
      <w:r w:rsidR="00277470" w:rsidRPr="0014412C">
        <w:rPr>
          <w:lang w:val="fr-CA"/>
        </w:rPr>
        <w:t>Trésorier</w:t>
      </w:r>
      <w:r w:rsidR="00731386" w:rsidRPr="0014412C">
        <w:rPr>
          <w:lang w:val="fr-CA"/>
        </w:rPr>
        <w:t xml:space="preserve"> </w:t>
      </w:r>
      <w:r>
        <w:rPr>
          <w:lang w:val="fr-CA"/>
        </w:rPr>
        <w:t>du</w:t>
      </w:r>
      <w:r w:rsidR="00731386" w:rsidRPr="0014412C">
        <w:rPr>
          <w:lang w:val="fr-CA"/>
        </w:rPr>
        <w:t xml:space="preserve"> </w:t>
      </w:r>
      <w:r w:rsidR="00277470" w:rsidRPr="0014412C">
        <w:rPr>
          <w:lang w:val="fr-CA"/>
        </w:rPr>
        <w:t>Fonds multilatéral</w:t>
      </w:r>
      <w:r w:rsidR="00731386" w:rsidRPr="0014412C">
        <w:rPr>
          <w:lang w:val="fr-CA"/>
        </w:rPr>
        <w:t xml:space="preserve"> (</w:t>
      </w:r>
      <w:r>
        <w:rPr>
          <w:lang w:val="fr-CA"/>
        </w:rPr>
        <w:t>une</w:t>
      </w:r>
      <w:r w:rsidR="00731386" w:rsidRPr="0014412C">
        <w:rPr>
          <w:lang w:val="fr-CA"/>
        </w:rPr>
        <w:t xml:space="preserve"> </w:t>
      </w:r>
      <w:r w:rsidR="0014546A">
        <w:rPr>
          <w:lang w:val="fr-CA"/>
        </w:rPr>
        <w:t>recommandation</w:t>
      </w:r>
      <w:r w:rsidR="00731386" w:rsidRPr="0014412C">
        <w:rPr>
          <w:lang w:val="fr-CA"/>
        </w:rPr>
        <w:t>):</w:t>
      </w:r>
    </w:p>
    <w:p w14:paraId="661B87D4" w14:textId="5BD48F66" w:rsidR="00731386" w:rsidRPr="0014412C" w:rsidRDefault="00E6042D" w:rsidP="00731386">
      <w:pPr>
        <w:pStyle w:val="Heading2"/>
        <w:numPr>
          <w:ilvl w:val="1"/>
          <w:numId w:val="1"/>
        </w:numPr>
        <w:rPr>
          <w:lang w:val="fr-CA"/>
        </w:rPr>
      </w:pPr>
      <w:bookmarkStart w:id="0" w:name="_Hlk87786453"/>
      <w:r>
        <w:rPr>
          <w:lang w:val="fr-CA"/>
        </w:rPr>
        <w:t>Appeler à l’</w:t>
      </w:r>
      <w:r w:rsidR="00731386" w:rsidRPr="0014412C">
        <w:rPr>
          <w:lang w:val="fr-CA"/>
        </w:rPr>
        <w:t xml:space="preserve">attention </w:t>
      </w:r>
      <w:r>
        <w:rPr>
          <w:lang w:val="fr-CA"/>
        </w:rPr>
        <w:t>du</w:t>
      </w:r>
      <w:r w:rsidR="00731386" w:rsidRPr="0014412C">
        <w:rPr>
          <w:lang w:val="fr-CA"/>
        </w:rPr>
        <w:t xml:space="preserve"> </w:t>
      </w:r>
      <w:r w:rsidR="00277470" w:rsidRPr="0014412C">
        <w:rPr>
          <w:lang w:val="fr-CA"/>
        </w:rPr>
        <w:t>Comité Exécutif</w:t>
      </w:r>
      <w:r w:rsidR="00731386" w:rsidRPr="0014412C">
        <w:rPr>
          <w:lang w:val="fr-CA"/>
        </w:rPr>
        <w:t xml:space="preserve"> </w:t>
      </w:r>
      <w:r>
        <w:rPr>
          <w:lang w:val="fr-CA"/>
        </w:rPr>
        <w:t>la nécessité de</w:t>
      </w:r>
      <w:bookmarkEnd w:id="0"/>
      <w:r>
        <w:rPr>
          <w:lang w:val="fr-CA"/>
        </w:rPr>
        <w:t xml:space="preserve"> renforcer davantage </w:t>
      </w:r>
      <w:r w:rsidR="00777120">
        <w:rPr>
          <w:lang w:val="fr-CA"/>
        </w:rPr>
        <w:t>les indicateurs de performance qui mesurent la réalisation des objectifs de ses activités visant la parité homme-femme</w:t>
      </w:r>
      <w:r w:rsidR="00731386" w:rsidRPr="0014412C">
        <w:rPr>
          <w:lang w:val="fr-CA"/>
        </w:rPr>
        <w:t>;</w:t>
      </w:r>
    </w:p>
    <w:p w14:paraId="4936B864" w14:textId="13579BA6" w:rsidR="00731386" w:rsidRPr="0014412C" w:rsidRDefault="00777120" w:rsidP="00731386">
      <w:pPr>
        <w:pStyle w:val="Heading2"/>
        <w:numPr>
          <w:ilvl w:val="1"/>
          <w:numId w:val="1"/>
        </w:numPr>
        <w:rPr>
          <w:lang w:val="fr-CA"/>
        </w:rPr>
      </w:pPr>
      <w:r w:rsidRPr="00777120">
        <w:rPr>
          <w:lang w:val="fr-CA"/>
        </w:rPr>
        <w:t xml:space="preserve">Appeler à l’attention du Comité Exécutif la nécessité </w:t>
      </w:r>
      <w:r>
        <w:rPr>
          <w:lang w:val="fr-CA"/>
        </w:rPr>
        <w:t xml:space="preserve">d’établir un cadre </w:t>
      </w:r>
      <w:r w:rsidRPr="00777120">
        <w:rPr>
          <w:lang w:val="fr-CA"/>
        </w:rPr>
        <w:t xml:space="preserve">de </w:t>
      </w:r>
      <w:r>
        <w:rPr>
          <w:lang w:val="fr-CA"/>
        </w:rPr>
        <w:t>gestion des risques d’entreprise aux fins d’une plus grande efficacité dans l’</w:t>
      </w:r>
      <w:r w:rsidR="00731386" w:rsidRPr="0014412C">
        <w:rPr>
          <w:lang w:val="fr-CA"/>
        </w:rPr>
        <w:t xml:space="preserve">identification, </w:t>
      </w:r>
      <w:r>
        <w:rPr>
          <w:lang w:val="fr-CA"/>
        </w:rPr>
        <w:t>l’évaluation et la gestion des risques</w:t>
      </w:r>
      <w:r w:rsidR="00731386" w:rsidRPr="0014412C">
        <w:rPr>
          <w:lang w:val="fr-CA"/>
        </w:rPr>
        <w:t>;</w:t>
      </w:r>
    </w:p>
    <w:p w14:paraId="534CAF24" w14:textId="51B1CD49" w:rsidR="00731386" w:rsidRPr="0014412C" w:rsidRDefault="00777120" w:rsidP="00731386">
      <w:pPr>
        <w:pStyle w:val="Heading2"/>
        <w:numPr>
          <w:ilvl w:val="1"/>
          <w:numId w:val="1"/>
        </w:numPr>
        <w:rPr>
          <w:lang w:val="fr-CA"/>
        </w:rPr>
      </w:pPr>
      <w:r>
        <w:rPr>
          <w:lang w:val="fr-CA"/>
        </w:rPr>
        <w:t>Appeler à l’</w:t>
      </w:r>
      <w:r w:rsidRPr="0014412C">
        <w:rPr>
          <w:lang w:val="fr-CA"/>
        </w:rPr>
        <w:t xml:space="preserve">attention </w:t>
      </w:r>
      <w:r>
        <w:rPr>
          <w:lang w:val="fr-CA"/>
        </w:rPr>
        <w:t>du</w:t>
      </w:r>
      <w:r w:rsidRPr="0014412C">
        <w:rPr>
          <w:lang w:val="fr-CA"/>
        </w:rPr>
        <w:t xml:space="preserve"> Comité Exécutif </w:t>
      </w:r>
      <w:r>
        <w:rPr>
          <w:lang w:val="fr-CA"/>
        </w:rPr>
        <w:t>la nécessité d</w:t>
      </w:r>
      <w:r w:rsidR="00D563B3">
        <w:rPr>
          <w:lang w:val="fr-CA"/>
        </w:rPr>
        <w:t>’une analyse plus efficace des causes fondamentales des retards dans la mise en œuvre des projets, et d</w:t>
      </w:r>
      <w:r>
        <w:rPr>
          <w:lang w:val="fr-CA"/>
        </w:rPr>
        <w:t>e</w:t>
      </w:r>
      <w:r w:rsidRPr="0014412C">
        <w:rPr>
          <w:lang w:val="fr-CA"/>
        </w:rPr>
        <w:t xml:space="preserve"> </w:t>
      </w:r>
      <w:r w:rsidR="00D563B3">
        <w:rPr>
          <w:lang w:val="fr-CA"/>
        </w:rPr>
        <w:t>prendre des mesures correctives pour régler les problèmes systémiques</w:t>
      </w:r>
      <w:r w:rsidR="00731386" w:rsidRPr="0014412C">
        <w:rPr>
          <w:lang w:val="fr-CA"/>
        </w:rPr>
        <w:t>;</w:t>
      </w:r>
    </w:p>
    <w:p w14:paraId="3FE7D79D" w14:textId="4161C0BA" w:rsidR="00731386" w:rsidRPr="0014412C" w:rsidRDefault="00731386" w:rsidP="00731386">
      <w:pPr>
        <w:pStyle w:val="Heading2"/>
        <w:numPr>
          <w:ilvl w:val="1"/>
          <w:numId w:val="1"/>
        </w:numPr>
        <w:rPr>
          <w:lang w:val="fr-CA"/>
        </w:rPr>
      </w:pPr>
      <w:r w:rsidRPr="0014412C">
        <w:rPr>
          <w:lang w:val="fr-CA"/>
        </w:rPr>
        <w:t>R</w:t>
      </w:r>
      <w:r w:rsidR="00D563B3">
        <w:rPr>
          <w:lang w:val="fr-CA"/>
        </w:rPr>
        <w:t xml:space="preserve">appeler aux agences d’exécution d’assurer la conformité aux décisions du </w:t>
      </w:r>
      <w:r w:rsidR="00277470" w:rsidRPr="0014412C">
        <w:rPr>
          <w:lang w:val="fr-CA"/>
        </w:rPr>
        <w:t>Comité Exécutif</w:t>
      </w:r>
      <w:r w:rsidR="00D563B3">
        <w:rPr>
          <w:lang w:val="fr-CA"/>
        </w:rPr>
        <w:t xml:space="preserve"> sur l’achèvement des projets et les comptes rendus</w:t>
      </w:r>
      <w:r w:rsidRPr="0014412C">
        <w:rPr>
          <w:lang w:val="fr-CA"/>
        </w:rPr>
        <w:t>;</w:t>
      </w:r>
    </w:p>
    <w:p w14:paraId="3C476C37" w14:textId="75C9EC10" w:rsidR="00731386" w:rsidRPr="0014412C" w:rsidRDefault="00D563B3" w:rsidP="00731386">
      <w:pPr>
        <w:pStyle w:val="Heading2"/>
        <w:numPr>
          <w:ilvl w:val="1"/>
          <w:numId w:val="1"/>
        </w:numPr>
        <w:rPr>
          <w:lang w:val="fr-CA"/>
        </w:rPr>
      </w:pPr>
      <w:r>
        <w:rPr>
          <w:lang w:val="fr-CA"/>
        </w:rPr>
        <w:t xml:space="preserve">Exécuter des plans d’action pour régler les retards dans la clôture financière des projets dépassant la limite des douze mois stipulée par le </w:t>
      </w:r>
      <w:r w:rsidR="00277470" w:rsidRPr="0014412C">
        <w:rPr>
          <w:lang w:val="fr-CA"/>
        </w:rPr>
        <w:t>Comité Exécutif</w:t>
      </w:r>
      <w:r w:rsidR="00731386" w:rsidRPr="0014412C">
        <w:rPr>
          <w:lang w:val="fr-CA"/>
        </w:rPr>
        <w:t xml:space="preserve">; </w:t>
      </w:r>
      <w:r w:rsidR="000F5C1A">
        <w:rPr>
          <w:lang w:val="fr-CA"/>
        </w:rPr>
        <w:t>et</w:t>
      </w:r>
    </w:p>
    <w:p w14:paraId="1B0F4D14" w14:textId="7A1AAC5B" w:rsidR="00731386" w:rsidRPr="0014412C" w:rsidRDefault="000F5C1A" w:rsidP="00731386">
      <w:pPr>
        <w:pStyle w:val="Heading2"/>
        <w:numPr>
          <w:ilvl w:val="1"/>
          <w:numId w:val="1"/>
        </w:numPr>
        <w:rPr>
          <w:lang w:val="fr-CA"/>
        </w:rPr>
      </w:pPr>
      <w:r>
        <w:rPr>
          <w:lang w:val="fr-CA"/>
        </w:rPr>
        <w:t>Établir un plan d’</w:t>
      </w:r>
      <w:r w:rsidR="007316DD">
        <w:rPr>
          <w:lang w:val="fr-CA"/>
        </w:rPr>
        <w:t xml:space="preserve">action pour examiner les avances de longue date du </w:t>
      </w:r>
      <w:r w:rsidR="00277470" w:rsidRPr="0014412C">
        <w:rPr>
          <w:lang w:val="fr-CA"/>
        </w:rPr>
        <w:t>Fonds multilatéral</w:t>
      </w:r>
      <w:r w:rsidR="00731386" w:rsidRPr="0014412C">
        <w:rPr>
          <w:lang w:val="fr-CA"/>
        </w:rPr>
        <w:t xml:space="preserve"> </w:t>
      </w:r>
      <w:r w:rsidR="007316DD">
        <w:rPr>
          <w:lang w:val="fr-CA"/>
        </w:rPr>
        <w:t xml:space="preserve">aux fins d’application du </w:t>
      </w:r>
      <w:r w:rsidR="006E5419">
        <w:rPr>
          <w:lang w:val="fr-CA"/>
        </w:rPr>
        <w:t>Protocole de Montréal</w:t>
      </w:r>
      <w:r w:rsidR="00731386" w:rsidRPr="0014412C">
        <w:rPr>
          <w:lang w:val="fr-CA"/>
        </w:rPr>
        <w:t xml:space="preserve"> </w:t>
      </w:r>
      <w:r w:rsidR="007316DD">
        <w:rPr>
          <w:lang w:val="fr-CA"/>
        </w:rPr>
        <w:t>et les résoudre</w:t>
      </w:r>
      <w:r w:rsidR="00731386" w:rsidRPr="0014412C">
        <w:rPr>
          <w:lang w:val="fr-CA"/>
        </w:rPr>
        <w:t>.</w:t>
      </w:r>
    </w:p>
    <w:p w14:paraId="350CBC9A" w14:textId="6E19D3E2" w:rsidR="00731386" w:rsidRPr="0014412C" w:rsidRDefault="00731386" w:rsidP="00731386">
      <w:pPr>
        <w:pStyle w:val="Heading1"/>
        <w:rPr>
          <w:lang w:val="fr-CA"/>
        </w:rPr>
      </w:pPr>
      <w:r w:rsidRPr="0014412C">
        <w:rPr>
          <w:lang w:val="fr-CA"/>
        </w:rPr>
        <w:t>A</w:t>
      </w:r>
      <w:r w:rsidR="007316DD">
        <w:rPr>
          <w:lang w:val="fr-CA"/>
        </w:rPr>
        <w:t xml:space="preserve">près un examen détaillé des </w:t>
      </w:r>
      <w:r w:rsidR="0014546A">
        <w:rPr>
          <w:lang w:val="fr-CA"/>
        </w:rPr>
        <w:t>recommandation</w:t>
      </w:r>
      <w:r w:rsidRPr="0014412C">
        <w:rPr>
          <w:lang w:val="fr-CA"/>
        </w:rPr>
        <w:t xml:space="preserve">s </w:t>
      </w:r>
      <w:r w:rsidR="007316DD">
        <w:rPr>
          <w:lang w:val="fr-CA"/>
        </w:rPr>
        <w:t xml:space="preserve">et à l’issue d’autres </w:t>
      </w:r>
      <w:r w:rsidRPr="0014412C">
        <w:rPr>
          <w:lang w:val="fr-CA"/>
        </w:rPr>
        <w:t xml:space="preserve">discussions </w:t>
      </w:r>
      <w:r w:rsidR="007316DD">
        <w:rPr>
          <w:lang w:val="fr-CA"/>
        </w:rPr>
        <w:t xml:space="preserve">avec l’équipe d’audit, le Chef du Secrétariat a accepté, au nom du </w:t>
      </w:r>
      <w:r w:rsidR="0014412C">
        <w:rPr>
          <w:lang w:val="fr-CA"/>
        </w:rPr>
        <w:t>Secrétariat du Fonds</w:t>
      </w:r>
      <w:r w:rsidRPr="0014412C">
        <w:rPr>
          <w:lang w:val="fr-CA"/>
        </w:rPr>
        <w:t xml:space="preserve">, </w:t>
      </w:r>
      <w:r w:rsidR="007316DD">
        <w:rPr>
          <w:lang w:val="fr-CA"/>
        </w:rPr>
        <w:t xml:space="preserve">les </w:t>
      </w:r>
      <w:r w:rsidR="0014546A">
        <w:rPr>
          <w:lang w:val="fr-CA"/>
        </w:rPr>
        <w:t>recommandation</w:t>
      </w:r>
      <w:r w:rsidRPr="0014412C">
        <w:rPr>
          <w:lang w:val="fr-CA"/>
        </w:rPr>
        <w:t xml:space="preserve">s </w:t>
      </w:r>
      <w:r w:rsidR="007316DD">
        <w:rPr>
          <w:lang w:val="fr-CA"/>
        </w:rPr>
        <w:t>des vérificateurs, formulé des observations et indiqué</w:t>
      </w:r>
      <w:r w:rsidR="000E3378">
        <w:rPr>
          <w:lang w:val="fr-CA"/>
        </w:rPr>
        <w:t xml:space="preserve"> que les six recommandations recevront une suite d’ici au </w:t>
      </w:r>
      <w:r w:rsidRPr="0014412C">
        <w:rPr>
          <w:lang w:val="fr-CA"/>
        </w:rPr>
        <w:t xml:space="preserve">31 </w:t>
      </w:r>
      <w:r w:rsidR="000E3378">
        <w:rPr>
          <w:lang w:val="fr-CA"/>
        </w:rPr>
        <w:t>d</w:t>
      </w:r>
      <w:r w:rsidR="0014546A">
        <w:rPr>
          <w:lang w:val="fr-CA"/>
        </w:rPr>
        <w:t>écembre</w:t>
      </w:r>
      <w:r w:rsidRPr="0014412C">
        <w:rPr>
          <w:lang w:val="fr-CA"/>
        </w:rPr>
        <w:t xml:space="preserve"> 2021. </w:t>
      </w:r>
    </w:p>
    <w:p w14:paraId="44AC2C99" w14:textId="29CCF109" w:rsidR="00731386" w:rsidRPr="0014412C" w:rsidRDefault="000E3378" w:rsidP="00731386">
      <w:pPr>
        <w:pStyle w:val="Heading1"/>
        <w:rPr>
          <w:lang w:val="fr-CA"/>
        </w:rPr>
      </w:pPr>
      <w:r>
        <w:rPr>
          <w:lang w:val="fr-CA"/>
        </w:rPr>
        <w:t>Le rapport de l’</w:t>
      </w:r>
      <w:r w:rsidR="00731386" w:rsidRPr="0014412C">
        <w:rPr>
          <w:lang w:val="fr-CA"/>
        </w:rPr>
        <w:t xml:space="preserve">Audit </w:t>
      </w:r>
      <w:r>
        <w:rPr>
          <w:lang w:val="fr-CA"/>
        </w:rPr>
        <w:t xml:space="preserve">du Secrétariat du Programme des Nations Unies pour l’environnement pour le </w:t>
      </w:r>
      <w:r w:rsidR="00277470" w:rsidRPr="0014412C">
        <w:rPr>
          <w:lang w:val="fr-CA"/>
        </w:rPr>
        <w:t>Fonds multilatéral</w:t>
      </w:r>
      <w:r w:rsidR="00731386" w:rsidRPr="0014412C">
        <w:rPr>
          <w:lang w:val="fr-CA"/>
        </w:rPr>
        <w:t xml:space="preserve"> </w:t>
      </w:r>
      <w:r>
        <w:rPr>
          <w:lang w:val="fr-CA"/>
        </w:rPr>
        <w:t xml:space="preserve">aux fins d’application du </w:t>
      </w:r>
      <w:r w:rsidR="006E5419">
        <w:rPr>
          <w:lang w:val="fr-CA"/>
        </w:rPr>
        <w:t>Protocole de Montréal</w:t>
      </w:r>
      <w:r w:rsidR="00731386" w:rsidRPr="0014412C">
        <w:rPr>
          <w:lang w:val="fr-CA"/>
        </w:rPr>
        <w:t xml:space="preserve"> </w:t>
      </w:r>
      <w:r>
        <w:rPr>
          <w:lang w:val="fr-CA"/>
        </w:rPr>
        <w:t xml:space="preserve">est présenté ci-joint au </w:t>
      </w:r>
      <w:r w:rsidRPr="0014412C">
        <w:rPr>
          <w:lang w:val="fr-CA"/>
        </w:rPr>
        <w:t>présent</w:t>
      </w:r>
      <w:r w:rsidR="00731386" w:rsidRPr="0014412C">
        <w:rPr>
          <w:lang w:val="fr-CA"/>
        </w:rPr>
        <w:t xml:space="preserve"> document.</w:t>
      </w:r>
    </w:p>
    <w:p w14:paraId="1C37BC75" w14:textId="2CBDB145" w:rsidR="00731386" w:rsidRPr="0014412C" w:rsidRDefault="000E3378" w:rsidP="00731386">
      <w:pPr>
        <w:rPr>
          <w:b/>
          <w:lang w:val="fr-CA"/>
        </w:rPr>
      </w:pPr>
      <w:r>
        <w:rPr>
          <w:b/>
          <w:lang w:val="fr-CA"/>
        </w:rPr>
        <w:t xml:space="preserve">Mesures prises pour donner suite aux </w:t>
      </w:r>
      <w:r w:rsidR="0014546A">
        <w:rPr>
          <w:b/>
          <w:lang w:val="fr-CA"/>
        </w:rPr>
        <w:t>recommandation</w:t>
      </w:r>
      <w:r w:rsidR="00731386" w:rsidRPr="0014412C">
        <w:rPr>
          <w:b/>
          <w:lang w:val="fr-CA"/>
        </w:rPr>
        <w:t xml:space="preserve">s </w:t>
      </w:r>
      <w:r>
        <w:rPr>
          <w:b/>
          <w:lang w:val="fr-CA"/>
        </w:rPr>
        <w:t>de l’audit</w:t>
      </w:r>
    </w:p>
    <w:p w14:paraId="214583F0" w14:textId="77777777" w:rsidR="00731386" w:rsidRPr="0014412C" w:rsidRDefault="00731386" w:rsidP="00731386">
      <w:pPr>
        <w:rPr>
          <w:lang w:val="fr-CA"/>
        </w:rPr>
      </w:pPr>
    </w:p>
    <w:p w14:paraId="02E340D8" w14:textId="55DF918F" w:rsidR="00731386" w:rsidRPr="0014412C" w:rsidRDefault="000E3378" w:rsidP="00731386">
      <w:pPr>
        <w:pStyle w:val="Heading1"/>
        <w:rPr>
          <w:lang w:val="fr-CA"/>
        </w:rPr>
      </w:pPr>
      <w:r>
        <w:rPr>
          <w:lang w:val="fr-CA"/>
        </w:rPr>
        <w:t xml:space="preserve">Le </w:t>
      </w:r>
      <w:r w:rsidR="00731386" w:rsidRPr="0014412C">
        <w:rPr>
          <w:lang w:val="fr-CA"/>
        </w:rPr>
        <w:t>Table</w:t>
      </w:r>
      <w:r>
        <w:rPr>
          <w:lang w:val="fr-CA"/>
        </w:rPr>
        <w:t>au</w:t>
      </w:r>
      <w:r w:rsidR="00731386" w:rsidRPr="0014412C">
        <w:rPr>
          <w:lang w:val="fr-CA"/>
        </w:rPr>
        <w:t xml:space="preserve"> 1 </w:t>
      </w:r>
      <w:r w:rsidRPr="0014412C">
        <w:rPr>
          <w:lang w:val="fr-CA"/>
        </w:rPr>
        <w:t>présent</w:t>
      </w:r>
      <w:r>
        <w:rPr>
          <w:lang w:val="fr-CA"/>
        </w:rPr>
        <w:t>e</w:t>
      </w:r>
      <w:r w:rsidR="00731386" w:rsidRPr="0014412C">
        <w:rPr>
          <w:lang w:val="fr-CA"/>
        </w:rPr>
        <w:t xml:space="preserve">, </w:t>
      </w:r>
      <w:r>
        <w:rPr>
          <w:lang w:val="fr-CA"/>
        </w:rPr>
        <w:t xml:space="preserve">pour chacune des </w:t>
      </w:r>
      <w:r w:rsidR="00731386" w:rsidRPr="0014412C">
        <w:rPr>
          <w:lang w:val="fr-CA"/>
        </w:rPr>
        <w:t xml:space="preserve">six </w:t>
      </w:r>
      <w:r w:rsidR="0014546A">
        <w:rPr>
          <w:lang w:val="fr-CA"/>
        </w:rPr>
        <w:t>recommandation</w:t>
      </w:r>
      <w:r w:rsidR="00731386" w:rsidRPr="0014412C">
        <w:rPr>
          <w:lang w:val="fr-CA"/>
        </w:rPr>
        <w:t xml:space="preserve">s, </w:t>
      </w:r>
      <w:r>
        <w:rPr>
          <w:lang w:val="fr-CA"/>
        </w:rPr>
        <w:t xml:space="preserve">des observations </w:t>
      </w:r>
      <w:r w:rsidR="00062E73">
        <w:rPr>
          <w:lang w:val="fr-CA"/>
        </w:rPr>
        <w:t xml:space="preserve">du </w:t>
      </w:r>
      <w:r w:rsidR="00CA2E0C" w:rsidRPr="00CA2E0C">
        <w:rPr>
          <w:lang w:val="fr-CA"/>
        </w:rPr>
        <w:t>Secrétariat du Fonds (</w:t>
      </w:r>
      <w:r w:rsidR="00CA2E0C">
        <w:rPr>
          <w:lang w:val="fr-CA"/>
        </w:rPr>
        <w:t>pour les</w:t>
      </w:r>
      <w:r w:rsidR="00CA2E0C" w:rsidRPr="00CA2E0C">
        <w:rPr>
          <w:lang w:val="fr-CA"/>
        </w:rPr>
        <w:t xml:space="preserve"> recommandations 1 </w:t>
      </w:r>
      <w:r w:rsidR="00CA2E0C">
        <w:rPr>
          <w:lang w:val="fr-CA"/>
        </w:rPr>
        <w:t>à</w:t>
      </w:r>
      <w:r w:rsidR="00CA2E0C" w:rsidRPr="00CA2E0C">
        <w:rPr>
          <w:lang w:val="fr-CA"/>
        </w:rPr>
        <w:t xml:space="preserve"> 5) </w:t>
      </w:r>
      <w:r w:rsidR="00CA2E0C">
        <w:rPr>
          <w:lang w:val="fr-CA"/>
        </w:rPr>
        <w:t>et du</w:t>
      </w:r>
      <w:r w:rsidR="00CA2E0C" w:rsidRPr="00CA2E0C">
        <w:rPr>
          <w:lang w:val="fr-CA"/>
        </w:rPr>
        <w:t xml:space="preserve"> Trésorier (</w:t>
      </w:r>
      <w:r w:rsidR="00CA2E0C">
        <w:rPr>
          <w:lang w:val="fr-CA"/>
        </w:rPr>
        <w:t xml:space="preserve">pour la </w:t>
      </w:r>
      <w:r w:rsidR="00CA2E0C" w:rsidRPr="00CA2E0C">
        <w:rPr>
          <w:lang w:val="fr-CA"/>
        </w:rPr>
        <w:t>recommandation 6)</w:t>
      </w:r>
      <w:r w:rsidR="00CA2E0C">
        <w:rPr>
          <w:lang w:val="fr-CA"/>
        </w:rPr>
        <w:t xml:space="preserve"> </w:t>
      </w:r>
      <w:r>
        <w:rPr>
          <w:lang w:val="fr-CA"/>
        </w:rPr>
        <w:t>a</w:t>
      </w:r>
      <w:r w:rsidR="00CA2E0C">
        <w:rPr>
          <w:lang w:val="fr-CA"/>
        </w:rPr>
        <w:t xml:space="preserve">dressées au </w:t>
      </w:r>
      <w:r w:rsidR="0014412C" w:rsidRPr="0014412C">
        <w:rPr>
          <w:lang w:val="fr-CA"/>
        </w:rPr>
        <w:t>BSCI</w:t>
      </w:r>
      <w:r w:rsidR="00731386" w:rsidRPr="0014412C">
        <w:rPr>
          <w:lang w:val="fr-CA"/>
        </w:rPr>
        <w:t xml:space="preserve">, </w:t>
      </w:r>
      <w:r w:rsidR="00CA2E0C">
        <w:rPr>
          <w:lang w:val="fr-CA"/>
        </w:rPr>
        <w:t>ainsi que les mesures prises depuis la fin de l’</w:t>
      </w:r>
      <w:r w:rsidR="00731386" w:rsidRPr="0014412C">
        <w:rPr>
          <w:lang w:val="fr-CA"/>
        </w:rPr>
        <w:t>audit</w:t>
      </w:r>
      <w:r w:rsidR="00CA2E0C">
        <w:rPr>
          <w:lang w:val="fr-CA"/>
        </w:rPr>
        <w:t>, avec les dates correspondantes</w:t>
      </w:r>
      <w:r w:rsidR="00731386" w:rsidRPr="0014412C">
        <w:rPr>
          <w:lang w:val="fr-CA"/>
        </w:rPr>
        <w:t xml:space="preserve">. </w:t>
      </w:r>
      <w:r w:rsidR="00CA2E0C">
        <w:rPr>
          <w:lang w:val="fr-CA"/>
        </w:rPr>
        <w:t xml:space="preserve">Conformément aux procédures établies, le </w:t>
      </w:r>
      <w:r w:rsidR="0014412C">
        <w:rPr>
          <w:lang w:val="fr-CA"/>
        </w:rPr>
        <w:t>Secrétariat du Fonds</w:t>
      </w:r>
      <w:r w:rsidR="00731386" w:rsidRPr="0014412C">
        <w:rPr>
          <w:lang w:val="fr-CA"/>
        </w:rPr>
        <w:t xml:space="preserve"> </w:t>
      </w:r>
      <w:r w:rsidR="00CA2E0C">
        <w:rPr>
          <w:lang w:val="fr-CA"/>
        </w:rPr>
        <w:t xml:space="preserve">avisera le </w:t>
      </w:r>
      <w:r w:rsidR="0014546A">
        <w:rPr>
          <w:lang w:val="fr-CA"/>
        </w:rPr>
        <w:t>PNUE</w:t>
      </w:r>
      <w:r w:rsidR="00731386" w:rsidRPr="0014412C">
        <w:rPr>
          <w:lang w:val="fr-CA"/>
        </w:rPr>
        <w:t xml:space="preserve"> </w:t>
      </w:r>
      <w:r w:rsidR="00CA2E0C">
        <w:rPr>
          <w:lang w:val="fr-CA"/>
        </w:rPr>
        <w:t xml:space="preserve">de l’application des </w:t>
      </w:r>
      <w:r w:rsidR="0014546A">
        <w:rPr>
          <w:lang w:val="fr-CA"/>
        </w:rPr>
        <w:t>recommandation</w:t>
      </w:r>
      <w:r w:rsidR="00731386" w:rsidRPr="0014412C">
        <w:rPr>
          <w:lang w:val="fr-CA"/>
        </w:rPr>
        <w:t xml:space="preserve">s </w:t>
      </w:r>
      <w:r w:rsidR="00CA2E0C">
        <w:rPr>
          <w:lang w:val="fr-CA"/>
        </w:rPr>
        <w:t xml:space="preserve">pour que celui-ci demande formellement leur clôture au Selon </w:t>
      </w:r>
      <w:r w:rsidR="0014412C" w:rsidRPr="0014412C">
        <w:rPr>
          <w:lang w:val="fr-CA"/>
        </w:rPr>
        <w:t>BSCI</w:t>
      </w:r>
      <w:r w:rsidR="00731386" w:rsidRPr="0014412C">
        <w:rPr>
          <w:lang w:val="fr-CA"/>
        </w:rPr>
        <w:t>.</w:t>
      </w:r>
    </w:p>
    <w:p w14:paraId="633B49DA" w14:textId="28DC377D" w:rsidR="00731386" w:rsidRPr="0014412C" w:rsidRDefault="00731386" w:rsidP="00A672BF">
      <w:pPr>
        <w:pStyle w:val="Heading1"/>
        <w:keepNext/>
        <w:keepLines/>
        <w:widowControl w:val="0"/>
        <w:numPr>
          <w:ilvl w:val="0"/>
          <w:numId w:val="0"/>
        </w:numPr>
        <w:spacing w:after="0"/>
        <w:rPr>
          <w:b/>
          <w:lang w:val="fr-CA"/>
        </w:rPr>
      </w:pPr>
      <w:r w:rsidRPr="0014412C">
        <w:rPr>
          <w:b/>
          <w:lang w:val="fr-CA"/>
        </w:rPr>
        <w:t>Table</w:t>
      </w:r>
      <w:r w:rsidR="00CE5996">
        <w:rPr>
          <w:b/>
          <w:lang w:val="fr-CA"/>
        </w:rPr>
        <w:t xml:space="preserve">au </w:t>
      </w:r>
      <w:r w:rsidRPr="0014412C">
        <w:rPr>
          <w:b/>
          <w:lang w:val="fr-CA"/>
        </w:rPr>
        <w:t xml:space="preserve">1. </w:t>
      </w:r>
      <w:r w:rsidR="00CE5996">
        <w:rPr>
          <w:b/>
          <w:lang w:val="fr-CA"/>
        </w:rPr>
        <w:t xml:space="preserve">Observations et suite donnée aux </w:t>
      </w:r>
      <w:r w:rsidR="0014546A">
        <w:rPr>
          <w:b/>
          <w:lang w:val="fr-CA"/>
        </w:rPr>
        <w:t>recommandation</w:t>
      </w:r>
      <w:r w:rsidRPr="0014412C">
        <w:rPr>
          <w:b/>
          <w:lang w:val="fr-CA"/>
        </w:rPr>
        <w:t xml:space="preserve">s </w:t>
      </w:r>
      <w:r w:rsidR="00CE5996">
        <w:rPr>
          <w:b/>
          <w:lang w:val="fr-CA"/>
        </w:rPr>
        <w:t xml:space="preserve">du rapport du </w:t>
      </w:r>
      <w:r w:rsidR="0014412C" w:rsidRPr="0014412C">
        <w:rPr>
          <w:b/>
          <w:lang w:val="fr-CA"/>
        </w:rPr>
        <w:t>BSCI</w:t>
      </w:r>
    </w:p>
    <w:tbl>
      <w:tblPr>
        <w:tblStyle w:val="TableGrid"/>
        <w:tblW w:w="9360" w:type="dxa"/>
        <w:tblCellMar>
          <w:top w:w="43" w:type="dxa"/>
          <w:left w:w="115" w:type="dxa"/>
          <w:bottom w:w="43" w:type="dxa"/>
          <w:right w:w="115" w:type="dxa"/>
        </w:tblCellMar>
        <w:tblLook w:val="01E0" w:firstRow="1" w:lastRow="1" w:firstColumn="1" w:lastColumn="1" w:noHBand="0" w:noVBand="0"/>
      </w:tblPr>
      <w:tblGrid>
        <w:gridCol w:w="3390"/>
        <w:gridCol w:w="5970"/>
      </w:tblGrid>
      <w:tr w:rsidR="005E6226" w:rsidRPr="0014412C" w14:paraId="201187BA" w14:textId="77777777" w:rsidTr="00C327BD">
        <w:trPr>
          <w:tblHeader/>
        </w:trPr>
        <w:tc>
          <w:tcPr>
            <w:tcW w:w="3415" w:type="dxa"/>
          </w:tcPr>
          <w:p w14:paraId="748D108D" w14:textId="4F6F8DB4" w:rsidR="00731386" w:rsidRPr="0014412C" w:rsidRDefault="0014546A" w:rsidP="00A672BF">
            <w:pPr>
              <w:keepNext/>
              <w:keepLines/>
              <w:widowControl w:val="0"/>
              <w:jc w:val="left"/>
              <w:rPr>
                <w:b/>
                <w:sz w:val="20"/>
                <w:szCs w:val="20"/>
                <w:lang w:val="fr-CA"/>
              </w:rPr>
            </w:pPr>
            <w:r>
              <w:rPr>
                <w:b/>
                <w:sz w:val="20"/>
                <w:szCs w:val="20"/>
                <w:lang w:val="fr-CA"/>
              </w:rPr>
              <w:t>Recommandation</w:t>
            </w:r>
          </w:p>
        </w:tc>
        <w:tc>
          <w:tcPr>
            <w:tcW w:w="6030" w:type="dxa"/>
            <w:vAlign w:val="center"/>
          </w:tcPr>
          <w:p w14:paraId="62C0F8B1" w14:textId="6033DF26" w:rsidR="00731386" w:rsidRPr="0014412C" w:rsidRDefault="00100F9C" w:rsidP="00A672BF">
            <w:pPr>
              <w:keepNext/>
              <w:keepLines/>
              <w:widowControl w:val="0"/>
              <w:jc w:val="center"/>
              <w:rPr>
                <w:b/>
                <w:sz w:val="20"/>
                <w:szCs w:val="20"/>
                <w:lang w:val="fr-CA"/>
              </w:rPr>
            </w:pPr>
            <w:r>
              <w:rPr>
                <w:b/>
                <w:sz w:val="20"/>
                <w:szCs w:val="20"/>
                <w:lang w:val="fr-CA"/>
              </w:rPr>
              <w:t>Observations et suite donnée</w:t>
            </w:r>
          </w:p>
        </w:tc>
      </w:tr>
      <w:tr w:rsidR="005E6226" w:rsidRPr="00F84C2E" w14:paraId="0150FAE1" w14:textId="77777777" w:rsidTr="00C327BD">
        <w:tc>
          <w:tcPr>
            <w:tcW w:w="3415" w:type="dxa"/>
          </w:tcPr>
          <w:p w14:paraId="5B90B3D9" w14:textId="3C85D215" w:rsidR="00731386" w:rsidRPr="0014412C" w:rsidRDefault="00731386" w:rsidP="00C327BD">
            <w:pPr>
              <w:tabs>
                <w:tab w:val="left" w:pos="720"/>
              </w:tabs>
              <w:spacing w:after="60"/>
              <w:jc w:val="left"/>
              <w:rPr>
                <w:iCs/>
                <w:sz w:val="20"/>
                <w:szCs w:val="20"/>
                <w:lang w:val="fr-CA"/>
              </w:rPr>
            </w:pPr>
            <w:r w:rsidRPr="0014412C">
              <w:rPr>
                <w:rFonts w:eastAsiaTheme="minorHAnsi"/>
                <w:bCs/>
                <w:i/>
                <w:sz w:val="20"/>
                <w:szCs w:val="20"/>
                <w:lang w:val="fr-CA"/>
              </w:rPr>
              <w:t>1.</w:t>
            </w:r>
            <w:r w:rsidRPr="0014412C">
              <w:rPr>
                <w:rFonts w:eastAsiaTheme="minorHAnsi"/>
                <w:bCs/>
                <w:sz w:val="20"/>
                <w:szCs w:val="20"/>
                <w:lang w:val="fr-CA"/>
              </w:rPr>
              <w:t xml:space="preserve"> </w:t>
            </w:r>
            <w:r w:rsidR="00100F9C">
              <w:rPr>
                <w:rFonts w:eastAsiaTheme="minorHAnsi"/>
                <w:bCs/>
                <w:i/>
                <w:sz w:val="20"/>
                <w:szCs w:val="20"/>
                <w:lang w:val="fr-CA"/>
              </w:rPr>
              <w:t>L</w:t>
            </w:r>
            <w:r w:rsidRPr="0014412C">
              <w:rPr>
                <w:rFonts w:eastAsiaTheme="minorHAnsi"/>
                <w:bCs/>
                <w:i/>
                <w:sz w:val="20"/>
                <w:szCs w:val="20"/>
                <w:lang w:val="fr-CA"/>
              </w:rPr>
              <w:t xml:space="preserve">e </w:t>
            </w:r>
            <w:r w:rsidR="0014412C">
              <w:rPr>
                <w:rFonts w:eastAsiaTheme="minorHAnsi"/>
                <w:bCs/>
                <w:i/>
                <w:sz w:val="20"/>
                <w:szCs w:val="20"/>
                <w:lang w:val="fr-CA"/>
              </w:rPr>
              <w:t>Secrétariat du Fonds</w:t>
            </w:r>
            <w:r w:rsidRPr="0014412C">
              <w:rPr>
                <w:i/>
                <w:snapToGrid w:val="0"/>
                <w:sz w:val="20"/>
                <w:szCs w:val="20"/>
                <w:lang w:val="fr-CA"/>
              </w:rPr>
              <w:t xml:space="preserve"> </w:t>
            </w:r>
            <w:r w:rsidR="00100F9C">
              <w:rPr>
                <w:i/>
                <w:snapToGrid w:val="0"/>
                <w:sz w:val="20"/>
                <w:szCs w:val="20"/>
                <w:lang w:val="fr-CA"/>
              </w:rPr>
              <w:t>devrait appeler à l’</w:t>
            </w:r>
            <w:r w:rsidRPr="0014412C">
              <w:rPr>
                <w:rFonts w:eastAsiaTheme="minorHAnsi"/>
                <w:bCs/>
                <w:i/>
                <w:sz w:val="20"/>
                <w:szCs w:val="20"/>
                <w:lang w:val="fr-CA"/>
              </w:rPr>
              <w:t xml:space="preserve">attention </w:t>
            </w:r>
            <w:r w:rsidR="00100F9C">
              <w:rPr>
                <w:rFonts w:eastAsiaTheme="minorHAnsi"/>
                <w:bCs/>
                <w:i/>
                <w:sz w:val="20"/>
                <w:szCs w:val="20"/>
                <w:lang w:val="fr-CA"/>
              </w:rPr>
              <w:t>du</w:t>
            </w:r>
            <w:r w:rsidRPr="0014412C">
              <w:rPr>
                <w:rFonts w:eastAsiaTheme="minorHAnsi"/>
                <w:bCs/>
                <w:i/>
                <w:sz w:val="20"/>
                <w:szCs w:val="20"/>
                <w:lang w:val="fr-CA"/>
              </w:rPr>
              <w:t xml:space="preserve"> </w:t>
            </w:r>
            <w:r w:rsidR="00277470" w:rsidRPr="0014412C">
              <w:rPr>
                <w:rFonts w:eastAsiaTheme="minorHAnsi"/>
                <w:bCs/>
                <w:i/>
                <w:sz w:val="20"/>
                <w:szCs w:val="20"/>
                <w:lang w:val="fr-CA"/>
              </w:rPr>
              <w:t xml:space="preserve">Comité </w:t>
            </w:r>
            <w:r w:rsidR="00277470" w:rsidRPr="0014412C">
              <w:rPr>
                <w:rFonts w:eastAsiaTheme="minorHAnsi"/>
                <w:bCs/>
                <w:i/>
                <w:sz w:val="20"/>
                <w:szCs w:val="20"/>
                <w:lang w:val="fr-CA"/>
              </w:rPr>
              <w:lastRenderedPageBreak/>
              <w:t>Exécutif</w:t>
            </w:r>
            <w:r w:rsidRPr="0014412C">
              <w:rPr>
                <w:rFonts w:eastAsiaTheme="minorHAnsi"/>
                <w:bCs/>
                <w:i/>
                <w:sz w:val="20"/>
                <w:szCs w:val="20"/>
                <w:lang w:val="fr-CA"/>
              </w:rPr>
              <w:t xml:space="preserve"> </w:t>
            </w:r>
            <w:r w:rsidR="00100F9C" w:rsidRPr="00100F9C">
              <w:rPr>
                <w:rFonts w:eastAsiaTheme="minorHAnsi"/>
                <w:bCs/>
                <w:i/>
                <w:sz w:val="20"/>
                <w:szCs w:val="20"/>
                <w:lang w:val="fr-CA"/>
              </w:rPr>
              <w:t>la nécessité de renforcer davantage les indicateurs de performance qui mesurent la réalisation des objectifs de ses activités visant la parité homme-femme</w:t>
            </w:r>
            <w:r w:rsidRPr="0014412C">
              <w:rPr>
                <w:rFonts w:eastAsiaTheme="minorHAnsi"/>
                <w:bCs/>
                <w:i/>
                <w:sz w:val="20"/>
                <w:szCs w:val="20"/>
                <w:lang w:val="fr-CA"/>
              </w:rPr>
              <w:t>.</w:t>
            </w:r>
          </w:p>
        </w:tc>
        <w:tc>
          <w:tcPr>
            <w:tcW w:w="6030" w:type="dxa"/>
          </w:tcPr>
          <w:p w14:paraId="59507E65" w14:textId="22E8623B" w:rsidR="00731386" w:rsidRPr="0014412C" w:rsidRDefault="00731386" w:rsidP="00A672BF">
            <w:pPr>
              <w:spacing w:after="60"/>
              <w:rPr>
                <w:sz w:val="20"/>
                <w:szCs w:val="20"/>
                <w:lang w:val="fr-CA"/>
              </w:rPr>
            </w:pPr>
            <w:r w:rsidRPr="0014412C">
              <w:rPr>
                <w:sz w:val="20"/>
                <w:szCs w:val="20"/>
                <w:lang w:val="fr-CA"/>
              </w:rPr>
              <w:lastRenderedPageBreak/>
              <w:t>Dur</w:t>
            </w:r>
            <w:r w:rsidR="00100F9C">
              <w:rPr>
                <w:sz w:val="20"/>
                <w:szCs w:val="20"/>
                <w:lang w:val="fr-CA"/>
              </w:rPr>
              <w:t>ant</w:t>
            </w:r>
            <w:r w:rsidRPr="0014412C">
              <w:rPr>
                <w:sz w:val="20"/>
                <w:szCs w:val="20"/>
                <w:lang w:val="fr-CA"/>
              </w:rPr>
              <w:t xml:space="preserve"> </w:t>
            </w:r>
            <w:r w:rsidR="00100F9C">
              <w:rPr>
                <w:sz w:val="20"/>
                <w:szCs w:val="20"/>
                <w:lang w:val="fr-CA"/>
              </w:rPr>
              <w:t xml:space="preserve">la période de l’audit, le </w:t>
            </w:r>
            <w:r w:rsidR="0014412C">
              <w:rPr>
                <w:sz w:val="20"/>
                <w:szCs w:val="20"/>
                <w:lang w:val="fr-CA"/>
              </w:rPr>
              <w:t>Secrétariat du Fonds</w:t>
            </w:r>
            <w:r w:rsidRPr="0014412C">
              <w:rPr>
                <w:sz w:val="20"/>
                <w:szCs w:val="20"/>
                <w:lang w:val="fr-CA"/>
              </w:rPr>
              <w:t xml:space="preserve"> </w:t>
            </w:r>
            <w:r w:rsidR="00225FA2">
              <w:rPr>
                <w:sz w:val="20"/>
                <w:szCs w:val="20"/>
                <w:lang w:val="fr-CA"/>
              </w:rPr>
              <w:t xml:space="preserve">a informé les vérificateurs que la politique d’égalité des sexes dans les projets appuyés </w:t>
            </w:r>
            <w:r w:rsidR="00225FA2">
              <w:rPr>
                <w:sz w:val="20"/>
                <w:szCs w:val="20"/>
                <w:lang w:val="fr-CA"/>
              </w:rPr>
              <w:lastRenderedPageBreak/>
              <w:t xml:space="preserve">par le </w:t>
            </w:r>
            <w:r w:rsidR="00277470" w:rsidRPr="0014412C">
              <w:rPr>
                <w:sz w:val="20"/>
                <w:szCs w:val="20"/>
                <w:lang w:val="fr-CA"/>
              </w:rPr>
              <w:t>Fonds multilatéral</w:t>
            </w:r>
            <w:r w:rsidR="000D1877">
              <w:rPr>
                <w:sz w:val="20"/>
                <w:szCs w:val="20"/>
                <w:lang w:val="fr-CA"/>
              </w:rPr>
              <w:t xml:space="preserve"> a été approuvée par le </w:t>
            </w:r>
            <w:r w:rsidR="00277470" w:rsidRPr="0014412C">
              <w:rPr>
                <w:sz w:val="20"/>
                <w:szCs w:val="20"/>
                <w:lang w:val="fr-CA"/>
              </w:rPr>
              <w:t>Comité Exécutif</w:t>
            </w:r>
            <w:r w:rsidRPr="0014412C">
              <w:rPr>
                <w:sz w:val="20"/>
                <w:szCs w:val="20"/>
                <w:lang w:val="fr-CA"/>
              </w:rPr>
              <w:t xml:space="preserve"> </w:t>
            </w:r>
            <w:r w:rsidR="000D1877">
              <w:rPr>
                <w:sz w:val="20"/>
                <w:szCs w:val="20"/>
                <w:lang w:val="fr-CA"/>
              </w:rPr>
              <w:t xml:space="preserve">à sa </w:t>
            </w:r>
            <w:r w:rsidRPr="0014412C">
              <w:rPr>
                <w:sz w:val="20"/>
                <w:szCs w:val="20"/>
                <w:lang w:val="fr-CA"/>
              </w:rPr>
              <w:t>84</w:t>
            </w:r>
            <w:r w:rsidR="000D1877">
              <w:rPr>
                <w:sz w:val="20"/>
                <w:szCs w:val="20"/>
                <w:vertAlign w:val="superscript"/>
                <w:lang w:val="fr-CA"/>
              </w:rPr>
              <w:t>e</w:t>
            </w:r>
            <w:r w:rsidRPr="0014412C">
              <w:rPr>
                <w:sz w:val="20"/>
                <w:szCs w:val="20"/>
                <w:lang w:val="fr-CA"/>
              </w:rPr>
              <w:t> </w:t>
            </w:r>
            <w:r w:rsidR="000D1877">
              <w:rPr>
                <w:sz w:val="20"/>
                <w:szCs w:val="20"/>
                <w:lang w:val="fr-CA"/>
              </w:rPr>
              <w:t>réunion</w:t>
            </w:r>
            <w:r w:rsidRPr="0014412C">
              <w:rPr>
                <w:sz w:val="20"/>
                <w:szCs w:val="20"/>
                <w:lang w:val="fr-CA"/>
              </w:rPr>
              <w:t>. Imm</w:t>
            </w:r>
            <w:r w:rsidR="000D1877">
              <w:rPr>
                <w:sz w:val="20"/>
                <w:szCs w:val="20"/>
                <w:lang w:val="fr-CA"/>
              </w:rPr>
              <w:t>é</w:t>
            </w:r>
            <w:r w:rsidRPr="0014412C">
              <w:rPr>
                <w:sz w:val="20"/>
                <w:szCs w:val="20"/>
                <w:lang w:val="fr-CA"/>
              </w:rPr>
              <w:t>diate</w:t>
            </w:r>
            <w:r w:rsidR="000D1877">
              <w:rPr>
                <w:sz w:val="20"/>
                <w:szCs w:val="20"/>
                <w:lang w:val="fr-CA"/>
              </w:rPr>
              <w:t xml:space="preserve">ment après l’adoption de la politique, tous les projets soumis à partir de la </w:t>
            </w:r>
            <w:r w:rsidRPr="0014412C">
              <w:rPr>
                <w:sz w:val="20"/>
                <w:szCs w:val="20"/>
                <w:lang w:val="fr-CA"/>
              </w:rPr>
              <w:t>85</w:t>
            </w:r>
            <w:r w:rsidR="000D1877">
              <w:rPr>
                <w:sz w:val="20"/>
                <w:szCs w:val="20"/>
                <w:vertAlign w:val="superscript"/>
                <w:lang w:val="fr-CA"/>
              </w:rPr>
              <w:t>e</w:t>
            </w:r>
            <w:r w:rsidRPr="0014412C">
              <w:rPr>
                <w:sz w:val="20"/>
                <w:szCs w:val="20"/>
                <w:lang w:val="fr-CA"/>
              </w:rPr>
              <w:t xml:space="preserve"> </w:t>
            </w:r>
            <w:r w:rsidR="000D1877">
              <w:rPr>
                <w:sz w:val="20"/>
                <w:szCs w:val="20"/>
                <w:lang w:val="fr-CA"/>
              </w:rPr>
              <w:t>réunion</w:t>
            </w:r>
            <w:r w:rsidRPr="0014412C">
              <w:rPr>
                <w:sz w:val="20"/>
                <w:szCs w:val="20"/>
                <w:lang w:val="fr-CA"/>
              </w:rPr>
              <w:t xml:space="preserve"> </w:t>
            </w:r>
            <w:r w:rsidR="000D1877">
              <w:rPr>
                <w:sz w:val="20"/>
                <w:szCs w:val="20"/>
                <w:lang w:val="fr-CA"/>
              </w:rPr>
              <w:t>incluaient une mention de l’application de la politique de la parité homme-femme</w:t>
            </w:r>
            <w:r w:rsidRPr="0014412C">
              <w:rPr>
                <w:sz w:val="20"/>
                <w:szCs w:val="20"/>
                <w:lang w:val="fr-CA"/>
              </w:rPr>
              <w:t>, inclu</w:t>
            </w:r>
            <w:r w:rsidR="000D1877">
              <w:rPr>
                <w:sz w:val="20"/>
                <w:szCs w:val="20"/>
                <w:lang w:val="fr-CA"/>
              </w:rPr>
              <w:t xml:space="preserve">ant dans plusieurs cas des indicateurs et les résultats des </w:t>
            </w:r>
            <w:r w:rsidR="00055E89">
              <w:rPr>
                <w:sz w:val="20"/>
                <w:szCs w:val="20"/>
                <w:lang w:val="fr-CA"/>
              </w:rPr>
              <w:t>activités</w:t>
            </w:r>
            <w:r w:rsidRPr="0014412C">
              <w:rPr>
                <w:sz w:val="20"/>
                <w:szCs w:val="20"/>
                <w:lang w:val="fr-CA"/>
              </w:rPr>
              <w:t xml:space="preserve"> </w:t>
            </w:r>
            <w:r w:rsidR="000D1877">
              <w:rPr>
                <w:sz w:val="20"/>
                <w:szCs w:val="20"/>
                <w:lang w:val="fr-CA"/>
              </w:rPr>
              <w:t xml:space="preserve">proposées, ainsi que les </w:t>
            </w:r>
            <w:r w:rsidR="00AF30EC">
              <w:rPr>
                <w:sz w:val="20"/>
                <w:szCs w:val="20"/>
                <w:lang w:val="fr-CA"/>
              </w:rPr>
              <w:t>réalisations conformes à ladite politique</w:t>
            </w:r>
            <w:r w:rsidRPr="0014412C">
              <w:rPr>
                <w:sz w:val="20"/>
                <w:szCs w:val="20"/>
                <w:lang w:val="fr-CA"/>
              </w:rPr>
              <w:t>. A</w:t>
            </w:r>
            <w:r w:rsidR="00AF30EC">
              <w:rPr>
                <w:sz w:val="20"/>
                <w:szCs w:val="20"/>
                <w:lang w:val="fr-CA"/>
              </w:rPr>
              <w:t xml:space="preserve">yant examiné les informations communiquées, les vérificateurs les ont jugées pertinentes à l’application de la </w:t>
            </w:r>
            <w:r w:rsidR="0014546A">
              <w:rPr>
                <w:sz w:val="20"/>
                <w:szCs w:val="20"/>
                <w:lang w:val="fr-CA"/>
              </w:rPr>
              <w:t>Recommandation</w:t>
            </w:r>
            <w:r w:rsidRPr="0014412C">
              <w:rPr>
                <w:sz w:val="20"/>
                <w:szCs w:val="20"/>
                <w:lang w:val="fr-CA"/>
              </w:rPr>
              <w:t xml:space="preserve"> 1 </w:t>
            </w:r>
            <w:r w:rsidR="00AF30EC">
              <w:rPr>
                <w:sz w:val="20"/>
                <w:szCs w:val="20"/>
                <w:lang w:val="fr-CA"/>
              </w:rPr>
              <w:t>dans leur rapport</w:t>
            </w:r>
            <w:r w:rsidRPr="0014412C">
              <w:rPr>
                <w:sz w:val="20"/>
                <w:szCs w:val="20"/>
                <w:lang w:val="fr-CA"/>
              </w:rPr>
              <w:t>.</w:t>
            </w:r>
          </w:p>
          <w:p w14:paraId="000DDE7C" w14:textId="7FF12876" w:rsidR="00731386" w:rsidRPr="0014412C" w:rsidRDefault="00AF30EC" w:rsidP="00A672BF">
            <w:pPr>
              <w:spacing w:after="60"/>
              <w:rPr>
                <w:rFonts w:eastAsiaTheme="minorHAnsi"/>
                <w:bCs/>
                <w:sz w:val="20"/>
                <w:szCs w:val="20"/>
                <w:lang w:val="fr-CA"/>
              </w:rPr>
            </w:pPr>
            <w:r>
              <w:rPr>
                <w:sz w:val="20"/>
                <w:szCs w:val="20"/>
                <w:lang w:val="fr-CA"/>
              </w:rPr>
              <w:t xml:space="preserve">Le 12 novembre 2021, eu égard à la </w:t>
            </w:r>
            <w:r w:rsidR="0014546A">
              <w:rPr>
                <w:sz w:val="20"/>
                <w:szCs w:val="20"/>
                <w:lang w:val="fr-CA"/>
              </w:rPr>
              <w:t>Recommandation</w:t>
            </w:r>
            <w:r w:rsidR="00731386" w:rsidRPr="0014412C">
              <w:rPr>
                <w:sz w:val="20"/>
                <w:szCs w:val="20"/>
                <w:lang w:val="fr-CA"/>
              </w:rPr>
              <w:t xml:space="preserve"> 1, </w:t>
            </w:r>
            <w:r>
              <w:rPr>
                <w:sz w:val="20"/>
                <w:szCs w:val="20"/>
                <w:lang w:val="fr-CA"/>
              </w:rPr>
              <w:t xml:space="preserve">le </w:t>
            </w:r>
            <w:r w:rsidR="0014412C">
              <w:rPr>
                <w:sz w:val="20"/>
                <w:szCs w:val="20"/>
                <w:lang w:val="fr-CA"/>
              </w:rPr>
              <w:t>Secrétariat du Fonds</w:t>
            </w:r>
            <w:r w:rsidR="00731386" w:rsidRPr="0014412C">
              <w:rPr>
                <w:sz w:val="20"/>
                <w:szCs w:val="20"/>
                <w:lang w:val="fr-CA"/>
              </w:rPr>
              <w:t xml:space="preserve"> </w:t>
            </w:r>
            <w:r>
              <w:rPr>
                <w:sz w:val="20"/>
                <w:szCs w:val="20"/>
                <w:lang w:val="fr-CA"/>
              </w:rPr>
              <w:t xml:space="preserve">a envoyé une </w:t>
            </w:r>
            <w:r w:rsidR="00731386" w:rsidRPr="0014412C">
              <w:rPr>
                <w:sz w:val="20"/>
                <w:szCs w:val="20"/>
                <w:lang w:val="fr-CA"/>
              </w:rPr>
              <w:t xml:space="preserve">communication </w:t>
            </w:r>
            <w:r>
              <w:rPr>
                <w:sz w:val="20"/>
                <w:szCs w:val="20"/>
                <w:lang w:val="fr-CA"/>
              </w:rPr>
              <w:t xml:space="preserve">officielle aux agences bilatérales et d’exécution </w:t>
            </w:r>
            <w:r w:rsidR="00B86B72">
              <w:rPr>
                <w:sz w:val="20"/>
                <w:szCs w:val="20"/>
                <w:lang w:val="fr-CA"/>
              </w:rPr>
              <w:t>pour les aviser de la nécessité de renforcer davantage les indicateurs de performance qui mesurent la réalisation des objectifs des activités visant la parité homme-femme, et d’en rendre compte selon les indicateurs dans les propositions de projet futures</w:t>
            </w:r>
            <w:r w:rsidR="00731386" w:rsidRPr="0014412C">
              <w:rPr>
                <w:rFonts w:eastAsiaTheme="minorHAnsi"/>
                <w:bCs/>
                <w:sz w:val="20"/>
                <w:szCs w:val="20"/>
                <w:lang w:val="fr-CA"/>
              </w:rPr>
              <w:t>.</w:t>
            </w:r>
          </w:p>
          <w:p w14:paraId="2F1CDCD7" w14:textId="4A968852" w:rsidR="00731386" w:rsidRPr="0014412C" w:rsidRDefault="00B86B72" w:rsidP="00A672BF">
            <w:pPr>
              <w:spacing w:after="60"/>
              <w:rPr>
                <w:sz w:val="20"/>
                <w:szCs w:val="20"/>
                <w:lang w:val="fr-CA"/>
              </w:rPr>
            </w:pPr>
            <w:r>
              <w:rPr>
                <w:rFonts w:eastAsiaTheme="minorHAnsi"/>
                <w:bCs/>
                <w:sz w:val="20"/>
                <w:szCs w:val="20"/>
                <w:lang w:val="fr-CA"/>
              </w:rPr>
              <w:t>L</w:t>
            </w:r>
            <w:r w:rsidR="00731386" w:rsidRPr="0014412C">
              <w:rPr>
                <w:rFonts w:eastAsiaTheme="minorHAnsi"/>
                <w:bCs/>
                <w:sz w:val="20"/>
                <w:szCs w:val="20"/>
                <w:lang w:val="fr-CA"/>
              </w:rPr>
              <w:t xml:space="preserve">e </w:t>
            </w:r>
            <w:r w:rsidR="00277470" w:rsidRPr="0014412C">
              <w:rPr>
                <w:rFonts w:eastAsiaTheme="minorHAnsi"/>
                <w:bCs/>
                <w:sz w:val="20"/>
                <w:szCs w:val="20"/>
                <w:lang w:val="fr-CA"/>
              </w:rPr>
              <w:t>Comité Exécutif</w:t>
            </w:r>
            <w:r w:rsidR="00731386" w:rsidRPr="0014412C">
              <w:rPr>
                <w:rFonts w:eastAsiaTheme="minorHAnsi"/>
                <w:bCs/>
                <w:sz w:val="20"/>
                <w:szCs w:val="20"/>
                <w:lang w:val="fr-CA"/>
              </w:rPr>
              <w:t xml:space="preserve"> </w:t>
            </w:r>
            <w:r>
              <w:rPr>
                <w:rFonts w:eastAsiaTheme="minorHAnsi"/>
                <w:bCs/>
                <w:sz w:val="20"/>
                <w:szCs w:val="20"/>
                <w:lang w:val="fr-CA"/>
              </w:rPr>
              <w:t>est également invité à noter que, en application de la décision</w:t>
            </w:r>
            <w:r w:rsidR="00FB7341">
              <w:rPr>
                <w:rFonts w:eastAsiaTheme="minorHAnsi"/>
                <w:bCs/>
                <w:sz w:val="20"/>
                <w:szCs w:val="20"/>
                <w:lang w:val="fr-CA"/>
              </w:rPr>
              <w:t xml:space="preserve"> </w:t>
            </w:r>
            <w:r w:rsidR="00731386" w:rsidRPr="0014412C">
              <w:rPr>
                <w:rFonts w:eastAsiaTheme="minorHAnsi"/>
                <w:bCs/>
                <w:sz w:val="20"/>
                <w:szCs w:val="20"/>
                <w:lang w:val="fr-CA"/>
              </w:rPr>
              <w:t xml:space="preserve">84/92(e), </w:t>
            </w:r>
            <w:r>
              <w:rPr>
                <w:rFonts w:eastAsiaTheme="minorHAnsi"/>
                <w:bCs/>
                <w:sz w:val="20"/>
                <w:szCs w:val="20"/>
                <w:lang w:val="fr-CA"/>
              </w:rPr>
              <w:t>l</w:t>
            </w:r>
            <w:r w:rsidR="00731386" w:rsidRPr="0014412C">
              <w:rPr>
                <w:rFonts w:eastAsiaTheme="minorHAnsi"/>
                <w:bCs/>
                <w:sz w:val="20"/>
                <w:szCs w:val="20"/>
                <w:lang w:val="fr-CA"/>
              </w:rPr>
              <w:t xml:space="preserve">e </w:t>
            </w:r>
            <w:r w:rsidR="00277470" w:rsidRPr="0014412C">
              <w:rPr>
                <w:rFonts w:eastAsiaTheme="minorHAnsi"/>
                <w:bCs/>
                <w:sz w:val="20"/>
                <w:szCs w:val="20"/>
                <w:lang w:val="fr-CA"/>
              </w:rPr>
              <w:t>Secrétariat</w:t>
            </w:r>
            <w:r w:rsidR="00731386" w:rsidRPr="0014412C">
              <w:rPr>
                <w:rFonts w:eastAsiaTheme="minorHAnsi"/>
                <w:bCs/>
                <w:sz w:val="20"/>
                <w:szCs w:val="20"/>
                <w:lang w:val="fr-CA"/>
              </w:rPr>
              <w:t xml:space="preserve"> </w:t>
            </w:r>
            <w:r>
              <w:rPr>
                <w:rFonts w:eastAsiaTheme="minorHAnsi"/>
                <w:bCs/>
                <w:sz w:val="20"/>
                <w:szCs w:val="20"/>
                <w:lang w:val="fr-CA"/>
              </w:rPr>
              <w:t xml:space="preserve">étudiera </w:t>
            </w:r>
            <w:r w:rsidR="00560EB8">
              <w:rPr>
                <w:rFonts w:eastAsiaTheme="minorHAnsi"/>
                <w:bCs/>
                <w:sz w:val="20"/>
                <w:szCs w:val="20"/>
                <w:lang w:val="fr-CA"/>
              </w:rPr>
              <w:t xml:space="preserve">l’application de la politique opérationnelle de l’égalité des sexes et préparera un rapport à soumettre à la </w:t>
            </w:r>
            <w:r w:rsidR="00731386" w:rsidRPr="0014412C">
              <w:rPr>
                <w:rFonts w:eastAsiaTheme="minorHAnsi"/>
                <w:bCs/>
                <w:sz w:val="20"/>
                <w:szCs w:val="20"/>
                <w:lang w:val="fr-CA"/>
              </w:rPr>
              <w:t>89</w:t>
            </w:r>
            <w:r w:rsidR="00560EB8">
              <w:rPr>
                <w:rFonts w:eastAsiaTheme="minorHAnsi"/>
                <w:bCs/>
                <w:sz w:val="20"/>
                <w:szCs w:val="20"/>
                <w:vertAlign w:val="superscript"/>
                <w:lang w:val="fr-CA"/>
              </w:rPr>
              <w:t>e</w:t>
            </w:r>
            <w:r w:rsidR="00731386" w:rsidRPr="0014412C">
              <w:rPr>
                <w:rFonts w:eastAsiaTheme="minorHAnsi"/>
                <w:bCs/>
                <w:sz w:val="20"/>
                <w:szCs w:val="20"/>
                <w:lang w:val="fr-CA"/>
              </w:rPr>
              <w:t xml:space="preserve"> </w:t>
            </w:r>
            <w:r w:rsidR="000D1877">
              <w:rPr>
                <w:rFonts w:eastAsiaTheme="minorHAnsi"/>
                <w:bCs/>
                <w:sz w:val="20"/>
                <w:szCs w:val="20"/>
                <w:lang w:val="fr-CA"/>
              </w:rPr>
              <w:t>réunion</w:t>
            </w:r>
            <w:r w:rsidR="00731386" w:rsidRPr="0014412C">
              <w:rPr>
                <w:rFonts w:eastAsiaTheme="minorHAnsi"/>
                <w:bCs/>
                <w:sz w:val="20"/>
                <w:szCs w:val="20"/>
                <w:lang w:val="fr-CA"/>
              </w:rPr>
              <w:t xml:space="preserve">. </w:t>
            </w:r>
            <w:r w:rsidR="00560EB8">
              <w:rPr>
                <w:rFonts w:eastAsiaTheme="minorHAnsi"/>
                <w:bCs/>
                <w:sz w:val="20"/>
                <w:szCs w:val="20"/>
                <w:lang w:val="fr-CA"/>
              </w:rPr>
              <w:t xml:space="preserve">Le rapport fera référence aux indicateurs de performance qui mesurent la réalisations des objectifs des activités de parité homme-femme </w:t>
            </w:r>
            <w:r w:rsidR="00560EB8" w:rsidRPr="00560EB8">
              <w:rPr>
                <w:rFonts w:eastAsiaTheme="minorHAnsi"/>
                <w:bCs/>
                <w:sz w:val="20"/>
                <w:szCs w:val="20"/>
                <w:lang w:val="fr-CA"/>
              </w:rPr>
              <w:t xml:space="preserve">utilisés par les agences </w:t>
            </w:r>
            <w:r w:rsidR="00560EB8">
              <w:rPr>
                <w:rFonts w:eastAsiaTheme="minorHAnsi"/>
                <w:bCs/>
                <w:sz w:val="20"/>
                <w:szCs w:val="20"/>
                <w:lang w:val="fr-CA"/>
              </w:rPr>
              <w:t>dans les propositions de projets</w:t>
            </w:r>
            <w:r w:rsidR="00731386" w:rsidRPr="0014412C">
              <w:rPr>
                <w:rFonts w:eastAsiaTheme="minorHAnsi"/>
                <w:bCs/>
                <w:sz w:val="20"/>
                <w:szCs w:val="20"/>
                <w:lang w:val="fr-CA"/>
              </w:rPr>
              <w:t xml:space="preserve">. </w:t>
            </w:r>
          </w:p>
        </w:tc>
      </w:tr>
      <w:tr w:rsidR="005E6226" w:rsidRPr="00F84C2E" w14:paraId="5981AA41" w14:textId="77777777" w:rsidTr="00C327BD">
        <w:tc>
          <w:tcPr>
            <w:tcW w:w="3415" w:type="dxa"/>
          </w:tcPr>
          <w:p w14:paraId="1AB53187" w14:textId="05563CFA" w:rsidR="00731386" w:rsidRPr="0014412C" w:rsidRDefault="00731386" w:rsidP="00C327BD">
            <w:pPr>
              <w:tabs>
                <w:tab w:val="left" w:pos="720"/>
              </w:tabs>
              <w:spacing w:after="60"/>
              <w:jc w:val="left"/>
              <w:rPr>
                <w:i/>
                <w:iCs/>
                <w:sz w:val="20"/>
                <w:szCs w:val="20"/>
                <w:lang w:val="fr-CA"/>
              </w:rPr>
            </w:pPr>
            <w:r w:rsidRPr="0014412C">
              <w:rPr>
                <w:i/>
                <w:iCs/>
                <w:sz w:val="20"/>
                <w:szCs w:val="20"/>
                <w:lang w:val="fr-CA"/>
              </w:rPr>
              <w:lastRenderedPageBreak/>
              <w:t xml:space="preserve">2. </w:t>
            </w:r>
            <w:r w:rsidR="00560EB8">
              <w:rPr>
                <w:i/>
                <w:iCs/>
                <w:sz w:val="20"/>
                <w:szCs w:val="20"/>
                <w:lang w:val="fr-CA"/>
              </w:rPr>
              <w:t>L</w:t>
            </w:r>
            <w:r w:rsidRPr="0014412C">
              <w:rPr>
                <w:i/>
                <w:iCs/>
                <w:sz w:val="20"/>
                <w:szCs w:val="20"/>
                <w:lang w:val="fr-CA"/>
              </w:rPr>
              <w:t xml:space="preserve">e </w:t>
            </w:r>
            <w:r w:rsidR="0014412C">
              <w:rPr>
                <w:i/>
                <w:iCs/>
                <w:sz w:val="20"/>
                <w:szCs w:val="20"/>
                <w:lang w:val="fr-CA"/>
              </w:rPr>
              <w:t>Secrétariat du Fonds</w:t>
            </w:r>
            <w:r w:rsidRPr="0014412C">
              <w:rPr>
                <w:i/>
                <w:iCs/>
                <w:sz w:val="20"/>
                <w:szCs w:val="20"/>
                <w:lang w:val="fr-CA"/>
              </w:rPr>
              <w:t xml:space="preserve"> </w:t>
            </w:r>
            <w:r w:rsidR="00560EB8">
              <w:rPr>
                <w:i/>
                <w:iCs/>
                <w:sz w:val="20"/>
                <w:szCs w:val="20"/>
                <w:lang w:val="fr-CA"/>
              </w:rPr>
              <w:t>devrait appeler à l’</w:t>
            </w:r>
            <w:r w:rsidRPr="0014412C">
              <w:rPr>
                <w:i/>
                <w:iCs/>
                <w:sz w:val="20"/>
                <w:szCs w:val="20"/>
                <w:lang w:val="fr-CA"/>
              </w:rPr>
              <w:t xml:space="preserve">attention </w:t>
            </w:r>
            <w:r w:rsidR="00560EB8">
              <w:rPr>
                <w:i/>
                <w:iCs/>
                <w:sz w:val="20"/>
                <w:szCs w:val="20"/>
                <w:lang w:val="fr-CA"/>
              </w:rPr>
              <w:t>du</w:t>
            </w:r>
            <w:r w:rsidRPr="0014412C">
              <w:rPr>
                <w:i/>
                <w:iCs/>
                <w:sz w:val="20"/>
                <w:szCs w:val="20"/>
                <w:lang w:val="fr-CA"/>
              </w:rPr>
              <w:t xml:space="preserve"> </w:t>
            </w:r>
            <w:r w:rsidR="00277470" w:rsidRPr="0014412C">
              <w:rPr>
                <w:i/>
                <w:iCs/>
                <w:sz w:val="20"/>
                <w:szCs w:val="20"/>
                <w:lang w:val="fr-CA"/>
              </w:rPr>
              <w:t>Comité Exécutif</w:t>
            </w:r>
            <w:r w:rsidRPr="0014412C">
              <w:rPr>
                <w:i/>
                <w:iCs/>
                <w:sz w:val="20"/>
                <w:szCs w:val="20"/>
                <w:lang w:val="fr-CA"/>
              </w:rPr>
              <w:t xml:space="preserve"> </w:t>
            </w:r>
            <w:r w:rsidR="00560EB8">
              <w:rPr>
                <w:i/>
                <w:iCs/>
                <w:sz w:val="20"/>
                <w:szCs w:val="20"/>
                <w:lang w:val="fr-CA"/>
              </w:rPr>
              <w:t xml:space="preserve">la nécessité </w:t>
            </w:r>
            <w:r w:rsidRPr="0014412C">
              <w:rPr>
                <w:i/>
                <w:iCs/>
                <w:sz w:val="20"/>
                <w:szCs w:val="20"/>
                <w:lang w:val="fr-CA"/>
              </w:rPr>
              <w:t>t</w:t>
            </w:r>
            <w:r w:rsidR="00560EB8" w:rsidRPr="00A672BF">
              <w:rPr>
                <w:lang w:val="fr-FR"/>
              </w:rPr>
              <w:t xml:space="preserve"> </w:t>
            </w:r>
            <w:r w:rsidR="00560EB8" w:rsidRPr="00560EB8">
              <w:rPr>
                <w:i/>
                <w:iCs/>
                <w:sz w:val="20"/>
                <w:szCs w:val="20"/>
                <w:lang w:val="fr-CA"/>
              </w:rPr>
              <w:t>d’établir un cadre de gestion des risques d’entreprise aux fins d’une plus grande efficacité dans l’identification, l’évaluation et la gestion des risques</w:t>
            </w:r>
            <w:r w:rsidRPr="0014412C">
              <w:rPr>
                <w:i/>
                <w:iCs/>
                <w:sz w:val="20"/>
                <w:szCs w:val="20"/>
                <w:lang w:val="fr-CA"/>
              </w:rPr>
              <w:t>.</w:t>
            </w:r>
          </w:p>
        </w:tc>
        <w:tc>
          <w:tcPr>
            <w:tcW w:w="6030" w:type="dxa"/>
          </w:tcPr>
          <w:p w14:paraId="3439CCD4" w14:textId="04115101" w:rsidR="00731386" w:rsidRPr="0014412C" w:rsidRDefault="000500E1" w:rsidP="00A672BF">
            <w:pPr>
              <w:spacing w:after="60"/>
              <w:rPr>
                <w:sz w:val="20"/>
                <w:szCs w:val="20"/>
                <w:lang w:val="fr-CA"/>
              </w:rPr>
            </w:pPr>
            <w:r w:rsidRPr="000500E1">
              <w:rPr>
                <w:sz w:val="20"/>
                <w:szCs w:val="20"/>
                <w:lang w:val="fr-CA"/>
              </w:rPr>
              <w:t>Durant la période de l’audit, le Secrétariat du Fonds a informé les vérificateurs qu</w:t>
            </w:r>
            <w:r w:rsidR="0073230C">
              <w:rPr>
                <w:sz w:val="20"/>
                <w:szCs w:val="20"/>
                <w:lang w:val="fr-CA"/>
              </w:rPr>
              <w:t>’il avait consulté les agences d’exécution pour leur demander si elles disposaient d’un cadre de gestion des risques d’entreprise (GRE)</w:t>
            </w:r>
            <w:r w:rsidR="00731386" w:rsidRPr="0014412C">
              <w:rPr>
                <w:sz w:val="20"/>
                <w:szCs w:val="20"/>
                <w:lang w:val="fr-CA"/>
              </w:rPr>
              <w:t xml:space="preserve">; </w:t>
            </w:r>
            <w:r w:rsidR="0073230C">
              <w:rPr>
                <w:sz w:val="20"/>
                <w:szCs w:val="20"/>
                <w:lang w:val="fr-CA"/>
              </w:rPr>
              <w:t>les agences ont confirmé qu’elles disposaient d’un tel cadre et qu’elles appliquaient leurs propres cadres GRE</w:t>
            </w:r>
            <w:r w:rsidR="00731386" w:rsidRPr="0014412C">
              <w:rPr>
                <w:sz w:val="20"/>
                <w:szCs w:val="20"/>
                <w:lang w:val="fr-CA"/>
              </w:rPr>
              <w:t>.</w:t>
            </w:r>
          </w:p>
          <w:p w14:paraId="2873BC9E" w14:textId="1AE87557" w:rsidR="00731386" w:rsidRPr="0014412C" w:rsidRDefault="0073230C" w:rsidP="00A672BF">
            <w:pPr>
              <w:spacing w:after="60"/>
              <w:rPr>
                <w:sz w:val="20"/>
                <w:szCs w:val="20"/>
                <w:lang w:val="fr-CA"/>
              </w:rPr>
            </w:pPr>
            <w:r>
              <w:rPr>
                <w:sz w:val="20"/>
                <w:szCs w:val="20"/>
                <w:lang w:val="fr-CA"/>
              </w:rPr>
              <w:t>L</w:t>
            </w:r>
            <w:r w:rsidR="00731386" w:rsidRPr="0014412C">
              <w:rPr>
                <w:sz w:val="20"/>
                <w:szCs w:val="20"/>
                <w:lang w:val="fr-CA"/>
              </w:rPr>
              <w:t xml:space="preserve">e </w:t>
            </w:r>
            <w:r w:rsidR="00277470" w:rsidRPr="0014412C">
              <w:rPr>
                <w:sz w:val="20"/>
                <w:szCs w:val="20"/>
                <w:lang w:val="fr-CA"/>
              </w:rPr>
              <w:t>Comité Exécutif</w:t>
            </w:r>
            <w:r w:rsidR="00731386" w:rsidRPr="0014412C">
              <w:rPr>
                <w:sz w:val="20"/>
                <w:szCs w:val="20"/>
                <w:lang w:val="fr-CA"/>
              </w:rPr>
              <w:t xml:space="preserve"> </w:t>
            </w:r>
            <w:r>
              <w:rPr>
                <w:sz w:val="20"/>
                <w:szCs w:val="20"/>
                <w:lang w:val="fr-CA"/>
              </w:rPr>
              <w:t xml:space="preserve">est invité à noter que le </w:t>
            </w:r>
            <w:r w:rsidR="0014546A">
              <w:rPr>
                <w:sz w:val="20"/>
                <w:szCs w:val="20"/>
                <w:lang w:val="fr-CA"/>
              </w:rPr>
              <w:t>PNUE</w:t>
            </w:r>
            <w:r w:rsidR="00731386" w:rsidRPr="0014412C">
              <w:rPr>
                <w:sz w:val="20"/>
                <w:szCs w:val="20"/>
                <w:lang w:val="fr-CA"/>
              </w:rPr>
              <w:t xml:space="preserve"> </w:t>
            </w:r>
            <w:r>
              <w:rPr>
                <w:sz w:val="20"/>
                <w:szCs w:val="20"/>
                <w:lang w:val="fr-CA"/>
              </w:rPr>
              <w:t>a</w:t>
            </w:r>
            <w:r w:rsidR="00FB7341">
              <w:rPr>
                <w:sz w:val="20"/>
                <w:szCs w:val="20"/>
                <w:lang w:val="fr-CA"/>
              </w:rPr>
              <w:t>pp</w:t>
            </w:r>
            <w:r>
              <w:rPr>
                <w:sz w:val="20"/>
                <w:szCs w:val="20"/>
                <w:lang w:val="fr-CA"/>
              </w:rPr>
              <w:t>lique actuelle</w:t>
            </w:r>
            <w:r w:rsidR="00FB7341">
              <w:rPr>
                <w:sz w:val="20"/>
                <w:szCs w:val="20"/>
                <w:lang w:val="fr-CA"/>
              </w:rPr>
              <w:t>m</w:t>
            </w:r>
            <w:r>
              <w:rPr>
                <w:sz w:val="20"/>
                <w:szCs w:val="20"/>
                <w:lang w:val="fr-CA"/>
              </w:rPr>
              <w:t xml:space="preserve">ent son </w:t>
            </w:r>
            <w:r w:rsidR="00FB7341">
              <w:rPr>
                <w:sz w:val="20"/>
                <w:szCs w:val="20"/>
                <w:lang w:val="fr-CA"/>
              </w:rPr>
              <w:t>plan d’établissement d’un cadre GRE</w:t>
            </w:r>
            <w:r w:rsidR="00731386" w:rsidRPr="0014412C">
              <w:rPr>
                <w:rStyle w:val="FootnoteReference"/>
                <w:sz w:val="20"/>
                <w:szCs w:val="20"/>
                <w:lang w:val="fr-CA"/>
              </w:rPr>
              <w:footnoteReference w:id="4"/>
            </w:r>
            <w:r w:rsidR="00731386" w:rsidRPr="0014412C">
              <w:rPr>
                <w:sz w:val="20"/>
                <w:szCs w:val="20"/>
                <w:lang w:val="fr-CA"/>
              </w:rPr>
              <w:t xml:space="preserve"> </w:t>
            </w:r>
            <w:r w:rsidR="00FB7341">
              <w:rPr>
                <w:sz w:val="20"/>
                <w:szCs w:val="20"/>
                <w:lang w:val="fr-CA"/>
              </w:rPr>
              <w:t xml:space="preserve">conformément </w:t>
            </w:r>
            <w:r w:rsidR="001D33C6">
              <w:rPr>
                <w:sz w:val="20"/>
                <w:szCs w:val="20"/>
                <w:lang w:val="fr-CA"/>
              </w:rPr>
              <w:t xml:space="preserve">à la politique et au cadre </w:t>
            </w:r>
            <w:r w:rsidR="00A346ED">
              <w:rPr>
                <w:sz w:val="20"/>
                <w:szCs w:val="20"/>
                <w:lang w:val="fr-CA"/>
              </w:rPr>
              <w:t xml:space="preserve">de gestion des risques d’entreprise et de contrôle interne du Secrétariat de l’ONU, adoptés par le Secrétaire général en mai </w:t>
            </w:r>
            <w:r w:rsidR="00731386" w:rsidRPr="0014412C">
              <w:rPr>
                <w:sz w:val="20"/>
                <w:szCs w:val="20"/>
                <w:lang w:val="fr-CA"/>
              </w:rPr>
              <w:t xml:space="preserve">2011, </w:t>
            </w:r>
            <w:r w:rsidR="00A346ED">
              <w:rPr>
                <w:sz w:val="20"/>
                <w:szCs w:val="20"/>
                <w:lang w:val="fr-CA"/>
              </w:rPr>
              <w:t xml:space="preserve">selon lesquels la </w:t>
            </w:r>
            <w:r>
              <w:rPr>
                <w:sz w:val="20"/>
                <w:szCs w:val="20"/>
                <w:lang w:val="fr-CA"/>
              </w:rPr>
              <w:t xml:space="preserve">GRE </w:t>
            </w:r>
            <w:r w:rsidR="00A346ED">
              <w:rPr>
                <w:sz w:val="20"/>
                <w:szCs w:val="20"/>
                <w:lang w:val="fr-CA"/>
              </w:rPr>
              <w:t>est liée au cadre d’imputabilité, au cadre de contrôle interne, à la délégation d’autorité et à la gestion basée sur les résultats</w:t>
            </w:r>
            <w:r w:rsidR="00731386" w:rsidRPr="0014412C">
              <w:rPr>
                <w:sz w:val="20"/>
                <w:szCs w:val="20"/>
                <w:lang w:val="fr-CA"/>
              </w:rPr>
              <w:t>.</w:t>
            </w:r>
          </w:p>
          <w:p w14:paraId="7B17C230" w14:textId="6EB31D55" w:rsidR="00731386" w:rsidRPr="0014412C" w:rsidRDefault="00A346ED" w:rsidP="00A672BF">
            <w:pPr>
              <w:spacing w:after="60"/>
              <w:rPr>
                <w:sz w:val="20"/>
                <w:szCs w:val="20"/>
                <w:lang w:val="fr-CA"/>
              </w:rPr>
            </w:pPr>
            <w:r>
              <w:rPr>
                <w:sz w:val="20"/>
                <w:szCs w:val="20"/>
                <w:lang w:val="fr-CA"/>
              </w:rPr>
              <w:t xml:space="preserve">En donnant suite à la </w:t>
            </w:r>
            <w:r w:rsidR="0014546A">
              <w:rPr>
                <w:sz w:val="20"/>
                <w:szCs w:val="20"/>
                <w:lang w:val="fr-CA"/>
              </w:rPr>
              <w:t>Recommandation</w:t>
            </w:r>
            <w:r w:rsidR="00731386" w:rsidRPr="0014412C">
              <w:rPr>
                <w:sz w:val="20"/>
                <w:szCs w:val="20"/>
                <w:lang w:val="fr-CA"/>
              </w:rPr>
              <w:t xml:space="preserve"> 2, </w:t>
            </w:r>
            <w:r>
              <w:rPr>
                <w:sz w:val="20"/>
                <w:szCs w:val="20"/>
                <w:lang w:val="fr-CA"/>
              </w:rPr>
              <w:t>l</w:t>
            </w:r>
            <w:r w:rsidR="00731386" w:rsidRPr="0014412C">
              <w:rPr>
                <w:sz w:val="20"/>
                <w:szCs w:val="20"/>
                <w:lang w:val="fr-CA"/>
              </w:rPr>
              <w:t xml:space="preserve">e </w:t>
            </w:r>
            <w:r w:rsidR="0014412C">
              <w:rPr>
                <w:sz w:val="20"/>
                <w:szCs w:val="20"/>
                <w:lang w:val="fr-CA"/>
              </w:rPr>
              <w:t>Secrétariat du Fonds</w:t>
            </w:r>
            <w:r w:rsidR="00731386" w:rsidRPr="0014412C">
              <w:rPr>
                <w:sz w:val="20"/>
                <w:szCs w:val="20"/>
                <w:lang w:val="fr-CA"/>
              </w:rPr>
              <w:t xml:space="preserve"> </w:t>
            </w:r>
            <w:r>
              <w:rPr>
                <w:sz w:val="20"/>
                <w:szCs w:val="20"/>
                <w:lang w:val="fr-CA"/>
              </w:rPr>
              <w:t xml:space="preserve">appliquera les politiques et les dispositions pertinentes du </w:t>
            </w:r>
            <w:r w:rsidR="0014546A">
              <w:rPr>
                <w:sz w:val="20"/>
                <w:szCs w:val="20"/>
                <w:lang w:val="fr-CA"/>
              </w:rPr>
              <w:t>PNUE</w:t>
            </w:r>
            <w:r w:rsidR="00731386" w:rsidRPr="0014412C">
              <w:rPr>
                <w:sz w:val="20"/>
                <w:szCs w:val="20"/>
                <w:lang w:val="fr-CA"/>
              </w:rPr>
              <w:t xml:space="preserve"> </w:t>
            </w:r>
            <w:r>
              <w:rPr>
                <w:sz w:val="20"/>
                <w:szCs w:val="20"/>
                <w:lang w:val="fr-CA"/>
              </w:rPr>
              <w:t>sur cette question, notamment la nomination de deux fonctionnaires</w:t>
            </w:r>
            <w:r w:rsidR="001E743F">
              <w:rPr>
                <w:sz w:val="20"/>
                <w:szCs w:val="20"/>
                <w:lang w:val="fr-CA"/>
              </w:rPr>
              <w:t xml:space="preserve"> comme coordonnateurs de la </w:t>
            </w:r>
            <w:r w:rsidR="0073230C">
              <w:rPr>
                <w:sz w:val="20"/>
                <w:szCs w:val="20"/>
                <w:lang w:val="fr-CA"/>
              </w:rPr>
              <w:t>GRE</w:t>
            </w:r>
            <w:r w:rsidR="00731386" w:rsidRPr="0014412C">
              <w:rPr>
                <w:sz w:val="20"/>
                <w:szCs w:val="20"/>
                <w:lang w:val="fr-CA"/>
              </w:rPr>
              <w:t>.</w:t>
            </w:r>
          </w:p>
        </w:tc>
      </w:tr>
      <w:tr w:rsidR="005E6226" w:rsidRPr="00F84C2E" w14:paraId="174EFEB1" w14:textId="77777777" w:rsidTr="00C327BD">
        <w:tc>
          <w:tcPr>
            <w:tcW w:w="3415" w:type="dxa"/>
          </w:tcPr>
          <w:p w14:paraId="5E6D56C1" w14:textId="19CC7A3C" w:rsidR="00731386" w:rsidRPr="0014412C" w:rsidRDefault="00731386" w:rsidP="00C327BD">
            <w:pPr>
              <w:tabs>
                <w:tab w:val="left" w:pos="720"/>
              </w:tabs>
              <w:spacing w:after="60"/>
              <w:jc w:val="left"/>
              <w:rPr>
                <w:i/>
                <w:iCs/>
                <w:sz w:val="20"/>
                <w:szCs w:val="20"/>
                <w:lang w:val="fr-CA"/>
              </w:rPr>
            </w:pPr>
            <w:r w:rsidRPr="0014412C">
              <w:rPr>
                <w:i/>
                <w:iCs/>
                <w:sz w:val="20"/>
                <w:szCs w:val="20"/>
                <w:lang w:val="fr-CA"/>
              </w:rPr>
              <w:t xml:space="preserve">3. </w:t>
            </w:r>
            <w:r w:rsidR="00A03171">
              <w:rPr>
                <w:i/>
                <w:iCs/>
                <w:sz w:val="20"/>
                <w:szCs w:val="20"/>
                <w:lang w:val="fr-CA"/>
              </w:rPr>
              <w:t>L</w:t>
            </w:r>
            <w:r w:rsidRPr="0014412C">
              <w:rPr>
                <w:i/>
                <w:iCs/>
                <w:sz w:val="20"/>
                <w:szCs w:val="20"/>
                <w:lang w:val="fr-CA"/>
              </w:rPr>
              <w:t xml:space="preserve">e </w:t>
            </w:r>
            <w:r w:rsidR="0014412C">
              <w:rPr>
                <w:i/>
                <w:iCs/>
                <w:sz w:val="20"/>
                <w:szCs w:val="20"/>
                <w:lang w:val="fr-CA"/>
              </w:rPr>
              <w:t>Secrétariat du Fonds</w:t>
            </w:r>
            <w:r w:rsidRPr="0014412C">
              <w:rPr>
                <w:i/>
                <w:iCs/>
                <w:sz w:val="20"/>
                <w:szCs w:val="20"/>
                <w:lang w:val="fr-CA"/>
              </w:rPr>
              <w:t xml:space="preserve"> </w:t>
            </w:r>
            <w:r w:rsidR="00A03171">
              <w:rPr>
                <w:i/>
                <w:iCs/>
                <w:sz w:val="20"/>
                <w:szCs w:val="20"/>
                <w:lang w:val="fr-CA"/>
              </w:rPr>
              <w:t>devrait a</w:t>
            </w:r>
            <w:r w:rsidR="00A03171" w:rsidRPr="00A03171">
              <w:rPr>
                <w:i/>
                <w:iCs/>
                <w:sz w:val="20"/>
                <w:szCs w:val="20"/>
                <w:lang w:val="fr-CA"/>
              </w:rPr>
              <w:t>ppeler à l’attention du Comité Exécutif la nécessité d’une analyse plus efficace des causes fondamentales des retards dans la mise en œuvre des projets, et de prendre des mesures correctives pour régler les problèmes systémiques</w:t>
            </w:r>
            <w:r w:rsidR="00A03171">
              <w:rPr>
                <w:i/>
                <w:iCs/>
                <w:sz w:val="20"/>
                <w:szCs w:val="20"/>
                <w:lang w:val="fr-CA"/>
              </w:rPr>
              <w:t xml:space="preserve"> </w:t>
            </w:r>
          </w:p>
        </w:tc>
        <w:tc>
          <w:tcPr>
            <w:tcW w:w="6030" w:type="dxa"/>
          </w:tcPr>
          <w:p w14:paraId="23A60D78" w14:textId="419F520F" w:rsidR="00731386" w:rsidRPr="0014412C" w:rsidRDefault="000500E1" w:rsidP="00A672BF">
            <w:pPr>
              <w:spacing w:after="60"/>
              <w:rPr>
                <w:sz w:val="20"/>
                <w:szCs w:val="20"/>
                <w:lang w:val="fr-CA"/>
              </w:rPr>
            </w:pPr>
            <w:r w:rsidRPr="000500E1">
              <w:rPr>
                <w:sz w:val="20"/>
                <w:szCs w:val="20"/>
                <w:lang w:val="fr-CA"/>
              </w:rPr>
              <w:t xml:space="preserve">Durant la période de l’audit, le Secrétariat du Fonds a informé les vérificateurs que </w:t>
            </w:r>
            <w:r w:rsidR="001E743F">
              <w:rPr>
                <w:sz w:val="20"/>
                <w:szCs w:val="20"/>
                <w:lang w:val="fr-CA"/>
              </w:rPr>
              <w:t xml:space="preserve">les </w:t>
            </w:r>
            <w:r w:rsidR="00731386" w:rsidRPr="0014412C">
              <w:rPr>
                <w:sz w:val="20"/>
                <w:szCs w:val="20"/>
                <w:lang w:val="fr-CA"/>
              </w:rPr>
              <w:t xml:space="preserve">causes </w:t>
            </w:r>
            <w:r w:rsidR="001E743F">
              <w:rPr>
                <w:sz w:val="20"/>
                <w:szCs w:val="20"/>
                <w:lang w:val="fr-CA"/>
              </w:rPr>
              <w:t xml:space="preserve">des retards dans la mise en œuvre des projets ont été constamment portées à l’attention du </w:t>
            </w:r>
            <w:r w:rsidR="00277470" w:rsidRPr="0014412C">
              <w:rPr>
                <w:sz w:val="20"/>
                <w:szCs w:val="20"/>
                <w:lang w:val="fr-CA"/>
              </w:rPr>
              <w:t>Comité Exécutif</w:t>
            </w:r>
            <w:r w:rsidR="001E743F">
              <w:rPr>
                <w:sz w:val="20"/>
                <w:szCs w:val="20"/>
                <w:lang w:val="fr-CA"/>
              </w:rPr>
              <w:t>, notamment dans les documents de réunion ci-après</w:t>
            </w:r>
            <w:r w:rsidR="00731386" w:rsidRPr="0014412C">
              <w:rPr>
                <w:sz w:val="20"/>
                <w:szCs w:val="20"/>
                <w:lang w:val="fr-CA"/>
              </w:rPr>
              <w:t>:</w:t>
            </w:r>
          </w:p>
          <w:p w14:paraId="345F88E4" w14:textId="6D67F480" w:rsidR="00731386" w:rsidRPr="0014412C" w:rsidRDefault="00731386" w:rsidP="00A672BF">
            <w:pPr>
              <w:pStyle w:val="ListParagraph"/>
              <w:numPr>
                <w:ilvl w:val="0"/>
                <w:numId w:val="23"/>
              </w:numPr>
              <w:tabs>
                <w:tab w:val="clear" w:pos="850"/>
                <w:tab w:val="clear" w:pos="1191"/>
                <w:tab w:val="clear" w:pos="1531"/>
              </w:tabs>
              <w:spacing w:after="60"/>
              <w:ind w:left="288" w:hanging="288"/>
              <w:contextualSpacing w:val="0"/>
              <w:rPr>
                <w:rFonts w:ascii="Times New Roman" w:hAnsi="Times New Roman" w:cs="Times New Roman"/>
                <w:sz w:val="20"/>
                <w:szCs w:val="20"/>
                <w:lang w:val="fr-CA"/>
              </w:rPr>
            </w:pPr>
            <w:r w:rsidRPr="0014412C">
              <w:rPr>
                <w:rFonts w:ascii="Times New Roman" w:hAnsi="Times New Roman" w:cs="Times New Roman"/>
                <w:sz w:val="20"/>
                <w:szCs w:val="20"/>
                <w:lang w:val="fr-CA"/>
              </w:rPr>
              <w:t>R</w:t>
            </w:r>
            <w:r w:rsidR="001E743F">
              <w:rPr>
                <w:rFonts w:ascii="Times New Roman" w:hAnsi="Times New Roman" w:cs="Times New Roman"/>
                <w:sz w:val="20"/>
                <w:szCs w:val="20"/>
                <w:lang w:val="fr-CA"/>
              </w:rPr>
              <w:t>ap</w:t>
            </w:r>
            <w:r w:rsidRPr="0014412C">
              <w:rPr>
                <w:rFonts w:ascii="Times New Roman" w:hAnsi="Times New Roman" w:cs="Times New Roman"/>
                <w:sz w:val="20"/>
                <w:szCs w:val="20"/>
                <w:lang w:val="fr-CA"/>
              </w:rPr>
              <w:t xml:space="preserve">port </w:t>
            </w:r>
            <w:r w:rsidR="001E743F">
              <w:rPr>
                <w:rFonts w:ascii="Times New Roman" w:hAnsi="Times New Roman" w:cs="Times New Roman"/>
                <w:sz w:val="20"/>
                <w:szCs w:val="20"/>
                <w:lang w:val="fr-CA"/>
              </w:rPr>
              <w:t>sur les projets comportant des exigences spécifiques de compte rendu</w:t>
            </w:r>
            <w:r w:rsidRPr="0014412C">
              <w:rPr>
                <w:rFonts w:ascii="Times New Roman" w:hAnsi="Times New Roman" w:cs="Times New Roman"/>
                <w:sz w:val="20"/>
                <w:szCs w:val="20"/>
                <w:lang w:val="fr-CA"/>
              </w:rPr>
              <w:t xml:space="preserve">, </w:t>
            </w:r>
            <w:r w:rsidR="001E743F">
              <w:rPr>
                <w:rFonts w:ascii="Times New Roman" w:hAnsi="Times New Roman" w:cs="Times New Roman"/>
                <w:sz w:val="20"/>
                <w:szCs w:val="20"/>
                <w:lang w:val="fr-CA"/>
              </w:rPr>
              <w:t>qui présente les raisons des retards et propose des mesures correctrices par les gou</w:t>
            </w:r>
            <w:r w:rsidRPr="0014412C">
              <w:rPr>
                <w:rFonts w:ascii="Times New Roman" w:hAnsi="Times New Roman" w:cs="Times New Roman"/>
                <w:sz w:val="20"/>
                <w:szCs w:val="20"/>
                <w:lang w:val="fr-CA"/>
              </w:rPr>
              <w:t>vern</w:t>
            </w:r>
            <w:r w:rsidR="001E743F">
              <w:rPr>
                <w:rFonts w:ascii="Times New Roman" w:hAnsi="Times New Roman" w:cs="Times New Roman"/>
                <w:sz w:val="20"/>
                <w:szCs w:val="20"/>
                <w:lang w:val="fr-CA"/>
              </w:rPr>
              <w:t>e</w:t>
            </w:r>
            <w:r w:rsidRPr="0014412C">
              <w:rPr>
                <w:rFonts w:ascii="Times New Roman" w:hAnsi="Times New Roman" w:cs="Times New Roman"/>
                <w:sz w:val="20"/>
                <w:szCs w:val="20"/>
                <w:lang w:val="fr-CA"/>
              </w:rPr>
              <w:t xml:space="preserve">ments </w:t>
            </w:r>
            <w:r w:rsidR="001E743F">
              <w:rPr>
                <w:rFonts w:ascii="Times New Roman" w:hAnsi="Times New Roman" w:cs="Times New Roman"/>
                <w:sz w:val="20"/>
                <w:szCs w:val="20"/>
                <w:lang w:val="fr-CA"/>
              </w:rPr>
              <w:t xml:space="preserve">des pays intéressés et/ou </w:t>
            </w:r>
            <w:r w:rsidR="007B613B">
              <w:rPr>
                <w:rFonts w:ascii="Times New Roman" w:hAnsi="Times New Roman" w:cs="Times New Roman"/>
                <w:sz w:val="20"/>
                <w:szCs w:val="20"/>
                <w:lang w:val="fr-CA"/>
              </w:rPr>
              <w:t>par les agences bilatérales et les agences d’exécution</w:t>
            </w:r>
            <w:r w:rsidRPr="0014412C">
              <w:rPr>
                <w:rFonts w:ascii="Times New Roman" w:hAnsi="Times New Roman" w:cs="Times New Roman"/>
                <w:sz w:val="20"/>
                <w:szCs w:val="20"/>
                <w:lang w:val="fr-CA"/>
              </w:rPr>
              <w:t xml:space="preserve">; </w:t>
            </w:r>
          </w:p>
          <w:p w14:paraId="50135391" w14:textId="3B13F0AA" w:rsidR="00731386" w:rsidRPr="0014412C" w:rsidRDefault="007B613B" w:rsidP="00A672BF">
            <w:pPr>
              <w:pStyle w:val="ListParagraph"/>
              <w:numPr>
                <w:ilvl w:val="0"/>
                <w:numId w:val="23"/>
              </w:numPr>
              <w:tabs>
                <w:tab w:val="clear" w:pos="850"/>
                <w:tab w:val="clear" w:pos="1191"/>
                <w:tab w:val="clear" w:pos="1531"/>
              </w:tabs>
              <w:spacing w:after="60"/>
              <w:ind w:left="288" w:hanging="288"/>
              <w:contextualSpacing w:val="0"/>
              <w:rPr>
                <w:rFonts w:ascii="Times New Roman" w:hAnsi="Times New Roman" w:cs="Times New Roman"/>
                <w:sz w:val="20"/>
                <w:szCs w:val="20"/>
                <w:lang w:val="fr-CA"/>
              </w:rPr>
            </w:pPr>
            <w:r>
              <w:rPr>
                <w:rFonts w:ascii="Times New Roman" w:hAnsi="Times New Roman" w:cs="Times New Roman"/>
                <w:sz w:val="20"/>
                <w:szCs w:val="20"/>
                <w:lang w:val="fr-CA"/>
              </w:rPr>
              <w:t>Rapport sur les retards dans l’exécution des t</w:t>
            </w:r>
            <w:r w:rsidR="00731386" w:rsidRPr="0014412C">
              <w:rPr>
                <w:rFonts w:ascii="Times New Roman" w:hAnsi="Times New Roman" w:cs="Times New Roman"/>
                <w:sz w:val="20"/>
                <w:szCs w:val="20"/>
                <w:lang w:val="fr-CA"/>
              </w:rPr>
              <w:t>ranche</w:t>
            </w:r>
            <w:r>
              <w:rPr>
                <w:rFonts w:ascii="Times New Roman" w:hAnsi="Times New Roman" w:cs="Times New Roman"/>
                <w:sz w:val="20"/>
                <w:szCs w:val="20"/>
                <w:lang w:val="fr-CA"/>
              </w:rPr>
              <w:t>s</w:t>
            </w:r>
            <w:r w:rsidR="00731386" w:rsidRPr="0014412C">
              <w:rPr>
                <w:rFonts w:ascii="Times New Roman" w:hAnsi="Times New Roman" w:cs="Times New Roman"/>
                <w:sz w:val="20"/>
                <w:szCs w:val="20"/>
                <w:lang w:val="fr-CA"/>
              </w:rPr>
              <w:t xml:space="preserve">, </w:t>
            </w:r>
            <w:r>
              <w:rPr>
                <w:rFonts w:ascii="Times New Roman" w:hAnsi="Times New Roman" w:cs="Times New Roman"/>
                <w:sz w:val="20"/>
                <w:szCs w:val="20"/>
                <w:lang w:val="fr-CA"/>
              </w:rPr>
              <w:t xml:space="preserve">qui présente une analyse de chacune des </w:t>
            </w:r>
            <w:r w:rsidR="00731386" w:rsidRPr="0014412C">
              <w:rPr>
                <w:rFonts w:ascii="Times New Roman" w:hAnsi="Times New Roman" w:cs="Times New Roman"/>
                <w:sz w:val="20"/>
                <w:szCs w:val="20"/>
                <w:lang w:val="fr-CA"/>
              </w:rPr>
              <w:t xml:space="preserve">tranches </w:t>
            </w:r>
            <w:r>
              <w:rPr>
                <w:rFonts w:ascii="Times New Roman" w:hAnsi="Times New Roman" w:cs="Times New Roman"/>
                <w:sz w:val="20"/>
                <w:szCs w:val="20"/>
                <w:lang w:val="fr-CA"/>
              </w:rPr>
              <w:t>d’un projet d’accord pluriannuel qui sont dues mais qui ne sont pas soumises à la réunion en question</w:t>
            </w:r>
            <w:r w:rsidR="00731386" w:rsidRPr="0014412C">
              <w:rPr>
                <w:rFonts w:ascii="Times New Roman" w:hAnsi="Times New Roman" w:cs="Times New Roman"/>
                <w:sz w:val="20"/>
                <w:szCs w:val="20"/>
                <w:lang w:val="fr-CA"/>
              </w:rPr>
              <w:t xml:space="preserve">, </w:t>
            </w:r>
            <w:r>
              <w:rPr>
                <w:rFonts w:ascii="Times New Roman" w:hAnsi="Times New Roman" w:cs="Times New Roman"/>
                <w:sz w:val="20"/>
                <w:szCs w:val="20"/>
                <w:lang w:val="fr-CA"/>
              </w:rPr>
              <w:t>les raisons des retards</w:t>
            </w:r>
            <w:r w:rsidR="00731386" w:rsidRPr="0014412C">
              <w:rPr>
                <w:rFonts w:ascii="Times New Roman" w:hAnsi="Times New Roman" w:cs="Times New Roman"/>
                <w:sz w:val="20"/>
                <w:szCs w:val="20"/>
                <w:lang w:val="fr-CA"/>
              </w:rPr>
              <w:t xml:space="preserve">, </w:t>
            </w:r>
            <w:r>
              <w:rPr>
                <w:rFonts w:ascii="Times New Roman" w:hAnsi="Times New Roman" w:cs="Times New Roman"/>
                <w:sz w:val="20"/>
                <w:szCs w:val="20"/>
                <w:lang w:val="fr-CA"/>
              </w:rPr>
              <w:t xml:space="preserve">les incidences sur la conformité aux </w:t>
            </w:r>
            <w:r w:rsidR="00731386" w:rsidRPr="0014412C">
              <w:rPr>
                <w:rFonts w:ascii="Times New Roman" w:hAnsi="Times New Roman" w:cs="Times New Roman"/>
                <w:sz w:val="20"/>
                <w:szCs w:val="20"/>
                <w:lang w:val="fr-CA"/>
              </w:rPr>
              <w:lastRenderedPageBreak/>
              <w:t xml:space="preserve">obligations </w:t>
            </w:r>
            <w:r>
              <w:rPr>
                <w:rFonts w:ascii="Times New Roman" w:hAnsi="Times New Roman" w:cs="Times New Roman"/>
                <w:sz w:val="20"/>
                <w:szCs w:val="20"/>
                <w:lang w:val="fr-CA"/>
              </w:rPr>
              <w:t xml:space="preserve">des pays </w:t>
            </w:r>
            <w:r w:rsidR="00D15AB9">
              <w:rPr>
                <w:rFonts w:ascii="Times New Roman" w:hAnsi="Times New Roman" w:cs="Times New Roman"/>
                <w:sz w:val="20"/>
                <w:szCs w:val="20"/>
                <w:lang w:val="fr-CA"/>
              </w:rPr>
              <w:t>en vertu du</w:t>
            </w:r>
            <w:r w:rsidR="00731386" w:rsidRPr="0014412C">
              <w:rPr>
                <w:rFonts w:ascii="Times New Roman" w:hAnsi="Times New Roman" w:cs="Times New Roman"/>
                <w:sz w:val="20"/>
                <w:szCs w:val="20"/>
                <w:lang w:val="fr-CA"/>
              </w:rPr>
              <w:t xml:space="preserve"> </w:t>
            </w:r>
            <w:r w:rsidR="006E5419">
              <w:rPr>
                <w:rFonts w:ascii="Times New Roman" w:hAnsi="Times New Roman" w:cs="Times New Roman"/>
                <w:sz w:val="20"/>
                <w:szCs w:val="20"/>
                <w:lang w:val="fr-CA"/>
              </w:rPr>
              <w:t>Protocole de Montréal</w:t>
            </w:r>
            <w:r w:rsidR="00731386" w:rsidRPr="0014412C">
              <w:rPr>
                <w:rFonts w:ascii="Times New Roman" w:hAnsi="Times New Roman" w:cs="Times New Roman"/>
                <w:sz w:val="20"/>
                <w:szCs w:val="20"/>
                <w:lang w:val="fr-CA"/>
              </w:rPr>
              <w:t xml:space="preserve">, </w:t>
            </w:r>
            <w:r w:rsidR="00D15AB9">
              <w:rPr>
                <w:rFonts w:ascii="Times New Roman" w:hAnsi="Times New Roman" w:cs="Times New Roman"/>
                <w:sz w:val="20"/>
                <w:szCs w:val="20"/>
                <w:lang w:val="fr-CA"/>
              </w:rPr>
              <w:t>ainsi que les mesures correctrices</w:t>
            </w:r>
            <w:r w:rsidR="00731386" w:rsidRPr="0014412C">
              <w:rPr>
                <w:rFonts w:ascii="Times New Roman" w:hAnsi="Times New Roman" w:cs="Times New Roman"/>
                <w:sz w:val="20"/>
                <w:szCs w:val="20"/>
                <w:lang w:val="fr-CA"/>
              </w:rPr>
              <w:t>;</w:t>
            </w:r>
          </w:p>
          <w:p w14:paraId="1079B91F" w14:textId="54690EFA" w:rsidR="00731386" w:rsidRPr="0014412C" w:rsidRDefault="00D15AB9" w:rsidP="00A672BF">
            <w:pPr>
              <w:pStyle w:val="ListParagraph"/>
              <w:numPr>
                <w:ilvl w:val="0"/>
                <w:numId w:val="23"/>
              </w:numPr>
              <w:tabs>
                <w:tab w:val="clear" w:pos="850"/>
                <w:tab w:val="clear" w:pos="1191"/>
                <w:tab w:val="clear" w:pos="1531"/>
              </w:tabs>
              <w:spacing w:after="60"/>
              <w:ind w:left="288" w:hanging="288"/>
              <w:contextualSpacing w:val="0"/>
              <w:rPr>
                <w:rFonts w:ascii="Times New Roman" w:hAnsi="Times New Roman" w:cs="Times New Roman"/>
                <w:sz w:val="20"/>
                <w:szCs w:val="20"/>
                <w:lang w:val="fr-CA"/>
              </w:rPr>
            </w:pPr>
            <w:r>
              <w:rPr>
                <w:rFonts w:ascii="Times New Roman" w:hAnsi="Times New Roman" w:cs="Times New Roman"/>
                <w:sz w:val="20"/>
                <w:szCs w:val="20"/>
                <w:lang w:val="fr-CA"/>
              </w:rPr>
              <w:t xml:space="preserve">Rapports d’avancement </w:t>
            </w:r>
            <w:r w:rsidR="002A2EA2">
              <w:rPr>
                <w:rFonts w:ascii="Times New Roman" w:hAnsi="Times New Roman" w:cs="Times New Roman"/>
                <w:sz w:val="20"/>
                <w:szCs w:val="20"/>
                <w:lang w:val="fr-CA"/>
              </w:rPr>
              <w:t xml:space="preserve">dans lesquels, durant leur préparation, le </w:t>
            </w:r>
            <w:r w:rsidR="00277470" w:rsidRPr="0014412C">
              <w:rPr>
                <w:rFonts w:ascii="Times New Roman" w:hAnsi="Times New Roman" w:cs="Times New Roman"/>
                <w:sz w:val="20"/>
                <w:szCs w:val="20"/>
                <w:lang w:val="fr-CA"/>
              </w:rPr>
              <w:t>Secrétariat</w:t>
            </w:r>
            <w:r w:rsidR="00731386" w:rsidRPr="0014412C">
              <w:rPr>
                <w:rFonts w:ascii="Times New Roman" w:hAnsi="Times New Roman" w:cs="Times New Roman"/>
                <w:sz w:val="20"/>
                <w:szCs w:val="20"/>
                <w:lang w:val="fr-CA"/>
              </w:rPr>
              <w:t xml:space="preserve"> </w:t>
            </w:r>
            <w:r w:rsidR="002A2EA2">
              <w:rPr>
                <w:rFonts w:ascii="Times New Roman" w:hAnsi="Times New Roman" w:cs="Times New Roman"/>
                <w:sz w:val="20"/>
                <w:szCs w:val="20"/>
                <w:lang w:val="fr-CA"/>
              </w:rPr>
              <w:t>examine en détail avec l’agence intéressée chaque projet présentant des retards de mise en œuvre</w:t>
            </w:r>
            <w:r w:rsidR="00731386" w:rsidRPr="0014412C">
              <w:rPr>
                <w:rFonts w:ascii="Times New Roman" w:hAnsi="Times New Roman" w:cs="Times New Roman"/>
                <w:sz w:val="20"/>
                <w:szCs w:val="20"/>
                <w:lang w:val="fr-CA"/>
              </w:rPr>
              <w:t xml:space="preserve">, </w:t>
            </w:r>
            <w:r w:rsidR="002A2EA2">
              <w:rPr>
                <w:rFonts w:ascii="Times New Roman" w:hAnsi="Times New Roman" w:cs="Times New Roman"/>
                <w:sz w:val="20"/>
                <w:szCs w:val="20"/>
                <w:lang w:val="fr-CA"/>
              </w:rPr>
              <w:t xml:space="preserve">et </w:t>
            </w:r>
            <w:r w:rsidR="00731386" w:rsidRPr="0014412C">
              <w:rPr>
                <w:rFonts w:ascii="Times New Roman" w:hAnsi="Times New Roman" w:cs="Times New Roman"/>
                <w:sz w:val="20"/>
                <w:szCs w:val="20"/>
                <w:lang w:val="fr-CA"/>
              </w:rPr>
              <w:t>propose</w:t>
            </w:r>
            <w:r w:rsidR="002A2EA2">
              <w:rPr>
                <w:rFonts w:ascii="Times New Roman" w:hAnsi="Times New Roman" w:cs="Times New Roman"/>
                <w:sz w:val="20"/>
                <w:szCs w:val="20"/>
                <w:lang w:val="fr-CA"/>
              </w:rPr>
              <w:t xml:space="preserve"> de</w:t>
            </w:r>
            <w:r w:rsidR="00731386" w:rsidRPr="0014412C">
              <w:rPr>
                <w:rFonts w:ascii="Times New Roman" w:hAnsi="Times New Roman" w:cs="Times New Roman"/>
                <w:sz w:val="20"/>
                <w:szCs w:val="20"/>
                <w:lang w:val="fr-CA"/>
              </w:rPr>
              <w:t>s mesures</w:t>
            </w:r>
            <w:r w:rsidR="002A2EA2">
              <w:rPr>
                <w:rFonts w:ascii="Times New Roman" w:hAnsi="Times New Roman" w:cs="Times New Roman"/>
                <w:sz w:val="20"/>
                <w:szCs w:val="20"/>
                <w:lang w:val="fr-CA"/>
              </w:rPr>
              <w:t xml:space="preserve"> correctrices</w:t>
            </w:r>
            <w:r w:rsidR="00731386" w:rsidRPr="0014412C">
              <w:rPr>
                <w:rFonts w:ascii="Times New Roman" w:hAnsi="Times New Roman" w:cs="Times New Roman"/>
                <w:sz w:val="20"/>
                <w:szCs w:val="20"/>
                <w:lang w:val="fr-CA"/>
              </w:rPr>
              <w:t>.</w:t>
            </w:r>
          </w:p>
          <w:p w14:paraId="28BF8CC4" w14:textId="65E0691C" w:rsidR="00731386" w:rsidRPr="0014412C" w:rsidRDefault="002A2EA2" w:rsidP="00A672BF">
            <w:pPr>
              <w:spacing w:after="60"/>
              <w:ind w:left="26"/>
              <w:rPr>
                <w:sz w:val="20"/>
                <w:szCs w:val="20"/>
                <w:lang w:val="fr-CA"/>
              </w:rPr>
            </w:pPr>
            <w:r w:rsidRPr="002A2EA2">
              <w:rPr>
                <w:sz w:val="20"/>
                <w:szCs w:val="20"/>
                <w:lang w:val="fr-CA"/>
              </w:rPr>
              <w:t xml:space="preserve">Ayant examiné les informations </w:t>
            </w:r>
            <w:r>
              <w:rPr>
                <w:sz w:val="20"/>
                <w:szCs w:val="20"/>
                <w:lang w:val="fr-CA"/>
              </w:rPr>
              <w:t>présenté</w:t>
            </w:r>
            <w:r w:rsidRPr="002A2EA2">
              <w:rPr>
                <w:sz w:val="20"/>
                <w:szCs w:val="20"/>
                <w:lang w:val="fr-CA"/>
              </w:rPr>
              <w:t>es</w:t>
            </w:r>
            <w:r>
              <w:rPr>
                <w:sz w:val="20"/>
                <w:szCs w:val="20"/>
                <w:lang w:val="fr-CA"/>
              </w:rPr>
              <w:t xml:space="preserve"> dans les documents mentionnés ci-dessus</w:t>
            </w:r>
            <w:r w:rsidRPr="002A2EA2">
              <w:rPr>
                <w:sz w:val="20"/>
                <w:szCs w:val="20"/>
                <w:lang w:val="fr-CA"/>
              </w:rPr>
              <w:t>, les vérificateurs ont jugé pertinent</w:t>
            </w:r>
            <w:r w:rsidR="00FA0889">
              <w:rPr>
                <w:sz w:val="20"/>
                <w:szCs w:val="20"/>
                <w:lang w:val="fr-CA"/>
              </w:rPr>
              <w:t xml:space="preserve"> de conserver </w:t>
            </w:r>
            <w:r w:rsidRPr="002A2EA2">
              <w:rPr>
                <w:sz w:val="20"/>
                <w:szCs w:val="20"/>
                <w:lang w:val="fr-CA"/>
              </w:rPr>
              <w:t xml:space="preserve">la Recommandation </w:t>
            </w:r>
            <w:r w:rsidR="00157C7D">
              <w:rPr>
                <w:sz w:val="20"/>
                <w:szCs w:val="20"/>
                <w:lang w:val="fr-CA"/>
              </w:rPr>
              <w:t>3</w:t>
            </w:r>
            <w:r w:rsidRPr="002A2EA2">
              <w:rPr>
                <w:sz w:val="20"/>
                <w:szCs w:val="20"/>
                <w:lang w:val="fr-CA"/>
              </w:rPr>
              <w:t xml:space="preserve"> dans leur rapport</w:t>
            </w:r>
            <w:r w:rsidR="00731386" w:rsidRPr="0014412C">
              <w:rPr>
                <w:sz w:val="20"/>
                <w:szCs w:val="20"/>
                <w:lang w:val="fr-CA"/>
              </w:rPr>
              <w:t>.</w:t>
            </w:r>
          </w:p>
          <w:p w14:paraId="5787FF03" w14:textId="03A3D0D9" w:rsidR="00731386" w:rsidRPr="0014412C" w:rsidRDefault="00157C7D" w:rsidP="00A672BF">
            <w:pPr>
              <w:spacing w:after="60"/>
              <w:rPr>
                <w:sz w:val="20"/>
                <w:szCs w:val="20"/>
                <w:lang w:val="fr-CA"/>
              </w:rPr>
            </w:pPr>
            <w:r>
              <w:rPr>
                <w:sz w:val="20"/>
                <w:szCs w:val="20"/>
                <w:lang w:val="fr-CA"/>
              </w:rPr>
              <w:t>Donnant suite à la</w:t>
            </w:r>
            <w:r w:rsidR="00731386" w:rsidRPr="0014412C">
              <w:rPr>
                <w:sz w:val="20"/>
                <w:szCs w:val="20"/>
                <w:lang w:val="fr-CA"/>
              </w:rPr>
              <w:t xml:space="preserve"> </w:t>
            </w:r>
            <w:r w:rsidR="0014546A">
              <w:rPr>
                <w:sz w:val="20"/>
                <w:szCs w:val="20"/>
                <w:lang w:val="fr-CA"/>
              </w:rPr>
              <w:t>Recommandation</w:t>
            </w:r>
            <w:r w:rsidR="00731386" w:rsidRPr="0014412C">
              <w:rPr>
                <w:sz w:val="20"/>
                <w:szCs w:val="20"/>
                <w:lang w:val="fr-CA"/>
              </w:rPr>
              <w:t xml:space="preserve"> 3, </w:t>
            </w:r>
            <w:r>
              <w:rPr>
                <w:sz w:val="20"/>
                <w:szCs w:val="20"/>
                <w:lang w:val="fr-CA"/>
              </w:rPr>
              <w:t>l</w:t>
            </w:r>
            <w:r w:rsidR="00731386" w:rsidRPr="0014412C">
              <w:rPr>
                <w:sz w:val="20"/>
                <w:szCs w:val="20"/>
                <w:lang w:val="fr-CA"/>
              </w:rPr>
              <w:t xml:space="preserve">e </w:t>
            </w:r>
            <w:r w:rsidR="0014412C">
              <w:rPr>
                <w:sz w:val="20"/>
                <w:szCs w:val="20"/>
                <w:lang w:val="fr-CA"/>
              </w:rPr>
              <w:t>Secrétariat du Fonds</w:t>
            </w:r>
            <w:r w:rsidR="00731386" w:rsidRPr="0014412C">
              <w:rPr>
                <w:sz w:val="20"/>
                <w:szCs w:val="20"/>
                <w:lang w:val="fr-CA"/>
              </w:rPr>
              <w:t xml:space="preserve"> </w:t>
            </w:r>
            <w:r>
              <w:rPr>
                <w:sz w:val="20"/>
                <w:szCs w:val="20"/>
                <w:lang w:val="fr-CA"/>
              </w:rPr>
              <w:t xml:space="preserve">a envoyé, le 12 novembre 2021, une </w:t>
            </w:r>
            <w:r w:rsidR="00731386" w:rsidRPr="0014412C">
              <w:rPr>
                <w:sz w:val="20"/>
                <w:szCs w:val="20"/>
                <w:lang w:val="fr-CA"/>
              </w:rPr>
              <w:t xml:space="preserve">communication </w:t>
            </w:r>
            <w:r>
              <w:rPr>
                <w:sz w:val="20"/>
                <w:szCs w:val="20"/>
                <w:lang w:val="fr-CA"/>
              </w:rPr>
              <w:t>officielle aux agences bilatérales et d’exécution pour leur demander d’élargir l’analyse des causes fondamentales des retards dans la mise en œuvre des projets et de fournir d’autres preuves que des mesures sont prises pour régler les problèmes systématiques</w:t>
            </w:r>
            <w:r w:rsidR="00731386" w:rsidRPr="0014412C">
              <w:rPr>
                <w:sz w:val="20"/>
                <w:szCs w:val="20"/>
                <w:lang w:val="fr-CA"/>
              </w:rPr>
              <w:t xml:space="preserve">. </w:t>
            </w:r>
            <w:r>
              <w:rPr>
                <w:sz w:val="20"/>
                <w:szCs w:val="20"/>
                <w:lang w:val="fr-CA"/>
              </w:rPr>
              <w:t xml:space="preserve">Ces mesures </w:t>
            </w:r>
            <w:r w:rsidR="00AE21D0">
              <w:rPr>
                <w:sz w:val="20"/>
                <w:szCs w:val="20"/>
                <w:lang w:val="fr-CA"/>
              </w:rPr>
              <w:t>seront prises en compte dans les documents de réunion pertinents sur les retards dans l’exécution des projets</w:t>
            </w:r>
            <w:r w:rsidR="00731386" w:rsidRPr="0014412C">
              <w:rPr>
                <w:sz w:val="20"/>
                <w:szCs w:val="20"/>
                <w:lang w:val="fr-CA"/>
              </w:rPr>
              <w:t>.</w:t>
            </w:r>
          </w:p>
        </w:tc>
      </w:tr>
      <w:tr w:rsidR="005E6226" w:rsidRPr="00F84C2E" w14:paraId="7AD0AFFB" w14:textId="77777777" w:rsidTr="00C327BD">
        <w:tc>
          <w:tcPr>
            <w:tcW w:w="3415" w:type="dxa"/>
          </w:tcPr>
          <w:p w14:paraId="4C8D95A8" w14:textId="0D633E7E" w:rsidR="00731386" w:rsidRPr="0014412C" w:rsidRDefault="00731386" w:rsidP="00C327BD">
            <w:pPr>
              <w:tabs>
                <w:tab w:val="left" w:pos="720"/>
              </w:tabs>
              <w:spacing w:after="60"/>
              <w:jc w:val="left"/>
              <w:rPr>
                <w:bCs/>
                <w:i/>
                <w:color w:val="000000"/>
                <w:sz w:val="20"/>
                <w:szCs w:val="20"/>
                <w:lang w:val="fr-CA"/>
              </w:rPr>
            </w:pPr>
            <w:r w:rsidRPr="0014412C">
              <w:rPr>
                <w:bCs/>
                <w:i/>
                <w:sz w:val="20"/>
                <w:szCs w:val="20"/>
                <w:lang w:val="fr-CA"/>
              </w:rPr>
              <w:lastRenderedPageBreak/>
              <w:t xml:space="preserve">4. </w:t>
            </w:r>
            <w:r w:rsidR="00A03171">
              <w:rPr>
                <w:bCs/>
                <w:i/>
                <w:sz w:val="20"/>
                <w:szCs w:val="20"/>
                <w:lang w:val="fr-CA"/>
              </w:rPr>
              <w:t>L</w:t>
            </w:r>
            <w:r w:rsidRPr="0014412C">
              <w:rPr>
                <w:bCs/>
                <w:i/>
                <w:sz w:val="20"/>
                <w:szCs w:val="20"/>
                <w:lang w:val="fr-CA"/>
              </w:rPr>
              <w:t xml:space="preserve">e </w:t>
            </w:r>
            <w:r w:rsidR="0014412C">
              <w:rPr>
                <w:bCs/>
                <w:i/>
                <w:sz w:val="20"/>
                <w:szCs w:val="20"/>
                <w:lang w:val="fr-CA"/>
              </w:rPr>
              <w:t>Secrétariat du Fonds</w:t>
            </w:r>
            <w:r w:rsidRPr="0014412C">
              <w:rPr>
                <w:i/>
                <w:snapToGrid w:val="0"/>
                <w:sz w:val="20"/>
                <w:szCs w:val="20"/>
                <w:lang w:val="fr-CA"/>
              </w:rPr>
              <w:t xml:space="preserve"> </w:t>
            </w:r>
            <w:r w:rsidR="00A03171">
              <w:rPr>
                <w:bCs/>
                <w:i/>
                <w:sz w:val="20"/>
                <w:szCs w:val="20"/>
                <w:lang w:val="fr-CA"/>
              </w:rPr>
              <w:t>devrait</w:t>
            </w:r>
            <w:r w:rsidRPr="0014412C">
              <w:rPr>
                <w:bCs/>
                <w:i/>
                <w:sz w:val="20"/>
                <w:szCs w:val="20"/>
                <w:lang w:val="fr-CA"/>
              </w:rPr>
              <w:t xml:space="preserve"> </w:t>
            </w:r>
            <w:r w:rsidR="00F031D3">
              <w:rPr>
                <w:bCs/>
                <w:i/>
                <w:sz w:val="20"/>
                <w:szCs w:val="20"/>
                <w:lang w:val="fr-CA"/>
              </w:rPr>
              <w:t>r</w:t>
            </w:r>
            <w:r w:rsidR="00A03171" w:rsidRPr="00A03171">
              <w:rPr>
                <w:bCs/>
                <w:i/>
                <w:sz w:val="20"/>
                <w:szCs w:val="20"/>
                <w:lang w:val="fr-CA"/>
              </w:rPr>
              <w:t>appeler aux agences d’exécution d</w:t>
            </w:r>
            <w:r w:rsidR="00F031D3">
              <w:rPr>
                <w:bCs/>
                <w:i/>
                <w:sz w:val="20"/>
                <w:szCs w:val="20"/>
                <w:lang w:val="fr-CA"/>
              </w:rPr>
              <w:t xml:space="preserve">e renforcer davantage </w:t>
            </w:r>
            <w:r w:rsidR="00A03171" w:rsidRPr="00A03171">
              <w:rPr>
                <w:bCs/>
                <w:i/>
                <w:sz w:val="20"/>
                <w:szCs w:val="20"/>
                <w:lang w:val="fr-CA"/>
              </w:rPr>
              <w:t>la conformité aux décisions du Comité Exécutif sur l’achèvement des projets et les comptes rendus</w:t>
            </w:r>
            <w:r w:rsidRPr="0014412C">
              <w:rPr>
                <w:bCs/>
                <w:i/>
                <w:sz w:val="20"/>
                <w:szCs w:val="20"/>
                <w:lang w:val="fr-CA"/>
              </w:rPr>
              <w:t>.</w:t>
            </w:r>
          </w:p>
        </w:tc>
        <w:tc>
          <w:tcPr>
            <w:tcW w:w="6030" w:type="dxa"/>
          </w:tcPr>
          <w:p w14:paraId="6EB32133" w14:textId="1B14C2D7" w:rsidR="00731386" w:rsidRPr="0014412C" w:rsidRDefault="000500E1" w:rsidP="00A672BF">
            <w:pPr>
              <w:spacing w:after="60"/>
              <w:rPr>
                <w:sz w:val="20"/>
                <w:szCs w:val="20"/>
                <w:lang w:val="fr-CA"/>
              </w:rPr>
            </w:pPr>
            <w:r w:rsidRPr="000500E1">
              <w:rPr>
                <w:sz w:val="20"/>
                <w:szCs w:val="20"/>
                <w:lang w:val="fr-CA"/>
              </w:rPr>
              <w:t>Durant la période de l’audit, le Secrétariat du Fonds a informé les vérificateurs que</w:t>
            </w:r>
            <w:r w:rsidR="00AE21D0">
              <w:rPr>
                <w:sz w:val="20"/>
                <w:szCs w:val="20"/>
                <w:lang w:val="fr-CA"/>
              </w:rPr>
              <w:t xml:space="preserve">, préalablement à chaque réunion du </w:t>
            </w:r>
            <w:r w:rsidR="00731386" w:rsidRPr="0014412C">
              <w:rPr>
                <w:sz w:val="20"/>
                <w:szCs w:val="20"/>
                <w:lang w:val="fr-CA"/>
              </w:rPr>
              <w:t xml:space="preserve"> </w:t>
            </w:r>
            <w:r w:rsidR="00277470" w:rsidRPr="0014412C">
              <w:rPr>
                <w:sz w:val="20"/>
                <w:szCs w:val="20"/>
                <w:lang w:val="fr-CA"/>
              </w:rPr>
              <w:t>Comité Exécutif</w:t>
            </w:r>
            <w:r w:rsidR="00731386" w:rsidRPr="0014412C">
              <w:rPr>
                <w:sz w:val="20"/>
                <w:szCs w:val="20"/>
                <w:lang w:val="fr-CA"/>
              </w:rPr>
              <w:t xml:space="preserve">, </w:t>
            </w:r>
            <w:r w:rsidR="00AE21D0">
              <w:rPr>
                <w:sz w:val="20"/>
                <w:szCs w:val="20"/>
                <w:lang w:val="fr-CA"/>
              </w:rPr>
              <w:t>l</w:t>
            </w:r>
            <w:r w:rsidR="00731386" w:rsidRPr="0014412C">
              <w:rPr>
                <w:sz w:val="20"/>
                <w:szCs w:val="20"/>
                <w:lang w:val="fr-CA"/>
              </w:rPr>
              <w:t xml:space="preserve">e </w:t>
            </w:r>
            <w:r w:rsidR="0014412C">
              <w:rPr>
                <w:sz w:val="20"/>
                <w:szCs w:val="20"/>
                <w:lang w:val="fr-CA"/>
              </w:rPr>
              <w:t>Secrétariat du Fonds</w:t>
            </w:r>
            <w:r w:rsidR="00731386" w:rsidRPr="0014412C">
              <w:rPr>
                <w:sz w:val="20"/>
                <w:szCs w:val="20"/>
                <w:lang w:val="fr-CA"/>
              </w:rPr>
              <w:t xml:space="preserve"> </w:t>
            </w:r>
            <w:r w:rsidR="00AE21D0">
              <w:rPr>
                <w:sz w:val="20"/>
                <w:szCs w:val="20"/>
                <w:lang w:val="fr-CA"/>
              </w:rPr>
              <w:t xml:space="preserve">accueille des réunions de coordination interagences </w:t>
            </w:r>
            <w:r w:rsidR="00731386" w:rsidRPr="0014412C">
              <w:rPr>
                <w:sz w:val="20"/>
                <w:szCs w:val="20"/>
                <w:lang w:val="fr-CA"/>
              </w:rPr>
              <w:t>(</w:t>
            </w:r>
            <w:r w:rsidR="00AE21D0">
              <w:rPr>
                <w:sz w:val="20"/>
                <w:szCs w:val="20"/>
                <w:lang w:val="fr-CA"/>
              </w:rPr>
              <w:t>RC</w:t>
            </w:r>
            <w:r w:rsidR="00731386" w:rsidRPr="0014412C">
              <w:rPr>
                <w:sz w:val="20"/>
                <w:szCs w:val="20"/>
                <w:lang w:val="fr-CA"/>
              </w:rPr>
              <w:t xml:space="preserve">IA) </w:t>
            </w:r>
            <w:r w:rsidR="00AE21D0">
              <w:rPr>
                <w:sz w:val="20"/>
                <w:szCs w:val="20"/>
                <w:lang w:val="fr-CA"/>
              </w:rPr>
              <w:t>avec les agences bilatérales et les agences d’exécution</w:t>
            </w:r>
            <w:r w:rsidR="00731386" w:rsidRPr="0014412C">
              <w:rPr>
                <w:sz w:val="20"/>
                <w:szCs w:val="20"/>
                <w:lang w:val="fr-CA"/>
              </w:rPr>
              <w:t>. Dur</w:t>
            </w:r>
            <w:r w:rsidR="00AE21D0">
              <w:rPr>
                <w:sz w:val="20"/>
                <w:szCs w:val="20"/>
                <w:lang w:val="fr-CA"/>
              </w:rPr>
              <w:t xml:space="preserve">ant ces </w:t>
            </w:r>
            <w:r w:rsidR="000D1877">
              <w:rPr>
                <w:sz w:val="20"/>
                <w:szCs w:val="20"/>
                <w:lang w:val="fr-CA"/>
              </w:rPr>
              <w:t>réunion</w:t>
            </w:r>
            <w:r w:rsidR="00731386" w:rsidRPr="0014412C">
              <w:rPr>
                <w:sz w:val="20"/>
                <w:szCs w:val="20"/>
                <w:lang w:val="fr-CA"/>
              </w:rPr>
              <w:t xml:space="preserve">s, </w:t>
            </w:r>
            <w:r w:rsidR="00AE21D0">
              <w:rPr>
                <w:sz w:val="20"/>
                <w:szCs w:val="20"/>
                <w:lang w:val="fr-CA"/>
              </w:rPr>
              <w:t>des débats prolongés ont lieu concernant des sujets pertinents, notamment l’état d’achèvement des projets et les comptes rendus</w:t>
            </w:r>
            <w:r w:rsidR="00731386" w:rsidRPr="0014412C">
              <w:rPr>
                <w:sz w:val="20"/>
                <w:szCs w:val="20"/>
                <w:lang w:val="fr-CA"/>
              </w:rPr>
              <w:t xml:space="preserve">. </w:t>
            </w:r>
          </w:p>
          <w:p w14:paraId="690D9331" w14:textId="10A89CCC" w:rsidR="00731386" w:rsidRPr="0014412C" w:rsidRDefault="00AE21D0" w:rsidP="00A672BF">
            <w:pPr>
              <w:spacing w:after="60"/>
              <w:rPr>
                <w:sz w:val="20"/>
                <w:szCs w:val="20"/>
                <w:lang w:val="fr-CA"/>
              </w:rPr>
            </w:pPr>
            <w:r>
              <w:rPr>
                <w:sz w:val="20"/>
                <w:szCs w:val="20"/>
                <w:lang w:val="fr-CA"/>
              </w:rPr>
              <w:t xml:space="preserve">À la suite des </w:t>
            </w:r>
            <w:r w:rsidR="00731386" w:rsidRPr="0014412C">
              <w:rPr>
                <w:sz w:val="20"/>
                <w:szCs w:val="20"/>
                <w:lang w:val="fr-CA"/>
              </w:rPr>
              <w:t xml:space="preserve">discussions </w:t>
            </w:r>
            <w:r>
              <w:rPr>
                <w:sz w:val="20"/>
                <w:szCs w:val="20"/>
                <w:lang w:val="fr-CA"/>
              </w:rPr>
              <w:t xml:space="preserve">avec les agences bilatérales et d’exécution, </w:t>
            </w:r>
            <w:r w:rsidR="00F031D3">
              <w:rPr>
                <w:sz w:val="20"/>
                <w:szCs w:val="20"/>
                <w:lang w:val="fr-CA"/>
              </w:rPr>
              <w:t>le nombre de rapports en suspens a été réduit</w:t>
            </w:r>
            <w:r w:rsidR="00731386" w:rsidRPr="0014412C">
              <w:rPr>
                <w:sz w:val="20"/>
                <w:szCs w:val="20"/>
                <w:lang w:val="fr-CA"/>
              </w:rPr>
              <w:t xml:space="preserve"> (</w:t>
            </w:r>
            <w:r w:rsidR="00F031D3">
              <w:rPr>
                <w:sz w:val="20"/>
                <w:szCs w:val="20"/>
                <w:lang w:val="fr-CA"/>
              </w:rPr>
              <w:t>à savoir</w:t>
            </w:r>
            <w:r w:rsidR="00731386" w:rsidRPr="0014412C">
              <w:rPr>
                <w:sz w:val="20"/>
                <w:szCs w:val="20"/>
                <w:lang w:val="fr-CA"/>
              </w:rPr>
              <w:t xml:space="preserve">, </w:t>
            </w:r>
            <w:r w:rsidR="00F031D3">
              <w:rPr>
                <w:sz w:val="20"/>
                <w:szCs w:val="20"/>
                <w:lang w:val="fr-CA"/>
              </w:rPr>
              <w:t xml:space="preserve">seuls </w:t>
            </w:r>
            <w:r w:rsidR="00731386" w:rsidRPr="0014412C">
              <w:rPr>
                <w:sz w:val="20"/>
                <w:szCs w:val="20"/>
                <w:lang w:val="fr-CA"/>
              </w:rPr>
              <w:t>9 r</w:t>
            </w:r>
            <w:r w:rsidR="00F031D3">
              <w:rPr>
                <w:sz w:val="20"/>
                <w:szCs w:val="20"/>
                <w:lang w:val="fr-CA"/>
              </w:rPr>
              <w:t>ap</w:t>
            </w:r>
            <w:r w:rsidR="00731386" w:rsidRPr="0014412C">
              <w:rPr>
                <w:sz w:val="20"/>
                <w:szCs w:val="20"/>
                <w:lang w:val="fr-CA"/>
              </w:rPr>
              <w:t xml:space="preserve">ports </w:t>
            </w:r>
            <w:r w:rsidR="00F031D3">
              <w:rPr>
                <w:sz w:val="20"/>
                <w:szCs w:val="20"/>
                <w:lang w:val="fr-CA"/>
              </w:rPr>
              <w:t xml:space="preserve">sur des projets pluriannuels sont en suspens </w:t>
            </w:r>
            <w:r w:rsidR="00837302">
              <w:rPr>
                <w:sz w:val="20"/>
                <w:szCs w:val="20"/>
                <w:lang w:val="fr-CA"/>
              </w:rPr>
              <w:t xml:space="preserve">sur les </w:t>
            </w:r>
            <w:r w:rsidR="00731386" w:rsidRPr="0014412C">
              <w:rPr>
                <w:sz w:val="20"/>
                <w:szCs w:val="20"/>
                <w:lang w:val="fr-CA"/>
              </w:rPr>
              <w:t>208</w:t>
            </w:r>
            <w:r w:rsidR="00837302">
              <w:rPr>
                <w:sz w:val="20"/>
                <w:szCs w:val="20"/>
                <w:lang w:val="fr-CA"/>
              </w:rPr>
              <w:t xml:space="preserve"> qui ont été achevés</w:t>
            </w:r>
            <w:r w:rsidR="00731386" w:rsidRPr="0014412C">
              <w:rPr>
                <w:sz w:val="20"/>
                <w:szCs w:val="20"/>
                <w:lang w:val="fr-CA"/>
              </w:rPr>
              <w:t xml:space="preserve">; </w:t>
            </w:r>
            <w:r w:rsidR="00837302">
              <w:rPr>
                <w:sz w:val="20"/>
                <w:szCs w:val="20"/>
                <w:lang w:val="fr-CA"/>
              </w:rPr>
              <w:t xml:space="preserve">seuls </w:t>
            </w:r>
            <w:r w:rsidR="00731386" w:rsidRPr="0014412C">
              <w:rPr>
                <w:sz w:val="20"/>
                <w:szCs w:val="20"/>
                <w:lang w:val="fr-CA"/>
              </w:rPr>
              <w:t>3 r</w:t>
            </w:r>
            <w:r w:rsidR="00837302">
              <w:rPr>
                <w:sz w:val="20"/>
                <w:szCs w:val="20"/>
                <w:lang w:val="fr-CA"/>
              </w:rPr>
              <w:t>ap</w:t>
            </w:r>
            <w:r w:rsidR="00731386" w:rsidRPr="0014412C">
              <w:rPr>
                <w:sz w:val="20"/>
                <w:szCs w:val="20"/>
                <w:lang w:val="fr-CA"/>
              </w:rPr>
              <w:t xml:space="preserve">ports </w:t>
            </w:r>
            <w:r w:rsidR="00837302">
              <w:rPr>
                <w:sz w:val="20"/>
                <w:szCs w:val="20"/>
                <w:lang w:val="fr-CA"/>
              </w:rPr>
              <w:t xml:space="preserve">sur des projets individuels sont en suspens sur les </w:t>
            </w:r>
            <w:r w:rsidR="00731386" w:rsidRPr="0014412C">
              <w:rPr>
                <w:sz w:val="20"/>
                <w:szCs w:val="20"/>
                <w:lang w:val="fr-CA"/>
              </w:rPr>
              <w:t>1</w:t>
            </w:r>
            <w:r w:rsidR="00837302">
              <w:rPr>
                <w:sz w:val="20"/>
                <w:szCs w:val="20"/>
                <w:lang w:val="fr-CA"/>
              </w:rPr>
              <w:t> </w:t>
            </w:r>
            <w:r w:rsidR="00731386" w:rsidRPr="0014412C">
              <w:rPr>
                <w:sz w:val="20"/>
                <w:szCs w:val="20"/>
                <w:lang w:val="fr-CA"/>
              </w:rPr>
              <w:t xml:space="preserve">856 </w:t>
            </w:r>
            <w:r w:rsidR="00837302">
              <w:rPr>
                <w:sz w:val="20"/>
                <w:szCs w:val="20"/>
                <w:lang w:val="fr-CA"/>
              </w:rPr>
              <w:t>qui ont été achevés</w:t>
            </w:r>
            <w:r w:rsidR="00731386" w:rsidRPr="0014412C">
              <w:rPr>
                <w:sz w:val="20"/>
                <w:szCs w:val="20"/>
                <w:lang w:val="fr-CA"/>
              </w:rPr>
              <w:t xml:space="preserve">; </w:t>
            </w:r>
            <w:r w:rsidR="00837302">
              <w:rPr>
                <w:sz w:val="20"/>
                <w:szCs w:val="20"/>
                <w:lang w:val="fr-CA"/>
              </w:rPr>
              <w:t xml:space="preserve">et </w:t>
            </w:r>
            <w:r w:rsidR="00731386" w:rsidRPr="0014412C">
              <w:rPr>
                <w:sz w:val="20"/>
                <w:szCs w:val="20"/>
                <w:lang w:val="fr-CA"/>
              </w:rPr>
              <w:t>13 r</w:t>
            </w:r>
            <w:r w:rsidR="00837302">
              <w:rPr>
                <w:sz w:val="20"/>
                <w:szCs w:val="20"/>
                <w:lang w:val="fr-CA"/>
              </w:rPr>
              <w:t>ap</w:t>
            </w:r>
            <w:r w:rsidR="00731386" w:rsidRPr="0014412C">
              <w:rPr>
                <w:sz w:val="20"/>
                <w:szCs w:val="20"/>
                <w:lang w:val="fr-CA"/>
              </w:rPr>
              <w:t xml:space="preserve">ports </w:t>
            </w:r>
            <w:r w:rsidR="00837302">
              <w:rPr>
                <w:sz w:val="20"/>
                <w:szCs w:val="20"/>
                <w:lang w:val="fr-CA"/>
              </w:rPr>
              <w:t xml:space="preserve">sur des projets sans investissement sont en suspens sur les </w:t>
            </w:r>
            <w:r w:rsidR="00731386" w:rsidRPr="0014412C">
              <w:rPr>
                <w:sz w:val="20"/>
                <w:szCs w:val="20"/>
                <w:lang w:val="fr-CA"/>
              </w:rPr>
              <w:t>1</w:t>
            </w:r>
            <w:r w:rsidR="00837302">
              <w:rPr>
                <w:sz w:val="20"/>
                <w:szCs w:val="20"/>
                <w:lang w:val="fr-CA"/>
              </w:rPr>
              <w:t> </w:t>
            </w:r>
            <w:r w:rsidR="00731386" w:rsidRPr="0014412C">
              <w:rPr>
                <w:sz w:val="20"/>
                <w:szCs w:val="20"/>
                <w:lang w:val="fr-CA"/>
              </w:rPr>
              <w:t xml:space="preserve">234 </w:t>
            </w:r>
            <w:r w:rsidR="00837302">
              <w:rPr>
                <w:sz w:val="20"/>
                <w:szCs w:val="20"/>
                <w:lang w:val="fr-CA"/>
              </w:rPr>
              <w:t>qui ont été achevés</w:t>
            </w:r>
            <w:r w:rsidR="00731386" w:rsidRPr="0014412C">
              <w:rPr>
                <w:sz w:val="20"/>
                <w:szCs w:val="20"/>
                <w:lang w:val="fr-CA"/>
              </w:rPr>
              <w:t>).</w:t>
            </w:r>
          </w:p>
          <w:p w14:paraId="48D4ADC5" w14:textId="48AA2E3C" w:rsidR="00731386" w:rsidRPr="0014412C" w:rsidRDefault="00FA0889" w:rsidP="00A672BF">
            <w:pPr>
              <w:spacing w:after="60"/>
              <w:rPr>
                <w:sz w:val="20"/>
                <w:szCs w:val="20"/>
                <w:lang w:val="fr-CA"/>
              </w:rPr>
            </w:pPr>
            <w:r w:rsidRPr="00FA0889">
              <w:rPr>
                <w:sz w:val="20"/>
                <w:szCs w:val="20"/>
                <w:lang w:val="fr-CA"/>
              </w:rPr>
              <w:t>Ayant examiné les informations présentées, les vérificateurs ont jugé</w:t>
            </w:r>
            <w:r>
              <w:rPr>
                <w:sz w:val="20"/>
                <w:szCs w:val="20"/>
                <w:lang w:val="fr-CA"/>
              </w:rPr>
              <w:t xml:space="preserve"> </w:t>
            </w:r>
            <w:r w:rsidRPr="00FA0889">
              <w:rPr>
                <w:sz w:val="20"/>
                <w:szCs w:val="20"/>
                <w:lang w:val="fr-CA"/>
              </w:rPr>
              <w:t xml:space="preserve">pertinent de </w:t>
            </w:r>
            <w:r>
              <w:rPr>
                <w:sz w:val="20"/>
                <w:szCs w:val="20"/>
                <w:lang w:val="fr-CA"/>
              </w:rPr>
              <w:t xml:space="preserve">conserver </w:t>
            </w:r>
            <w:r w:rsidRPr="00FA0889">
              <w:rPr>
                <w:sz w:val="20"/>
                <w:szCs w:val="20"/>
                <w:lang w:val="fr-CA"/>
              </w:rPr>
              <w:t xml:space="preserve">la Recommandation </w:t>
            </w:r>
            <w:r>
              <w:rPr>
                <w:sz w:val="20"/>
                <w:szCs w:val="20"/>
                <w:lang w:val="fr-CA"/>
              </w:rPr>
              <w:t>4</w:t>
            </w:r>
            <w:r w:rsidRPr="00FA0889">
              <w:rPr>
                <w:sz w:val="20"/>
                <w:szCs w:val="20"/>
                <w:lang w:val="fr-CA"/>
              </w:rPr>
              <w:t xml:space="preserve"> dans leur rapport</w:t>
            </w:r>
            <w:r w:rsidR="00731386" w:rsidRPr="0014412C">
              <w:rPr>
                <w:sz w:val="20"/>
                <w:szCs w:val="20"/>
                <w:lang w:val="fr-CA"/>
              </w:rPr>
              <w:t>.</w:t>
            </w:r>
          </w:p>
          <w:p w14:paraId="221B38C8" w14:textId="1E6792CF" w:rsidR="00731386" w:rsidRPr="0014412C" w:rsidRDefault="00FA0889" w:rsidP="00A672BF">
            <w:pPr>
              <w:spacing w:after="60"/>
              <w:rPr>
                <w:sz w:val="20"/>
                <w:szCs w:val="20"/>
                <w:lang w:val="fr-CA"/>
              </w:rPr>
            </w:pPr>
            <w:r w:rsidRPr="00FA0889">
              <w:rPr>
                <w:sz w:val="20"/>
                <w:szCs w:val="20"/>
                <w:lang w:val="fr-CA"/>
              </w:rPr>
              <w:t xml:space="preserve">Le 12 novembre 2021, eu égard à la Recommandation </w:t>
            </w:r>
            <w:r>
              <w:rPr>
                <w:sz w:val="20"/>
                <w:szCs w:val="20"/>
                <w:lang w:val="fr-CA"/>
              </w:rPr>
              <w:t>4</w:t>
            </w:r>
            <w:r w:rsidRPr="00FA0889">
              <w:rPr>
                <w:sz w:val="20"/>
                <w:szCs w:val="20"/>
                <w:lang w:val="fr-CA"/>
              </w:rPr>
              <w:t>, le Secrétariat du Fonds a envoyé une communication officielle aux agences bilatérales et d’exécution pour le</w:t>
            </w:r>
            <w:r>
              <w:rPr>
                <w:sz w:val="20"/>
                <w:szCs w:val="20"/>
                <w:lang w:val="fr-CA"/>
              </w:rPr>
              <w:t xml:space="preserve">ur rappeler </w:t>
            </w:r>
            <w:r w:rsidRPr="00FA0889">
              <w:rPr>
                <w:sz w:val="20"/>
                <w:szCs w:val="20"/>
                <w:lang w:val="fr-CA"/>
              </w:rPr>
              <w:t xml:space="preserve">la nécessité de renforcer davantage </w:t>
            </w:r>
            <w:r>
              <w:rPr>
                <w:sz w:val="20"/>
                <w:szCs w:val="20"/>
                <w:lang w:val="fr-CA"/>
              </w:rPr>
              <w:t xml:space="preserve">la conformité aux décisions du </w:t>
            </w:r>
            <w:r w:rsidR="00277470" w:rsidRPr="0014412C">
              <w:rPr>
                <w:sz w:val="20"/>
                <w:szCs w:val="20"/>
                <w:lang w:val="fr-CA"/>
              </w:rPr>
              <w:t>Comité Exécutif</w:t>
            </w:r>
            <w:r w:rsidR="008B2FE5">
              <w:rPr>
                <w:sz w:val="20"/>
                <w:szCs w:val="20"/>
                <w:lang w:val="fr-CA"/>
              </w:rPr>
              <w:t xml:space="preserve"> sur l’achèvement des projets et les comptes rendus</w:t>
            </w:r>
            <w:r w:rsidR="00731386" w:rsidRPr="0014412C">
              <w:rPr>
                <w:sz w:val="20"/>
                <w:szCs w:val="20"/>
                <w:lang w:val="fr-CA"/>
              </w:rPr>
              <w:t>.</w:t>
            </w:r>
          </w:p>
          <w:p w14:paraId="095E1ECF" w14:textId="18C4A86B" w:rsidR="00731386" w:rsidRPr="0014412C" w:rsidRDefault="008B2FE5" w:rsidP="00A672BF">
            <w:pPr>
              <w:spacing w:after="60"/>
              <w:rPr>
                <w:sz w:val="20"/>
                <w:szCs w:val="20"/>
                <w:lang w:val="fr-CA"/>
              </w:rPr>
            </w:pPr>
            <w:r>
              <w:rPr>
                <w:sz w:val="20"/>
                <w:szCs w:val="20"/>
                <w:lang w:val="fr-CA"/>
              </w:rPr>
              <w:t>L</w:t>
            </w:r>
            <w:r w:rsidR="00731386" w:rsidRPr="0014412C">
              <w:rPr>
                <w:sz w:val="20"/>
                <w:szCs w:val="20"/>
                <w:lang w:val="fr-CA"/>
              </w:rPr>
              <w:t xml:space="preserve">e </w:t>
            </w:r>
            <w:r w:rsidR="00277470" w:rsidRPr="0014412C">
              <w:rPr>
                <w:sz w:val="20"/>
                <w:szCs w:val="20"/>
                <w:lang w:val="fr-CA"/>
              </w:rPr>
              <w:t>Comité Exécutif</w:t>
            </w:r>
            <w:r w:rsidR="00731386" w:rsidRPr="0014412C">
              <w:rPr>
                <w:sz w:val="20"/>
                <w:szCs w:val="20"/>
                <w:lang w:val="fr-CA"/>
              </w:rPr>
              <w:t xml:space="preserve"> </w:t>
            </w:r>
            <w:r>
              <w:rPr>
                <w:sz w:val="20"/>
                <w:szCs w:val="20"/>
                <w:lang w:val="fr-CA"/>
              </w:rPr>
              <w:t xml:space="preserve">est également invité à noter que le </w:t>
            </w:r>
            <w:r w:rsidR="0014412C">
              <w:rPr>
                <w:sz w:val="20"/>
                <w:szCs w:val="20"/>
                <w:lang w:val="fr-CA"/>
              </w:rPr>
              <w:t>Secrétariat du Fonds</w:t>
            </w:r>
            <w:r w:rsidR="00731386" w:rsidRPr="0014412C">
              <w:rPr>
                <w:sz w:val="20"/>
                <w:szCs w:val="20"/>
                <w:lang w:val="fr-CA"/>
              </w:rPr>
              <w:t xml:space="preserve"> </w:t>
            </w:r>
            <w:r>
              <w:rPr>
                <w:sz w:val="20"/>
                <w:szCs w:val="20"/>
                <w:lang w:val="fr-CA"/>
              </w:rPr>
              <w:t>poursuivra l’examen de cette question avec les agences bilatérales et d’exécution durant les RCIA et durant l’examen des documents de réunion pertinents</w:t>
            </w:r>
            <w:r w:rsidR="00731386" w:rsidRPr="0014412C">
              <w:rPr>
                <w:sz w:val="20"/>
                <w:szCs w:val="20"/>
                <w:lang w:val="fr-CA"/>
              </w:rPr>
              <w:t>.</w:t>
            </w:r>
          </w:p>
        </w:tc>
      </w:tr>
      <w:tr w:rsidR="005E6226" w:rsidRPr="00F84C2E" w14:paraId="02C6B5E5" w14:textId="77777777" w:rsidTr="00C327BD">
        <w:tc>
          <w:tcPr>
            <w:tcW w:w="3415" w:type="dxa"/>
          </w:tcPr>
          <w:p w14:paraId="32FC26A5" w14:textId="1A97310E" w:rsidR="00731386" w:rsidRPr="0014412C" w:rsidRDefault="00731386" w:rsidP="00C327BD">
            <w:pPr>
              <w:tabs>
                <w:tab w:val="left" w:pos="720"/>
              </w:tabs>
              <w:spacing w:after="60"/>
              <w:jc w:val="left"/>
              <w:rPr>
                <w:bCs/>
                <w:i/>
                <w:color w:val="000000"/>
                <w:sz w:val="20"/>
                <w:szCs w:val="20"/>
                <w:lang w:val="fr-CA"/>
              </w:rPr>
            </w:pPr>
            <w:r w:rsidRPr="0014412C">
              <w:rPr>
                <w:bCs/>
                <w:i/>
                <w:sz w:val="20"/>
                <w:szCs w:val="20"/>
                <w:lang w:val="fr-CA"/>
              </w:rPr>
              <w:t xml:space="preserve">5. </w:t>
            </w:r>
            <w:r w:rsidR="00A03171">
              <w:rPr>
                <w:bCs/>
                <w:i/>
                <w:sz w:val="20"/>
                <w:szCs w:val="20"/>
                <w:lang w:val="fr-CA"/>
              </w:rPr>
              <w:t>L</w:t>
            </w:r>
            <w:r w:rsidRPr="0014412C">
              <w:rPr>
                <w:bCs/>
                <w:i/>
                <w:sz w:val="20"/>
                <w:szCs w:val="20"/>
                <w:lang w:val="fr-CA"/>
              </w:rPr>
              <w:t xml:space="preserve">e </w:t>
            </w:r>
            <w:r w:rsidR="0014412C">
              <w:rPr>
                <w:bCs/>
                <w:i/>
                <w:sz w:val="20"/>
                <w:szCs w:val="20"/>
                <w:lang w:val="fr-CA"/>
              </w:rPr>
              <w:t>Secrétariat du Fonds</w:t>
            </w:r>
            <w:r w:rsidRPr="0014412C">
              <w:rPr>
                <w:i/>
                <w:snapToGrid w:val="0"/>
                <w:sz w:val="20"/>
                <w:szCs w:val="20"/>
                <w:lang w:val="fr-CA"/>
              </w:rPr>
              <w:t xml:space="preserve"> </w:t>
            </w:r>
            <w:r w:rsidR="00A03171">
              <w:rPr>
                <w:bCs/>
                <w:i/>
                <w:sz w:val="20"/>
                <w:szCs w:val="20"/>
                <w:lang w:val="fr-CA"/>
              </w:rPr>
              <w:t xml:space="preserve">devrait </w:t>
            </w:r>
            <w:r w:rsidR="008B2FE5">
              <w:rPr>
                <w:i/>
                <w:iCs/>
                <w:lang w:val="fr-CA"/>
              </w:rPr>
              <w:t>e</w:t>
            </w:r>
            <w:r w:rsidR="00A03171" w:rsidRPr="00A03171">
              <w:rPr>
                <w:i/>
                <w:iCs/>
                <w:lang w:val="fr-CA"/>
              </w:rPr>
              <w:t xml:space="preserve">xécuter </w:t>
            </w:r>
            <w:r w:rsidR="008B2FE5">
              <w:rPr>
                <w:i/>
                <w:iCs/>
                <w:lang w:val="fr-CA"/>
              </w:rPr>
              <w:t>les éléments du</w:t>
            </w:r>
            <w:r w:rsidR="00A03171" w:rsidRPr="00A03171">
              <w:rPr>
                <w:i/>
                <w:iCs/>
                <w:lang w:val="fr-CA"/>
              </w:rPr>
              <w:t xml:space="preserve"> plan d’action pour régler les retards dans la clôture financière des projets dépassant la limite des douze mois stipulée par le Comité Exécutif</w:t>
            </w:r>
            <w:r w:rsidR="008B2FE5">
              <w:rPr>
                <w:bCs/>
                <w:i/>
                <w:sz w:val="20"/>
                <w:szCs w:val="20"/>
                <w:lang w:val="fr-CA"/>
              </w:rPr>
              <w:t>.</w:t>
            </w:r>
          </w:p>
        </w:tc>
        <w:tc>
          <w:tcPr>
            <w:tcW w:w="6030" w:type="dxa"/>
          </w:tcPr>
          <w:p w14:paraId="0E636887" w14:textId="32E23252" w:rsidR="00731386" w:rsidRPr="0014412C" w:rsidRDefault="000500E1" w:rsidP="00A672BF">
            <w:pPr>
              <w:spacing w:after="60"/>
              <w:rPr>
                <w:sz w:val="20"/>
                <w:szCs w:val="20"/>
                <w:lang w:val="fr-CA"/>
              </w:rPr>
            </w:pPr>
            <w:r w:rsidRPr="000500E1">
              <w:rPr>
                <w:sz w:val="20"/>
                <w:szCs w:val="20"/>
                <w:lang w:val="fr-CA"/>
              </w:rPr>
              <w:t xml:space="preserve">Durant la période de l’audit, le Secrétariat du Fonds a informé les vérificateurs que </w:t>
            </w:r>
            <w:r w:rsidR="008B2FE5">
              <w:rPr>
                <w:sz w:val="20"/>
                <w:szCs w:val="20"/>
                <w:lang w:val="fr-CA"/>
              </w:rPr>
              <w:t xml:space="preserve">les éléments d’un plan d’action visant à régler la clôture des projets </w:t>
            </w:r>
            <w:r w:rsidR="005E6226">
              <w:rPr>
                <w:sz w:val="20"/>
                <w:szCs w:val="20"/>
                <w:lang w:val="fr-CA"/>
              </w:rPr>
              <w:t xml:space="preserve">sont en place depuis la </w:t>
            </w:r>
            <w:r w:rsidR="00731386" w:rsidRPr="0014412C">
              <w:rPr>
                <w:sz w:val="20"/>
                <w:szCs w:val="20"/>
                <w:lang w:val="fr-CA"/>
              </w:rPr>
              <w:t>28</w:t>
            </w:r>
            <w:r w:rsidR="005E6226">
              <w:rPr>
                <w:sz w:val="20"/>
                <w:szCs w:val="20"/>
                <w:vertAlign w:val="superscript"/>
                <w:lang w:val="fr-CA"/>
              </w:rPr>
              <w:t>e</w:t>
            </w:r>
            <w:r w:rsidR="00731386" w:rsidRPr="0014412C">
              <w:rPr>
                <w:sz w:val="20"/>
                <w:szCs w:val="20"/>
                <w:lang w:val="fr-CA"/>
              </w:rPr>
              <w:t xml:space="preserve"> </w:t>
            </w:r>
            <w:r w:rsidR="000D1877">
              <w:rPr>
                <w:sz w:val="20"/>
                <w:szCs w:val="20"/>
                <w:lang w:val="fr-CA"/>
              </w:rPr>
              <w:t>réunion</w:t>
            </w:r>
            <w:r w:rsidR="00731386" w:rsidRPr="0014412C">
              <w:rPr>
                <w:sz w:val="20"/>
                <w:szCs w:val="20"/>
                <w:lang w:val="fr-CA"/>
              </w:rPr>
              <w:t xml:space="preserve">, </w:t>
            </w:r>
            <w:r w:rsidR="005E6226">
              <w:rPr>
                <w:sz w:val="20"/>
                <w:szCs w:val="20"/>
                <w:lang w:val="fr-CA"/>
              </w:rPr>
              <w:t>et ont été appliqués depuis lors</w:t>
            </w:r>
            <w:r w:rsidR="00731386" w:rsidRPr="0014412C">
              <w:rPr>
                <w:sz w:val="20"/>
                <w:szCs w:val="20"/>
                <w:lang w:val="fr-CA"/>
              </w:rPr>
              <w:t xml:space="preserve">. </w:t>
            </w:r>
            <w:r w:rsidR="005E6226">
              <w:rPr>
                <w:sz w:val="20"/>
                <w:szCs w:val="20"/>
                <w:lang w:val="fr-CA"/>
              </w:rPr>
              <w:t>En particulier</w:t>
            </w:r>
            <w:r w:rsidR="00731386" w:rsidRPr="0014412C">
              <w:rPr>
                <w:sz w:val="20"/>
                <w:szCs w:val="20"/>
                <w:lang w:val="fr-CA"/>
              </w:rPr>
              <w:t xml:space="preserve">: </w:t>
            </w:r>
          </w:p>
          <w:p w14:paraId="16ADBBB1" w14:textId="4D728EFB" w:rsidR="00731386" w:rsidRPr="0014412C" w:rsidRDefault="005E6226" w:rsidP="00A672BF">
            <w:pPr>
              <w:pStyle w:val="ListParagraph"/>
              <w:numPr>
                <w:ilvl w:val="0"/>
                <w:numId w:val="24"/>
              </w:numPr>
              <w:tabs>
                <w:tab w:val="clear" w:pos="850"/>
                <w:tab w:val="clear" w:pos="1191"/>
                <w:tab w:val="clear" w:pos="1531"/>
              </w:tabs>
              <w:spacing w:after="60"/>
              <w:ind w:left="288" w:hanging="288"/>
              <w:contextualSpacing w:val="0"/>
              <w:rPr>
                <w:rFonts w:ascii="Times New Roman" w:hAnsi="Times New Roman" w:cs="Times New Roman"/>
                <w:sz w:val="20"/>
                <w:szCs w:val="20"/>
                <w:lang w:val="fr-CA"/>
              </w:rPr>
            </w:pPr>
            <w:r>
              <w:rPr>
                <w:rFonts w:ascii="Times New Roman" w:hAnsi="Times New Roman" w:cs="Times New Roman"/>
                <w:sz w:val="20"/>
                <w:szCs w:val="20"/>
                <w:lang w:val="fr-CA"/>
              </w:rPr>
              <w:t xml:space="preserve">Les projets opérationnellement terminés sont suivis de près jusqu’à leur clôture financière et les soldes sont rendus au </w:t>
            </w:r>
            <w:r w:rsidR="00277470" w:rsidRPr="0014412C">
              <w:rPr>
                <w:rFonts w:ascii="Times New Roman" w:hAnsi="Times New Roman" w:cs="Times New Roman"/>
                <w:sz w:val="20"/>
                <w:szCs w:val="20"/>
                <w:lang w:val="fr-CA"/>
              </w:rPr>
              <w:t>Fonds multilatéral</w:t>
            </w:r>
            <w:r w:rsidR="00731386" w:rsidRPr="0014412C">
              <w:rPr>
                <w:rFonts w:ascii="Times New Roman" w:hAnsi="Times New Roman" w:cs="Times New Roman"/>
                <w:sz w:val="20"/>
                <w:szCs w:val="20"/>
                <w:lang w:val="fr-CA"/>
              </w:rPr>
              <w:t>;</w:t>
            </w:r>
          </w:p>
          <w:p w14:paraId="22063511" w14:textId="6ED8D6AC" w:rsidR="00731386" w:rsidRPr="0014412C" w:rsidRDefault="005E6226" w:rsidP="00A672BF">
            <w:pPr>
              <w:pStyle w:val="ListParagraph"/>
              <w:numPr>
                <w:ilvl w:val="0"/>
                <w:numId w:val="24"/>
              </w:numPr>
              <w:tabs>
                <w:tab w:val="clear" w:pos="850"/>
                <w:tab w:val="clear" w:pos="1191"/>
                <w:tab w:val="clear" w:pos="1531"/>
              </w:tabs>
              <w:spacing w:after="60"/>
              <w:ind w:left="288" w:hanging="288"/>
              <w:contextualSpacing w:val="0"/>
              <w:rPr>
                <w:rFonts w:ascii="Times New Roman" w:hAnsi="Times New Roman" w:cs="Times New Roman"/>
                <w:sz w:val="20"/>
                <w:szCs w:val="20"/>
                <w:lang w:val="fr-CA"/>
              </w:rPr>
            </w:pPr>
            <w:r>
              <w:rPr>
                <w:rFonts w:ascii="Times New Roman" w:hAnsi="Times New Roman" w:cs="Times New Roman"/>
                <w:sz w:val="20"/>
                <w:szCs w:val="20"/>
                <w:lang w:val="fr-CA"/>
              </w:rPr>
              <w:t>Dans le cas des projets dont la clôture financière dépasse la limite de douze mois, l</w:t>
            </w:r>
            <w:r w:rsidR="00731386" w:rsidRPr="0014412C">
              <w:rPr>
                <w:rFonts w:ascii="Times New Roman" w:hAnsi="Times New Roman" w:cs="Times New Roman"/>
                <w:sz w:val="20"/>
                <w:szCs w:val="20"/>
                <w:lang w:val="fr-CA"/>
              </w:rPr>
              <w:t xml:space="preserve">e </w:t>
            </w:r>
            <w:r w:rsidR="0014412C">
              <w:rPr>
                <w:rFonts w:ascii="Times New Roman" w:hAnsi="Times New Roman" w:cs="Times New Roman"/>
                <w:sz w:val="20"/>
                <w:szCs w:val="20"/>
                <w:lang w:val="fr-CA"/>
              </w:rPr>
              <w:t>Secrétariat du Fonds</w:t>
            </w:r>
            <w:r w:rsidR="00731386" w:rsidRPr="0014412C">
              <w:rPr>
                <w:rFonts w:ascii="Times New Roman" w:hAnsi="Times New Roman" w:cs="Times New Roman"/>
                <w:sz w:val="20"/>
                <w:szCs w:val="20"/>
                <w:lang w:val="fr-CA"/>
              </w:rPr>
              <w:t xml:space="preserve"> </w:t>
            </w:r>
            <w:r>
              <w:rPr>
                <w:rFonts w:ascii="Times New Roman" w:hAnsi="Times New Roman" w:cs="Times New Roman"/>
                <w:sz w:val="20"/>
                <w:szCs w:val="20"/>
                <w:lang w:val="fr-CA"/>
              </w:rPr>
              <w:t xml:space="preserve">examine avec l’agence responsable les raisons du retard et convient d’une date d’achèvement, pour en informer ensuite le </w:t>
            </w:r>
            <w:r w:rsidR="00277470" w:rsidRPr="0014412C">
              <w:rPr>
                <w:rFonts w:ascii="Times New Roman" w:hAnsi="Times New Roman" w:cs="Times New Roman"/>
                <w:sz w:val="20"/>
                <w:szCs w:val="20"/>
                <w:lang w:val="fr-CA"/>
              </w:rPr>
              <w:t>Comité Exécutif</w:t>
            </w:r>
            <w:r w:rsidR="00731386" w:rsidRPr="0014412C">
              <w:rPr>
                <w:rFonts w:ascii="Times New Roman" w:hAnsi="Times New Roman" w:cs="Times New Roman"/>
                <w:sz w:val="20"/>
                <w:szCs w:val="20"/>
                <w:lang w:val="fr-CA"/>
              </w:rPr>
              <w:t xml:space="preserve">; </w:t>
            </w:r>
            <w:r>
              <w:rPr>
                <w:rFonts w:ascii="Times New Roman" w:hAnsi="Times New Roman" w:cs="Times New Roman"/>
                <w:sz w:val="20"/>
                <w:szCs w:val="20"/>
                <w:lang w:val="fr-CA"/>
              </w:rPr>
              <w:t>et</w:t>
            </w:r>
          </w:p>
          <w:p w14:paraId="632E96C1" w14:textId="18F97676" w:rsidR="00731386" w:rsidRPr="0014412C" w:rsidRDefault="00E12EA3" w:rsidP="00A672BF">
            <w:pPr>
              <w:pStyle w:val="ListParagraph"/>
              <w:numPr>
                <w:ilvl w:val="0"/>
                <w:numId w:val="24"/>
              </w:numPr>
              <w:tabs>
                <w:tab w:val="clear" w:pos="850"/>
                <w:tab w:val="clear" w:pos="1191"/>
                <w:tab w:val="clear" w:pos="1531"/>
              </w:tabs>
              <w:spacing w:after="60"/>
              <w:ind w:left="288" w:hanging="288"/>
              <w:contextualSpacing w:val="0"/>
              <w:rPr>
                <w:rFonts w:ascii="Times New Roman" w:hAnsi="Times New Roman" w:cs="Times New Roman"/>
                <w:sz w:val="20"/>
                <w:szCs w:val="20"/>
                <w:lang w:val="fr-CA"/>
              </w:rPr>
            </w:pPr>
            <w:r>
              <w:rPr>
                <w:rFonts w:ascii="Times New Roman" w:hAnsi="Times New Roman" w:cs="Times New Roman"/>
                <w:sz w:val="20"/>
                <w:szCs w:val="20"/>
                <w:lang w:val="fr-CA"/>
              </w:rPr>
              <w:t xml:space="preserve">Un rapport sur les soldes et la disponibilité des ressources, contenant des </w:t>
            </w:r>
            <w:r w:rsidR="00731386" w:rsidRPr="0014412C">
              <w:rPr>
                <w:rFonts w:ascii="Times New Roman" w:hAnsi="Times New Roman" w:cs="Times New Roman"/>
                <w:sz w:val="20"/>
                <w:szCs w:val="20"/>
                <w:lang w:val="fr-CA"/>
              </w:rPr>
              <w:t>information</w:t>
            </w:r>
            <w:r>
              <w:rPr>
                <w:rFonts w:ascii="Times New Roman" w:hAnsi="Times New Roman" w:cs="Times New Roman"/>
                <w:sz w:val="20"/>
                <w:szCs w:val="20"/>
                <w:lang w:val="fr-CA"/>
              </w:rPr>
              <w:t xml:space="preserve">s sur la clôture financière et la remise des fonds </w:t>
            </w:r>
            <w:r>
              <w:rPr>
                <w:rFonts w:ascii="Times New Roman" w:hAnsi="Times New Roman" w:cs="Times New Roman"/>
                <w:sz w:val="20"/>
                <w:szCs w:val="20"/>
                <w:lang w:val="fr-CA"/>
              </w:rPr>
              <w:lastRenderedPageBreak/>
              <w:t xml:space="preserve">provenant des projets achevés, est soumis à chaque </w:t>
            </w:r>
            <w:r w:rsidR="000D1877">
              <w:rPr>
                <w:rFonts w:ascii="Times New Roman" w:hAnsi="Times New Roman" w:cs="Times New Roman"/>
                <w:sz w:val="20"/>
                <w:szCs w:val="20"/>
                <w:lang w:val="fr-CA"/>
              </w:rPr>
              <w:t>réunion</w:t>
            </w:r>
            <w:r w:rsidR="00731386" w:rsidRPr="0014412C">
              <w:rPr>
                <w:rFonts w:ascii="Times New Roman" w:hAnsi="Times New Roman" w:cs="Times New Roman"/>
                <w:sz w:val="20"/>
                <w:szCs w:val="20"/>
                <w:lang w:val="fr-CA"/>
              </w:rPr>
              <w:t xml:space="preserve"> </w:t>
            </w:r>
            <w:r>
              <w:rPr>
                <w:rFonts w:ascii="Times New Roman" w:hAnsi="Times New Roman" w:cs="Times New Roman"/>
                <w:sz w:val="20"/>
                <w:szCs w:val="20"/>
                <w:lang w:val="fr-CA"/>
              </w:rPr>
              <w:t>du</w:t>
            </w:r>
            <w:r w:rsidR="00731386" w:rsidRPr="0014412C">
              <w:rPr>
                <w:rFonts w:ascii="Times New Roman" w:hAnsi="Times New Roman" w:cs="Times New Roman"/>
                <w:sz w:val="20"/>
                <w:szCs w:val="20"/>
                <w:lang w:val="fr-CA"/>
              </w:rPr>
              <w:t xml:space="preserve"> </w:t>
            </w:r>
            <w:r w:rsidR="00277470" w:rsidRPr="0014412C">
              <w:rPr>
                <w:rFonts w:ascii="Times New Roman" w:hAnsi="Times New Roman" w:cs="Times New Roman"/>
                <w:sz w:val="20"/>
                <w:szCs w:val="20"/>
                <w:lang w:val="fr-CA"/>
              </w:rPr>
              <w:t>Comité Exécutif</w:t>
            </w:r>
            <w:r w:rsidR="00731386" w:rsidRPr="0014412C">
              <w:rPr>
                <w:rFonts w:ascii="Times New Roman" w:hAnsi="Times New Roman" w:cs="Times New Roman"/>
                <w:sz w:val="20"/>
                <w:szCs w:val="20"/>
                <w:lang w:val="fr-CA"/>
              </w:rPr>
              <w:t xml:space="preserve">. </w:t>
            </w:r>
          </w:p>
          <w:p w14:paraId="0D5A5231" w14:textId="2360372F" w:rsidR="00731386" w:rsidRPr="0014412C" w:rsidRDefault="00E12EA3" w:rsidP="00A672BF">
            <w:pPr>
              <w:spacing w:after="60"/>
              <w:rPr>
                <w:sz w:val="20"/>
                <w:szCs w:val="20"/>
                <w:lang w:val="fr-CA"/>
              </w:rPr>
            </w:pPr>
            <w:r>
              <w:rPr>
                <w:sz w:val="20"/>
                <w:szCs w:val="20"/>
                <w:lang w:val="fr-CA"/>
              </w:rPr>
              <w:t xml:space="preserve">Dans leur rapport, les vérificateurs ont indiqué que le </w:t>
            </w:r>
            <w:r w:rsidR="0014412C">
              <w:rPr>
                <w:sz w:val="20"/>
                <w:szCs w:val="20"/>
                <w:lang w:val="fr-CA"/>
              </w:rPr>
              <w:t>Secrétariat du Fonds</w:t>
            </w:r>
            <w:r w:rsidR="00731386" w:rsidRPr="0014412C">
              <w:rPr>
                <w:sz w:val="20"/>
                <w:szCs w:val="20"/>
                <w:lang w:val="fr-CA"/>
              </w:rPr>
              <w:t xml:space="preserve"> </w:t>
            </w:r>
            <w:r>
              <w:rPr>
                <w:sz w:val="20"/>
                <w:szCs w:val="20"/>
                <w:lang w:val="fr-CA"/>
              </w:rPr>
              <w:t xml:space="preserve">a noté que la question de la clôture financière des projets est un motif de préoccupation important pour le </w:t>
            </w:r>
            <w:r w:rsidR="00277470" w:rsidRPr="0014412C">
              <w:rPr>
                <w:sz w:val="20"/>
                <w:szCs w:val="20"/>
                <w:lang w:val="fr-CA"/>
              </w:rPr>
              <w:t>Comité Exécutif</w:t>
            </w:r>
            <w:r w:rsidR="003A49E9">
              <w:rPr>
                <w:sz w:val="20"/>
                <w:szCs w:val="20"/>
                <w:lang w:val="fr-CA"/>
              </w:rPr>
              <w:t>, qui avait adopté e</w:t>
            </w:r>
            <w:r>
              <w:rPr>
                <w:sz w:val="20"/>
                <w:szCs w:val="20"/>
                <w:lang w:val="fr-CA"/>
              </w:rPr>
              <w:t>n conséquence plusieurs décisions spécifiques</w:t>
            </w:r>
            <w:r w:rsidR="00731386" w:rsidRPr="0014412C">
              <w:rPr>
                <w:sz w:val="20"/>
                <w:szCs w:val="20"/>
                <w:lang w:val="fr-CA"/>
              </w:rPr>
              <w:t xml:space="preserve">. </w:t>
            </w:r>
            <w:r w:rsidR="003A49E9">
              <w:rPr>
                <w:sz w:val="20"/>
                <w:szCs w:val="20"/>
                <w:lang w:val="fr-CA"/>
              </w:rPr>
              <w:t>L</w:t>
            </w:r>
            <w:r w:rsidR="00731386" w:rsidRPr="0014412C">
              <w:rPr>
                <w:sz w:val="20"/>
                <w:szCs w:val="20"/>
                <w:lang w:val="fr-CA"/>
              </w:rPr>
              <w:t xml:space="preserve">e </w:t>
            </w:r>
            <w:r w:rsidR="0014412C">
              <w:rPr>
                <w:sz w:val="20"/>
                <w:szCs w:val="20"/>
                <w:lang w:val="fr-CA"/>
              </w:rPr>
              <w:t>Secrétariat du Fonds</w:t>
            </w:r>
            <w:r w:rsidR="00731386" w:rsidRPr="0014412C">
              <w:rPr>
                <w:sz w:val="20"/>
                <w:szCs w:val="20"/>
                <w:lang w:val="fr-CA"/>
              </w:rPr>
              <w:t xml:space="preserve"> </w:t>
            </w:r>
            <w:r w:rsidR="003A49E9">
              <w:rPr>
                <w:sz w:val="20"/>
                <w:szCs w:val="20"/>
                <w:lang w:val="fr-CA"/>
              </w:rPr>
              <w:t>a tenu régulièrement des discussions avec les agences bilatérales et les agences d’exécution et a mis sur pied un plan d’action pour assurer que les projets achevés puissent être financièrement clôturés</w:t>
            </w:r>
            <w:r w:rsidR="00731386" w:rsidRPr="0014412C">
              <w:rPr>
                <w:sz w:val="20"/>
                <w:szCs w:val="20"/>
                <w:lang w:val="fr-CA"/>
              </w:rPr>
              <w:t xml:space="preserve">. </w:t>
            </w:r>
            <w:r w:rsidR="003A49E9">
              <w:rPr>
                <w:sz w:val="20"/>
                <w:szCs w:val="20"/>
                <w:lang w:val="fr-CA"/>
              </w:rPr>
              <w:t xml:space="preserve">Grâce à ces efforts, un montant total de </w:t>
            </w:r>
            <w:r w:rsidR="00731386" w:rsidRPr="0014412C">
              <w:rPr>
                <w:sz w:val="20"/>
                <w:szCs w:val="20"/>
                <w:lang w:val="fr-CA"/>
              </w:rPr>
              <w:t>32</w:t>
            </w:r>
            <w:r w:rsidR="003A49E9">
              <w:rPr>
                <w:sz w:val="20"/>
                <w:szCs w:val="20"/>
                <w:lang w:val="fr-CA"/>
              </w:rPr>
              <w:t>,</w:t>
            </w:r>
            <w:r w:rsidR="00731386" w:rsidRPr="0014412C">
              <w:rPr>
                <w:sz w:val="20"/>
                <w:szCs w:val="20"/>
                <w:lang w:val="fr-CA"/>
              </w:rPr>
              <w:t>1</w:t>
            </w:r>
            <w:r w:rsidR="003A49E9">
              <w:rPr>
                <w:sz w:val="20"/>
                <w:szCs w:val="20"/>
                <w:lang w:val="fr-CA"/>
              </w:rPr>
              <w:t> </w:t>
            </w:r>
            <w:r w:rsidR="00731386" w:rsidRPr="0014412C">
              <w:rPr>
                <w:sz w:val="20"/>
                <w:szCs w:val="20"/>
                <w:lang w:val="fr-CA"/>
              </w:rPr>
              <w:t>million</w:t>
            </w:r>
            <w:r w:rsidR="003A49E9">
              <w:rPr>
                <w:sz w:val="20"/>
                <w:szCs w:val="20"/>
                <w:lang w:val="fr-CA"/>
              </w:rPr>
              <w:t xml:space="preserve">s $US a été rendu au </w:t>
            </w:r>
            <w:r w:rsidR="00277470" w:rsidRPr="0014412C">
              <w:rPr>
                <w:sz w:val="20"/>
                <w:szCs w:val="20"/>
                <w:lang w:val="fr-CA"/>
              </w:rPr>
              <w:t>Fonds multilatéral</w:t>
            </w:r>
            <w:r w:rsidR="00731386" w:rsidRPr="0014412C">
              <w:rPr>
                <w:sz w:val="20"/>
                <w:szCs w:val="20"/>
                <w:lang w:val="fr-CA"/>
              </w:rPr>
              <w:t xml:space="preserve"> </w:t>
            </w:r>
            <w:r w:rsidR="003A49E9">
              <w:rPr>
                <w:sz w:val="20"/>
                <w:szCs w:val="20"/>
                <w:lang w:val="fr-CA"/>
              </w:rPr>
              <w:t>depuis</w:t>
            </w:r>
            <w:r w:rsidR="00731386" w:rsidRPr="0014412C">
              <w:rPr>
                <w:sz w:val="20"/>
                <w:szCs w:val="20"/>
                <w:lang w:val="fr-CA"/>
              </w:rPr>
              <w:t xml:space="preserve"> 2018. </w:t>
            </w:r>
            <w:r w:rsidR="003A49E9">
              <w:rPr>
                <w:sz w:val="20"/>
                <w:szCs w:val="20"/>
                <w:lang w:val="fr-CA"/>
              </w:rPr>
              <w:t xml:space="preserve">Ces fonds ont été </w:t>
            </w:r>
            <w:r w:rsidR="00CE7A69">
              <w:rPr>
                <w:sz w:val="20"/>
                <w:szCs w:val="20"/>
                <w:lang w:val="fr-CA"/>
              </w:rPr>
              <w:t>reprogrammés pour financer des activités d’élimination supplémentaires dans des pays visés à l’a</w:t>
            </w:r>
            <w:r w:rsidR="00731386" w:rsidRPr="0014412C">
              <w:rPr>
                <w:sz w:val="20"/>
                <w:szCs w:val="20"/>
                <w:lang w:val="fr-CA"/>
              </w:rPr>
              <w:t>rticle 5.</w:t>
            </w:r>
          </w:p>
          <w:p w14:paraId="5D0FE0BD" w14:textId="2295B163" w:rsidR="00731386" w:rsidRPr="0014412C" w:rsidRDefault="00CE7A69" w:rsidP="00A672BF">
            <w:pPr>
              <w:spacing w:after="60"/>
              <w:rPr>
                <w:sz w:val="20"/>
                <w:szCs w:val="20"/>
                <w:lang w:val="fr-CA"/>
              </w:rPr>
            </w:pPr>
            <w:r w:rsidRPr="00CE7A69">
              <w:rPr>
                <w:sz w:val="20"/>
                <w:szCs w:val="20"/>
                <w:lang w:val="fr-CA"/>
              </w:rPr>
              <w:t xml:space="preserve">Ayant examiné les informations présentées, les vérificateurs ont jugé pertinent de conserver la Recommandation </w:t>
            </w:r>
            <w:r>
              <w:rPr>
                <w:sz w:val="20"/>
                <w:szCs w:val="20"/>
                <w:lang w:val="fr-CA"/>
              </w:rPr>
              <w:t>5</w:t>
            </w:r>
            <w:r w:rsidRPr="00CE7A69">
              <w:rPr>
                <w:sz w:val="20"/>
                <w:szCs w:val="20"/>
                <w:lang w:val="fr-CA"/>
              </w:rPr>
              <w:t xml:space="preserve"> dans leur rapport.</w:t>
            </w:r>
          </w:p>
          <w:p w14:paraId="452DA2AE" w14:textId="119EDDCB" w:rsidR="00731386" w:rsidRPr="0014412C" w:rsidRDefault="00CE7A69" w:rsidP="00A672BF">
            <w:pPr>
              <w:spacing w:after="60"/>
              <w:rPr>
                <w:sz w:val="20"/>
                <w:szCs w:val="20"/>
                <w:lang w:val="fr-CA"/>
              </w:rPr>
            </w:pPr>
            <w:r w:rsidRPr="00CE7A69">
              <w:rPr>
                <w:sz w:val="20"/>
                <w:szCs w:val="20"/>
                <w:lang w:val="fr-CA"/>
              </w:rPr>
              <w:t xml:space="preserve">Le 12 novembre 2021, eu égard à la Recommandation </w:t>
            </w:r>
            <w:r>
              <w:rPr>
                <w:sz w:val="20"/>
                <w:szCs w:val="20"/>
                <w:lang w:val="fr-CA"/>
              </w:rPr>
              <w:t>5</w:t>
            </w:r>
            <w:r w:rsidRPr="00CE7A69">
              <w:rPr>
                <w:sz w:val="20"/>
                <w:szCs w:val="20"/>
                <w:lang w:val="fr-CA"/>
              </w:rPr>
              <w:t xml:space="preserve">, le Secrétariat du Fonds a envoyé une communication officielle aux agences bilatérales et d’exécution pour leur rappeler </w:t>
            </w:r>
            <w:r>
              <w:rPr>
                <w:sz w:val="20"/>
                <w:szCs w:val="20"/>
                <w:lang w:val="fr-CA"/>
              </w:rPr>
              <w:t xml:space="preserve">d’appliquer strictement tous les éléments du plan d’action mis en place depuis la </w:t>
            </w:r>
            <w:r w:rsidR="00731386" w:rsidRPr="0014412C">
              <w:rPr>
                <w:sz w:val="20"/>
                <w:szCs w:val="20"/>
                <w:lang w:val="fr-CA"/>
              </w:rPr>
              <w:t>28</w:t>
            </w:r>
            <w:r>
              <w:rPr>
                <w:sz w:val="20"/>
                <w:szCs w:val="20"/>
                <w:vertAlign w:val="superscript"/>
                <w:lang w:val="fr-CA"/>
              </w:rPr>
              <w:t>e</w:t>
            </w:r>
            <w:r w:rsidR="00731386" w:rsidRPr="0014412C">
              <w:rPr>
                <w:sz w:val="20"/>
                <w:szCs w:val="20"/>
                <w:lang w:val="fr-CA"/>
              </w:rPr>
              <w:t xml:space="preserve"> </w:t>
            </w:r>
            <w:r w:rsidR="000D1877">
              <w:rPr>
                <w:sz w:val="20"/>
                <w:szCs w:val="20"/>
                <w:lang w:val="fr-CA"/>
              </w:rPr>
              <w:t>réunion</w:t>
            </w:r>
            <w:r w:rsidR="00731386" w:rsidRPr="0014412C">
              <w:rPr>
                <w:sz w:val="20"/>
                <w:szCs w:val="20"/>
                <w:lang w:val="fr-CA"/>
              </w:rPr>
              <w:t xml:space="preserve"> </w:t>
            </w:r>
            <w:r>
              <w:rPr>
                <w:sz w:val="20"/>
                <w:szCs w:val="20"/>
                <w:lang w:val="fr-CA"/>
              </w:rPr>
              <w:t xml:space="preserve">et de se conformer à toutes les </w:t>
            </w:r>
            <w:r w:rsidR="008F787E" w:rsidRPr="0014412C">
              <w:rPr>
                <w:sz w:val="20"/>
                <w:szCs w:val="20"/>
                <w:lang w:val="fr-CA"/>
              </w:rPr>
              <w:t>décisions</w:t>
            </w:r>
            <w:r w:rsidR="008F787E">
              <w:rPr>
                <w:sz w:val="20"/>
                <w:szCs w:val="20"/>
                <w:lang w:val="fr-CA"/>
              </w:rPr>
              <w:t xml:space="preserve"> ultérieures</w:t>
            </w:r>
            <w:r w:rsidR="00731386" w:rsidRPr="0014412C">
              <w:rPr>
                <w:sz w:val="20"/>
                <w:szCs w:val="20"/>
                <w:lang w:val="fr-CA"/>
              </w:rPr>
              <w:t xml:space="preserve">, </w:t>
            </w:r>
            <w:r w:rsidR="008F787E">
              <w:rPr>
                <w:sz w:val="20"/>
                <w:szCs w:val="20"/>
                <w:lang w:val="fr-CA"/>
              </w:rPr>
              <w:t xml:space="preserve">et d’assurer la clôture financière de tous les projets en respectant la limite de douze mois stipulée par le </w:t>
            </w:r>
            <w:r w:rsidR="00277470" w:rsidRPr="0014412C">
              <w:rPr>
                <w:sz w:val="20"/>
                <w:szCs w:val="20"/>
                <w:lang w:val="fr-CA"/>
              </w:rPr>
              <w:t>Comité Exécutif</w:t>
            </w:r>
            <w:r w:rsidR="00731386" w:rsidRPr="0014412C">
              <w:rPr>
                <w:sz w:val="20"/>
                <w:szCs w:val="20"/>
                <w:lang w:val="fr-CA"/>
              </w:rPr>
              <w:t>.</w:t>
            </w:r>
          </w:p>
        </w:tc>
      </w:tr>
      <w:tr w:rsidR="005E6226" w:rsidRPr="00F84C2E" w14:paraId="68049F6C" w14:textId="77777777" w:rsidTr="00C327BD">
        <w:tc>
          <w:tcPr>
            <w:tcW w:w="3415" w:type="dxa"/>
          </w:tcPr>
          <w:p w14:paraId="1C3CCD03" w14:textId="42283F80" w:rsidR="00731386" w:rsidRPr="0014412C" w:rsidRDefault="00731386" w:rsidP="00C327BD">
            <w:pPr>
              <w:tabs>
                <w:tab w:val="left" w:pos="720"/>
              </w:tabs>
              <w:spacing w:after="60"/>
              <w:jc w:val="left"/>
              <w:rPr>
                <w:i/>
                <w:iCs/>
                <w:sz w:val="20"/>
                <w:szCs w:val="20"/>
                <w:lang w:val="fr-CA"/>
              </w:rPr>
            </w:pPr>
            <w:r w:rsidRPr="0014412C">
              <w:rPr>
                <w:i/>
                <w:iCs/>
                <w:sz w:val="20"/>
                <w:szCs w:val="20"/>
                <w:lang w:val="fr-CA"/>
              </w:rPr>
              <w:lastRenderedPageBreak/>
              <w:t xml:space="preserve">6. </w:t>
            </w:r>
            <w:r w:rsidR="00A03171">
              <w:rPr>
                <w:i/>
                <w:iCs/>
                <w:sz w:val="20"/>
                <w:szCs w:val="20"/>
                <w:lang w:val="fr-CA"/>
              </w:rPr>
              <w:t xml:space="preserve">Le </w:t>
            </w:r>
            <w:r w:rsidR="0014546A">
              <w:rPr>
                <w:i/>
                <w:iCs/>
                <w:sz w:val="20"/>
                <w:szCs w:val="20"/>
                <w:lang w:val="fr-CA"/>
              </w:rPr>
              <w:t>PNUE</w:t>
            </w:r>
            <w:r w:rsidRPr="0014412C">
              <w:rPr>
                <w:i/>
                <w:iCs/>
                <w:sz w:val="20"/>
                <w:szCs w:val="20"/>
                <w:lang w:val="fr-CA"/>
              </w:rPr>
              <w:t xml:space="preserve"> </w:t>
            </w:r>
            <w:r w:rsidR="00A03171">
              <w:rPr>
                <w:i/>
                <w:iCs/>
                <w:sz w:val="20"/>
                <w:szCs w:val="20"/>
                <w:lang w:val="fr-CA"/>
              </w:rPr>
              <w:t>devrait</w:t>
            </w:r>
            <w:r w:rsidRPr="0014412C">
              <w:rPr>
                <w:i/>
                <w:iCs/>
                <w:sz w:val="20"/>
                <w:szCs w:val="20"/>
                <w:lang w:val="fr-CA"/>
              </w:rPr>
              <w:t xml:space="preserve"> </w:t>
            </w:r>
            <w:r w:rsidR="00E12EA3">
              <w:rPr>
                <w:i/>
                <w:iCs/>
                <w:sz w:val="20"/>
                <w:szCs w:val="20"/>
                <w:lang w:val="fr-CA"/>
              </w:rPr>
              <w:t>é</w:t>
            </w:r>
            <w:r w:rsidR="00A03171" w:rsidRPr="00A03171">
              <w:rPr>
                <w:i/>
                <w:iCs/>
                <w:sz w:val="20"/>
                <w:szCs w:val="20"/>
                <w:lang w:val="fr-CA"/>
              </w:rPr>
              <w:t>tablir un plan d’action pour examiner les avances de longue date du Fonds multilatéral aux fins d’application du Protocole de Montréal et les résoudre</w:t>
            </w:r>
            <w:r w:rsidRPr="0014412C">
              <w:rPr>
                <w:i/>
                <w:iCs/>
                <w:sz w:val="20"/>
                <w:szCs w:val="20"/>
                <w:lang w:val="fr-CA"/>
              </w:rPr>
              <w:t>.</w:t>
            </w:r>
          </w:p>
        </w:tc>
        <w:tc>
          <w:tcPr>
            <w:tcW w:w="6030" w:type="dxa"/>
          </w:tcPr>
          <w:p w14:paraId="6391B61F" w14:textId="71753D07" w:rsidR="00731386" w:rsidRPr="0014412C" w:rsidRDefault="008F787E" w:rsidP="00A672BF">
            <w:pPr>
              <w:spacing w:after="60"/>
              <w:rPr>
                <w:sz w:val="20"/>
                <w:szCs w:val="20"/>
                <w:lang w:val="fr-CA"/>
              </w:rPr>
            </w:pPr>
            <w:r>
              <w:rPr>
                <w:sz w:val="20"/>
                <w:szCs w:val="20"/>
                <w:lang w:val="fr-CA"/>
              </w:rPr>
              <w:t>À propos de la</w:t>
            </w:r>
            <w:r w:rsidR="00731386" w:rsidRPr="0014412C">
              <w:rPr>
                <w:sz w:val="20"/>
                <w:szCs w:val="20"/>
                <w:lang w:val="fr-CA"/>
              </w:rPr>
              <w:t xml:space="preserve"> </w:t>
            </w:r>
            <w:r w:rsidR="0014546A">
              <w:rPr>
                <w:sz w:val="20"/>
                <w:szCs w:val="20"/>
                <w:lang w:val="fr-CA"/>
              </w:rPr>
              <w:t>Recommandation</w:t>
            </w:r>
            <w:r w:rsidR="00731386" w:rsidRPr="0014412C">
              <w:rPr>
                <w:sz w:val="20"/>
                <w:szCs w:val="20"/>
                <w:lang w:val="fr-CA"/>
              </w:rPr>
              <w:t xml:space="preserve"> 6, </w:t>
            </w:r>
            <w:r>
              <w:rPr>
                <w:sz w:val="20"/>
                <w:szCs w:val="20"/>
                <w:lang w:val="fr-CA"/>
              </w:rPr>
              <w:t>l</w:t>
            </w:r>
            <w:r w:rsidR="00731386" w:rsidRPr="0014412C">
              <w:rPr>
                <w:snapToGrid w:val="0"/>
                <w:sz w:val="20"/>
                <w:szCs w:val="20"/>
                <w:lang w:val="fr-CA"/>
              </w:rPr>
              <w:t xml:space="preserve">e </w:t>
            </w:r>
            <w:r w:rsidR="00277470" w:rsidRPr="0014412C">
              <w:rPr>
                <w:snapToGrid w:val="0"/>
                <w:sz w:val="20"/>
                <w:szCs w:val="20"/>
                <w:lang w:val="fr-CA"/>
              </w:rPr>
              <w:t>Trésorier</w:t>
            </w:r>
            <w:r w:rsidR="00731386" w:rsidRPr="0014412C">
              <w:rPr>
                <w:snapToGrid w:val="0"/>
                <w:sz w:val="20"/>
                <w:szCs w:val="20"/>
                <w:lang w:val="fr-CA"/>
              </w:rPr>
              <w:t xml:space="preserve"> </w:t>
            </w:r>
            <w:r>
              <w:rPr>
                <w:snapToGrid w:val="0"/>
                <w:sz w:val="20"/>
                <w:szCs w:val="20"/>
                <w:lang w:val="fr-CA"/>
              </w:rPr>
              <w:t xml:space="preserve">a indiqué qu’il a travaillé en étroite coopération avec le Bureau des Nations Unies à </w:t>
            </w:r>
            <w:r w:rsidR="00731386" w:rsidRPr="0014412C">
              <w:rPr>
                <w:snapToGrid w:val="0"/>
                <w:sz w:val="20"/>
                <w:szCs w:val="20"/>
                <w:lang w:val="fr-CA"/>
              </w:rPr>
              <w:t xml:space="preserve">Nairobi </w:t>
            </w:r>
            <w:r>
              <w:rPr>
                <w:snapToGrid w:val="0"/>
                <w:sz w:val="20"/>
                <w:szCs w:val="20"/>
                <w:lang w:val="fr-CA"/>
              </w:rPr>
              <w:t xml:space="preserve">et avec le Siège des Nations Unies pour </w:t>
            </w:r>
            <w:r w:rsidR="00350BD6">
              <w:rPr>
                <w:snapToGrid w:val="0"/>
                <w:sz w:val="20"/>
                <w:szCs w:val="20"/>
                <w:lang w:val="fr-CA"/>
              </w:rPr>
              <w:t xml:space="preserve">compenser les </w:t>
            </w:r>
            <w:r w:rsidR="00350BD6">
              <w:rPr>
                <w:i/>
                <w:iCs/>
                <w:snapToGrid w:val="0"/>
                <w:sz w:val="20"/>
                <w:szCs w:val="20"/>
                <w:lang w:val="fr-CA"/>
              </w:rPr>
              <w:t xml:space="preserve">avances de </w:t>
            </w:r>
            <w:r w:rsidR="00350BD6" w:rsidRPr="00350BD6">
              <w:rPr>
                <w:i/>
                <w:iCs/>
                <w:snapToGrid w:val="0"/>
                <w:sz w:val="20"/>
                <w:szCs w:val="20"/>
                <w:lang w:val="fr-CA"/>
              </w:rPr>
              <w:t>longue date</w:t>
            </w:r>
            <w:r w:rsidR="00350BD6">
              <w:rPr>
                <w:snapToGrid w:val="0"/>
                <w:sz w:val="20"/>
                <w:szCs w:val="20"/>
                <w:lang w:val="fr-CA"/>
              </w:rPr>
              <w:t xml:space="preserve"> depuis</w:t>
            </w:r>
            <w:r w:rsidR="00731386" w:rsidRPr="0014412C">
              <w:rPr>
                <w:snapToGrid w:val="0"/>
                <w:sz w:val="20"/>
                <w:szCs w:val="20"/>
                <w:lang w:val="fr-CA"/>
              </w:rPr>
              <w:t xml:space="preserve"> 2015, </w:t>
            </w:r>
            <w:r w:rsidR="00350BD6">
              <w:rPr>
                <w:snapToGrid w:val="0"/>
                <w:sz w:val="20"/>
                <w:szCs w:val="20"/>
                <w:lang w:val="fr-CA"/>
              </w:rPr>
              <w:t>par rapport aux rapports annuels des dépenses reçus des agences d’exécution</w:t>
            </w:r>
            <w:r w:rsidR="00731386" w:rsidRPr="0014412C">
              <w:rPr>
                <w:snapToGrid w:val="0"/>
                <w:sz w:val="20"/>
                <w:szCs w:val="20"/>
                <w:lang w:val="fr-CA"/>
              </w:rPr>
              <w:t xml:space="preserve">. </w:t>
            </w:r>
            <w:r w:rsidR="00350BD6">
              <w:rPr>
                <w:snapToGrid w:val="0"/>
                <w:sz w:val="20"/>
                <w:szCs w:val="20"/>
                <w:lang w:val="fr-CA"/>
              </w:rPr>
              <w:t xml:space="preserve">Une telle mesure couvrira également l’ajustement ponctuel de </w:t>
            </w:r>
            <w:r w:rsidR="00731386" w:rsidRPr="0014412C">
              <w:rPr>
                <w:snapToGrid w:val="0"/>
                <w:sz w:val="20"/>
                <w:szCs w:val="20"/>
                <w:lang w:val="fr-CA"/>
              </w:rPr>
              <w:t xml:space="preserve">2015, </w:t>
            </w:r>
            <w:r w:rsidR="00092DC2">
              <w:rPr>
                <w:snapToGrid w:val="0"/>
                <w:sz w:val="20"/>
                <w:szCs w:val="20"/>
                <w:lang w:val="fr-CA"/>
              </w:rPr>
              <w:t>afin de rectifier le registre de dépenses de certaines agences lors de leur passage des Normes comptables des Nations Unies (NCNU) aux Normes comptables internationales du secteur public (NCISP)</w:t>
            </w:r>
            <w:r w:rsidR="00731386" w:rsidRPr="0014412C">
              <w:rPr>
                <w:snapToGrid w:val="0"/>
                <w:sz w:val="20"/>
                <w:szCs w:val="20"/>
                <w:lang w:val="fr-CA"/>
              </w:rPr>
              <w:t xml:space="preserve">. </w:t>
            </w:r>
          </w:p>
        </w:tc>
      </w:tr>
    </w:tbl>
    <w:p w14:paraId="1464DC1C" w14:textId="77777777" w:rsidR="00731386" w:rsidRPr="0014412C" w:rsidRDefault="00731386" w:rsidP="00731386">
      <w:pPr>
        <w:rPr>
          <w:lang w:val="fr-CA"/>
        </w:rPr>
      </w:pPr>
    </w:p>
    <w:p w14:paraId="7C5CEAE5" w14:textId="193CA328" w:rsidR="00731386" w:rsidRPr="0014412C" w:rsidRDefault="0014546A" w:rsidP="00A672BF">
      <w:pPr>
        <w:widowControl w:val="0"/>
        <w:spacing w:after="120"/>
        <w:rPr>
          <w:b/>
          <w:bCs/>
          <w:lang w:val="fr-CA"/>
        </w:rPr>
      </w:pPr>
      <w:r>
        <w:rPr>
          <w:b/>
          <w:bCs/>
          <w:lang w:val="fr-CA"/>
        </w:rPr>
        <w:t>Recommandation</w:t>
      </w:r>
    </w:p>
    <w:p w14:paraId="55081B70" w14:textId="5544D962" w:rsidR="00731386" w:rsidRPr="0014412C" w:rsidRDefault="00092DC2" w:rsidP="00A672BF">
      <w:pPr>
        <w:pStyle w:val="Heading1"/>
        <w:widowControl w:val="0"/>
        <w:spacing w:after="120"/>
        <w:rPr>
          <w:lang w:val="fr-CA"/>
        </w:rPr>
      </w:pPr>
      <w:r>
        <w:rPr>
          <w:lang w:val="fr-CA"/>
        </w:rPr>
        <w:t>L</w:t>
      </w:r>
      <w:r w:rsidR="00731386" w:rsidRPr="0014412C">
        <w:rPr>
          <w:lang w:val="fr-CA"/>
        </w:rPr>
        <w:t xml:space="preserve">e </w:t>
      </w:r>
      <w:r w:rsidR="00277470" w:rsidRPr="0014412C">
        <w:rPr>
          <w:lang w:val="fr-CA"/>
        </w:rPr>
        <w:t>Comité Exécutif</w:t>
      </w:r>
      <w:r w:rsidR="00731386" w:rsidRPr="0014412C">
        <w:rPr>
          <w:lang w:val="fr-CA"/>
        </w:rPr>
        <w:t xml:space="preserve"> </w:t>
      </w:r>
      <w:r>
        <w:rPr>
          <w:lang w:val="fr-CA"/>
        </w:rPr>
        <w:t>est invité</w:t>
      </w:r>
      <w:r w:rsidR="00731386" w:rsidRPr="0014412C">
        <w:rPr>
          <w:lang w:val="fr-CA"/>
        </w:rPr>
        <w:t>:</w:t>
      </w:r>
    </w:p>
    <w:p w14:paraId="3311780C" w14:textId="72C14B90" w:rsidR="00731386" w:rsidRPr="005D58D0" w:rsidRDefault="00092DC2" w:rsidP="00A672BF">
      <w:pPr>
        <w:pStyle w:val="Heading2"/>
        <w:spacing w:after="120"/>
        <w:rPr>
          <w:lang w:val="fr-CA"/>
        </w:rPr>
      </w:pPr>
      <w:r w:rsidRPr="005D58D0">
        <w:rPr>
          <w:lang w:val="fr-CA"/>
        </w:rPr>
        <w:t xml:space="preserve">À prendre note du rapport de l’audit </w:t>
      </w:r>
      <w:r w:rsidR="005D58D0" w:rsidRPr="005D58D0">
        <w:rPr>
          <w:lang w:val="fr-CA"/>
        </w:rPr>
        <w:t xml:space="preserve">du Fonds multilatéral aux fins d’application du Protocole de Montréal </w:t>
      </w:r>
      <w:r w:rsidR="008E6988" w:rsidRPr="005D58D0">
        <w:rPr>
          <w:lang w:val="fr-CA"/>
        </w:rPr>
        <w:t xml:space="preserve">par le Secrétariat du Programme des Nations Unies pour l’environnement </w:t>
      </w:r>
      <w:r w:rsidR="00731386" w:rsidRPr="005D58D0">
        <w:rPr>
          <w:lang w:val="fr-CA"/>
        </w:rPr>
        <w:t>(</w:t>
      </w:r>
      <w:r w:rsidR="008E6988" w:rsidRPr="005D58D0">
        <w:rPr>
          <w:lang w:val="fr-CA"/>
        </w:rPr>
        <w:t>Tâche</w:t>
      </w:r>
      <w:r w:rsidR="00731386" w:rsidRPr="005D58D0">
        <w:rPr>
          <w:lang w:val="fr-CA"/>
        </w:rPr>
        <w:t xml:space="preserve"> </w:t>
      </w:r>
      <w:r w:rsidR="008E6988" w:rsidRPr="005D58D0">
        <w:rPr>
          <w:lang w:val="fr-CA"/>
        </w:rPr>
        <w:t>n</w:t>
      </w:r>
      <w:r w:rsidR="00731386" w:rsidRPr="005D58D0">
        <w:rPr>
          <w:lang w:val="fr-CA"/>
        </w:rPr>
        <w:t xml:space="preserve">o. AA2021-220-01) </w:t>
      </w:r>
      <w:r w:rsidR="008E6988" w:rsidRPr="005D58D0">
        <w:rPr>
          <w:lang w:val="fr-CA"/>
        </w:rPr>
        <w:t xml:space="preserve">menée par le </w:t>
      </w:r>
      <w:r w:rsidR="0014412C" w:rsidRPr="005D58D0">
        <w:rPr>
          <w:lang w:val="fr-CA"/>
        </w:rPr>
        <w:t xml:space="preserve">Bureau des services de contrôle interne </w:t>
      </w:r>
      <w:r w:rsidR="00731386" w:rsidRPr="005D58D0">
        <w:rPr>
          <w:lang w:val="fr-CA"/>
        </w:rPr>
        <w:t>(</w:t>
      </w:r>
      <w:r w:rsidR="0014412C" w:rsidRPr="005D58D0">
        <w:rPr>
          <w:lang w:val="fr-CA"/>
        </w:rPr>
        <w:t>BSCI</w:t>
      </w:r>
      <w:r w:rsidR="00731386" w:rsidRPr="005D58D0">
        <w:rPr>
          <w:lang w:val="fr-CA"/>
        </w:rPr>
        <w:t xml:space="preserve">), </w:t>
      </w:r>
      <w:r w:rsidR="008E6988" w:rsidRPr="005D58D0">
        <w:rPr>
          <w:lang w:val="fr-CA"/>
        </w:rPr>
        <w:t xml:space="preserve">présenté en pièce jointe au </w:t>
      </w:r>
      <w:r w:rsidR="00731386" w:rsidRPr="005D58D0">
        <w:rPr>
          <w:lang w:val="fr-CA"/>
        </w:rPr>
        <w:t>document UNEP/</w:t>
      </w:r>
      <w:proofErr w:type="spellStart"/>
      <w:r w:rsidR="00731386" w:rsidRPr="005D58D0">
        <w:rPr>
          <w:lang w:val="fr-CA"/>
        </w:rPr>
        <w:t>OzL.Pro</w:t>
      </w:r>
      <w:proofErr w:type="spellEnd"/>
      <w:r w:rsidR="00731386" w:rsidRPr="005D58D0">
        <w:rPr>
          <w:lang w:val="fr-CA"/>
        </w:rPr>
        <w:t>/</w:t>
      </w:r>
      <w:proofErr w:type="spellStart"/>
      <w:r w:rsidR="00731386" w:rsidRPr="005D58D0">
        <w:rPr>
          <w:lang w:val="fr-CA"/>
        </w:rPr>
        <w:t>ExCom</w:t>
      </w:r>
      <w:proofErr w:type="spellEnd"/>
      <w:r w:rsidR="00731386" w:rsidRPr="005D58D0">
        <w:rPr>
          <w:lang w:val="fr-CA"/>
        </w:rPr>
        <w:t>/88/2/Add.1;</w:t>
      </w:r>
    </w:p>
    <w:p w14:paraId="40372E77" w14:textId="4013BC38" w:rsidR="00731386" w:rsidRPr="0014412C" w:rsidRDefault="008E6988" w:rsidP="00A672BF">
      <w:pPr>
        <w:pStyle w:val="Heading2"/>
        <w:numPr>
          <w:ilvl w:val="1"/>
          <w:numId w:val="1"/>
        </w:numPr>
        <w:spacing w:after="120"/>
        <w:rPr>
          <w:lang w:val="fr-CA"/>
        </w:rPr>
      </w:pPr>
      <w:r>
        <w:rPr>
          <w:lang w:val="fr-CA"/>
        </w:rPr>
        <w:t xml:space="preserve">À noter que le </w:t>
      </w:r>
      <w:r w:rsidR="0014412C">
        <w:rPr>
          <w:lang w:val="fr-CA"/>
        </w:rPr>
        <w:t>Secrétariat du Fonds</w:t>
      </w:r>
      <w:r w:rsidR="00731386" w:rsidRPr="0014412C">
        <w:rPr>
          <w:lang w:val="fr-CA"/>
        </w:rPr>
        <w:t xml:space="preserve"> </w:t>
      </w:r>
      <w:r>
        <w:rPr>
          <w:lang w:val="fr-CA"/>
        </w:rPr>
        <w:t xml:space="preserve">et le </w:t>
      </w:r>
      <w:r w:rsidR="00277470" w:rsidRPr="0014412C">
        <w:rPr>
          <w:lang w:val="fr-CA"/>
        </w:rPr>
        <w:t>Trésorier</w:t>
      </w:r>
      <w:r w:rsidR="00731386" w:rsidRPr="0014412C">
        <w:rPr>
          <w:lang w:val="fr-CA"/>
        </w:rPr>
        <w:t xml:space="preserve"> </w:t>
      </w:r>
      <w:r>
        <w:rPr>
          <w:lang w:val="fr-CA"/>
        </w:rPr>
        <w:t xml:space="preserve">avaient pris des mesures particulières </w:t>
      </w:r>
      <w:r w:rsidR="007A1FD0">
        <w:rPr>
          <w:lang w:val="fr-CA"/>
        </w:rPr>
        <w:t xml:space="preserve">pour donner suite aux </w:t>
      </w:r>
      <w:r w:rsidR="00731386" w:rsidRPr="0014412C">
        <w:rPr>
          <w:lang w:val="fr-CA"/>
        </w:rPr>
        <w:t xml:space="preserve">six </w:t>
      </w:r>
      <w:r w:rsidR="0014546A">
        <w:rPr>
          <w:lang w:val="fr-CA"/>
        </w:rPr>
        <w:t>recommandation</w:t>
      </w:r>
      <w:r w:rsidR="00731386" w:rsidRPr="0014412C">
        <w:rPr>
          <w:lang w:val="fr-CA"/>
        </w:rPr>
        <w:t xml:space="preserve">s </w:t>
      </w:r>
      <w:r w:rsidR="007A1FD0">
        <w:rPr>
          <w:lang w:val="fr-CA"/>
        </w:rPr>
        <w:t>figurant dans le rapport mentionné en (a) ci</w:t>
      </w:r>
      <w:r w:rsidR="00A672BF">
        <w:rPr>
          <w:lang w:val="fr-CA"/>
        </w:rPr>
        <w:noBreakHyphen/>
      </w:r>
      <w:r w:rsidR="007A1FD0">
        <w:rPr>
          <w:lang w:val="fr-CA"/>
        </w:rPr>
        <w:t>dessus</w:t>
      </w:r>
      <w:r w:rsidR="00731386" w:rsidRPr="0014412C">
        <w:rPr>
          <w:lang w:val="fr-CA"/>
        </w:rPr>
        <w:t>;</w:t>
      </w:r>
    </w:p>
    <w:p w14:paraId="1FFE575C" w14:textId="31C39B8E" w:rsidR="00731386" w:rsidRPr="0014412C" w:rsidRDefault="007A1FD0" w:rsidP="00A672BF">
      <w:pPr>
        <w:pStyle w:val="Heading2"/>
        <w:numPr>
          <w:ilvl w:val="1"/>
          <w:numId w:val="1"/>
        </w:numPr>
        <w:spacing w:after="120"/>
        <w:rPr>
          <w:lang w:val="fr-CA"/>
        </w:rPr>
      </w:pPr>
      <w:r>
        <w:rPr>
          <w:lang w:val="fr-CA"/>
        </w:rPr>
        <w:t xml:space="preserve">À demander au </w:t>
      </w:r>
      <w:r w:rsidR="0014412C">
        <w:rPr>
          <w:lang w:val="fr-CA"/>
        </w:rPr>
        <w:t>Secrétariat du Fonds</w:t>
      </w:r>
      <w:r w:rsidR="00731386" w:rsidRPr="0014412C">
        <w:rPr>
          <w:lang w:val="fr-CA"/>
        </w:rPr>
        <w:t xml:space="preserve">, </w:t>
      </w:r>
      <w:r>
        <w:rPr>
          <w:lang w:val="fr-CA"/>
        </w:rPr>
        <w:t>au</w:t>
      </w:r>
      <w:r w:rsidR="00731386" w:rsidRPr="0014412C">
        <w:rPr>
          <w:lang w:val="fr-CA"/>
        </w:rPr>
        <w:t xml:space="preserve"> </w:t>
      </w:r>
      <w:r w:rsidR="00277470" w:rsidRPr="0014412C">
        <w:rPr>
          <w:lang w:val="fr-CA"/>
        </w:rPr>
        <w:t>Trésorier</w:t>
      </w:r>
      <w:r w:rsidR="00731386" w:rsidRPr="0014412C">
        <w:rPr>
          <w:lang w:val="fr-CA"/>
        </w:rPr>
        <w:t xml:space="preserve"> </w:t>
      </w:r>
      <w:r>
        <w:rPr>
          <w:lang w:val="fr-CA"/>
        </w:rPr>
        <w:t xml:space="preserve">et aux agences bilatérales et agences d’exécution de mettre en œuvre les </w:t>
      </w:r>
      <w:r w:rsidR="0014546A">
        <w:rPr>
          <w:lang w:val="fr-CA"/>
        </w:rPr>
        <w:t>recommandation</w:t>
      </w:r>
      <w:r w:rsidR="00731386" w:rsidRPr="0014412C">
        <w:rPr>
          <w:lang w:val="fr-CA"/>
        </w:rPr>
        <w:t xml:space="preserve">s </w:t>
      </w:r>
      <w:r>
        <w:rPr>
          <w:lang w:val="fr-CA"/>
        </w:rPr>
        <w:t xml:space="preserve">du </w:t>
      </w:r>
      <w:r w:rsidR="0014412C" w:rsidRPr="0014412C">
        <w:rPr>
          <w:lang w:val="fr-CA"/>
        </w:rPr>
        <w:t>BSCI</w:t>
      </w:r>
      <w:r w:rsidR="00731386" w:rsidRPr="0014412C">
        <w:rPr>
          <w:lang w:val="fr-CA"/>
        </w:rPr>
        <w:t xml:space="preserve"> </w:t>
      </w:r>
      <w:r>
        <w:rPr>
          <w:lang w:val="fr-CA"/>
        </w:rPr>
        <w:t>et d’inclure les informations appropriées dans les documents de réunion pertinents</w:t>
      </w:r>
      <w:r w:rsidR="00731386" w:rsidRPr="0014412C">
        <w:rPr>
          <w:lang w:val="fr-CA"/>
        </w:rPr>
        <w:t xml:space="preserve">; </w:t>
      </w:r>
      <w:r>
        <w:rPr>
          <w:lang w:val="fr-CA"/>
        </w:rPr>
        <w:t>et</w:t>
      </w:r>
      <w:r w:rsidR="00731386" w:rsidRPr="0014412C">
        <w:rPr>
          <w:lang w:val="fr-CA"/>
        </w:rPr>
        <w:t xml:space="preserve"> </w:t>
      </w:r>
    </w:p>
    <w:p w14:paraId="7B6A2CE0" w14:textId="493F0519" w:rsidR="00731386" w:rsidRPr="0014412C" w:rsidRDefault="007A1FD0" w:rsidP="00A672BF">
      <w:pPr>
        <w:pStyle w:val="Heading2"/>
        <w:numPr>
          <w:ilvl w:val="1"/>
          <w:numId w:val="1"/>
        </w:numPr>
        <w:spacing w:after="120"/>
        <w:rPr>
          <w:lang w:val="fr-CA"/>
        </w:rPr>
      </w:pPr>
      <w:r>
        <w:rPr>
          <w:lang w:val="fr-CA"/>
        </w:rPr>
        <w:t xml:space="preserve">À demander au </w:t>
      </w:r>
      <w:r w:rsidR="0014412C">
        <w:rPr>
          <w:lang w:val="fr-CA"/>
        </w:rPr>
        <w:t>Secrétariat du Fonds</w:t>
      </w:r>
      <w:r w:rsidR="00731386" w:rsidRPr="0014412C">
        <w:rPr>
          <w:lang w:val="fr-CA"/>
        </w:rPr>
        <w:t xml:space="preserve"> </w:t>
      </w:r>
      <w:r>
        <w:rPr>
          <w:lang w:val="fr-CA"/>
        </w:rPr>
        <w:t xml:space="preserve">de communiquer au </w:t>
      </w:r>
      <w:r w:rsidR="0014412C" w:rsidRPr="0014412C">
        <w:rPr>
          <w:lang w:val="fr-CA"/>
        </w:rPr>
        <w:t>BSCI</w:t>
      </w:r>
      <w:r w:rsidR="00731386" w:rsidRPr="0014412C">
        <w:rPr>
          <w:lang w:val="fr-CA"/>
        </w:rPr>
        <w:t xml:space="preserve">, </w:t>
      </w:r>
      <w:r>
        <w:rPr>
          <w:lang w:val="fr-CA"/>
        </w:rPr>
        <w:t xml:space="preserve">par l’intermédiaire du Directeur exécutif du </w:t>
      </w:r>
      <w:r w:rsidR="0014546A">
        <w:rPr>
          <w:lang w:val="fr-CA"/>
        </w:rPr>
        <w:t>PNUE</w:t>
      </w:r>
      <w:r w:rsidR="00731386" w:rsidRPr="0014412C">
        <w:rPr>
          <w:lang w:val="fr-CA"/>
        </w:rPr>
        <w:t xml:space="preserve">, </w:t>
      </w:r>
      <w:r>
        <w:rPr>
          <w:lang w:val="fr-CA"/>
        </w:rPr>
        <w:t xml:space="preserve">que le </w:t>
      </w:r>
      <w:r w:rsidR="00277470" w:rsidRPr="0014412C">
        <w:rPr>
          <w:lang w:val="fr-CA"/>
        </w:rPr>
        <w:t>Comité Exécutif</w:t>
      </w:r>
      <w:r w:rsidR="00731386" w:rsidRPr="0014412C">
        <w:rPr>
          <w:lang w:val="fr-CA"/>
        </w:rPr>
        <w:t xml:space="preserve"> </w:t>
      </w:r>
      <w:r>
        <w:rPr>
          <w:lang w:val="fr-CA"/>
        </w:rPr>
        <w:t xml:space="preserve">a dûment pris en compte les </w:t>
      </w:r>
      <w:r w:rsidR="0014546A">
        <w:rPr>
          <w:lang w:val="fr-CA"/>
        </w:rPr>
        <w:t>recommandation</w:t>
      </w:r>
      <w:r w:rsidR="00731386" w:rsidRPr="0014412C">
        <w:rPr>
          <w:lang w:val="fr-CA"/>
        </w:rPr>
        <w:t>s cont</w:t>
      </w:r>
      <w:r>
        <w:rPr>
          <w:lang w:val="fr-CA"/>
        </w:rPr>
        <w:t xml:space="preserve">enues dans le rapport du </w:t>
      </w:r>
      <w:r w:rsidR="0014412C" w:rsidRPr="0014412C">
        <w:rPr>
          <w:lang w:val="fr-CA"/>
        </w:rPr>
        <w:t>BSCI</w:t>
      </w:r>
      <w:r w:rsidR="00731386" w:rsidRPr="0014412C">
        <w:rPr>
          <w:lang w:val="fr-CA"/>
        </w:rPr>
        <w:t xml:space="preserve">, </w:t>
      </w:r>
      <w:r>
        <w:rPr>
          <w:lang w:val="fr-CA"/>
        </w:rPr>
        <w:t xml:space="preserve">et qu’il a pris note des mesures que le </w:t>
      </w:r>
      <w:r w:rsidR="0014412C">
        <w:rPr>
          <w:lang w:val="fr-CA"/>
        </w:rPr>
        <w:t>Secrétariat du Fonds</w:t>
      </w:r>
      <w:r w:rsidR="00731386" w:rsidRPr="0014412C">
        <w:rPr>
          <w:lang w:val="fr-CA"/>
        </w:rPr>
        <w:t xml:space="preserve">, </w:t>
      </w:r>
      <w:r>
        <w:rPr>
          <w:lang w:val="fr-CA"/>
        </w:rPr>
        <w:t>l</w:t>
      </w:r>
      <w:r w:rsidR="00731386" w:rsidRPr="0014412C">
        <w:rPr>
          <w:lang w:val="fr-CA"/>
        </w:rPr>
        <w:t xml:space="preserve">e </w:t>
      </w:r>
      <w:r w:rsidR="00277470" w:rsidRPr="0014412C">
        <w:rPr>
          <w:lang w:val="fr-CA"/>
        </w:rPr>
        <w:t>Trésorier</w:t>
      </w:r>
      <w:r w:rsidR="00731386" w:rsidRPr="0014412C">
        <w:rPr>
          <w:lang w:val="fr-CA"/>
        </w:rPr>
        <w:t xml:space="preserve"> </w:t>
      </w:r>
      <w:r>
        <w:rPr>
          <w:lang w:val="fr-CA"/>
        </w:rPr>
        <w:t>et les agences bilatérales et d’ex</w:t>
      </w:r>
      <w:r w:rsidR="00275F55">
        <w:rPr>
          <w:lang w:val="fr-CA"/>
        </w:rPr>
        <w:t>écution avaient prises pour y donner suite</w:t>
      </w:r>
      <w:r w:rsidR="00731386" w:rsidRPr="0014412C">
        <w:rPr>
          <w:lang w:val="fr-CA"/>
        </w:rPr>
        <w:t xml:space="preserve">. </w:t>
      </w:r>
    </w:p>
    <w:sectPr w:rsidR="00731386" w:rsidRPr="0014412C">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FD362" w14:textId="77777777" w:rsidR="00861252" w:rsidRDefault="00861252">
      <w:r>
        <w:separator/>
      </w:r>
    </w:p>
  </w:endnote>
  <w:endnote w:type="continuationSeparator" w:id="0">
    <w:p w14:paraId="3502A6E5" w14:textId="77777777" w:rsidR="00861252" w:rsidRDefault="00861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default"/>
    <w:sig w:usb0="00000003" w:usb1="00000000" w:usb2="00000000" w:usb3="00000000" w:csb0="00000001" w:csb1="00000000"/>
  </w:font>
  <w:font w:name="MS Serif">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GoBack" w:displacedByCustomXml="next"/>
  <w:bookmarkEnd w:id="1" w:displacedByCustomXml="next"/>
  <w:sdt>
    <w:sdtPr>
      <w:id w:val="1475231"/>
      <w:docPartObj>
        <w:docPartGallery w:val="Page Numbers (Bottom of Page)"/>
        <w:docPartUnique/>
      </w:docPartObj>
    </w:sdtPr>
    <w:sdtEndPr>
      <w:rPr>
        <w:noProof/>
      </w:rPr>
    </w:sdtEndPr>
    <w:sdtContent>
      <w:p w14:paraId="27E3AB5D" w14:textId="03E28C42" w:rsidR="00DE15FC" w:rsidRDefault="00DE15FC">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24609C8E" w14:textId="77777777" w:rsidR="00DE15FC" w:rsidRDefault="00DE15F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781873"/>
      <w:docPartObj>
        <w:docPartGallery w:val="Page Numbers (Bottom of Page)"/>
        <w:docPartUnique/>
      </w:docPartObj>
    </w:sdtPr>
    <w:sdtEndPr>
      <w:rPr>
        <w:noProof/>
      </w:rPr>
    </w:sdtEndPr>
    <w:sdtContent>
      <w:p w14:paraId="084E7B90" w14:textId="0DE2275C" w:rsidR="00DE15FC" w:rsidRDefault="00DE15FC">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4C44D93B" w14:textId="77777777" w:rsidR="00DE15FC" w:rsidRDefault="00DE15F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08631"/>
      <w:docPartObj>
        <w:docPartGallery w:val="Page Numbers (Bottom of Page)"/>
        <w:docPartUnique/>
      </w:docPartObj>
    </w:sdtPr>
    <w:sdtEndPr>
      <w:rPr>
        <w:noProof/>
      </w:rPr>
    </w:sdtEndPr>
    <w:sdtContent>
      <w:p w14:paraId="2C7CE2FE" w14:textId="77777777" w:rsidR="00A672BF" w:rsidRDefault="00A672BF" w:rsidP="00A672BF">
        <w:pPr>
          <w:pBdr>
            <w:top w:val="single" w:sz="4" w:space="1" w:color="auto"/>
            <w:left w:val="single" w:sz="4" w:space="4" w:color="auto"/>
            <w:bottom w:val="single" w:sz="4" w:space="1" w:color="auto"/>
            <w:right w:val="single" w:sz="4" w:space="4" w:color="auto"/>
          </w:pBdr>
          <w:jc w:val="center"/>
          <w:rPr>
            <w:rFonts w:cs="MS Serif"/>
            <w:sz w:val="20"/>
            <w:lang w:val="fr-FR"/>
          </w:rPr>
        </w:pPr>
        <w:r>
          <w:rPr>
            <w:rFonts w:cs="MS Serif"/>
            <w:sz w:val="20"/>
            <w:lang w:val="fr-FR"/>
          </w:rPr>
          <w:t xml:space="preserve">Les documents de présession du Comité exécutif du Fonds multilatéral aux fins d’application du Protocole de </w:t>
        </w:r>
      </w:p>
      <w:p w14:paraId="1D0844CC" w14:textId="5CFE484C" w:rsidR="00441083" w:rsidRPr="00A672BF" w:rsidRDefault="00A672BF" w:rsidP="00A672BF">
        <w:pPr>
          <w:pBdr>
            <w:top w:val="single" w:sz="4" w:space="1" w:color="auto"/>
            <w:left w:val="single" w:sz="4" w:space="4" w:color="auto"/>
            <w:bottom w:val="single" w:sz="4" w:space="1" w:color="auto"/>
            <w:right w:val="single" w:sz="4" w:space="4" w:color="auto"/>
          </w:pBdr>
          <w:jc w:val="center"/>
          <w:rPr>
            <w:rFonts w:cs="MS Serif"/>
            <w:sz w:val="20"/>
            <w:lang w:val="fr-FR"/>
          </w:rPr>
        </w:pPr>
        <w:r>
          <w:rPr>
            <w:rFonts w:cs="MS Serif"/>
            <w:sz w:val="20"/>
            <w:lang w:val="fr-FR"/>
          </w:rPr>
          <w:t>Montréal sont présentés sous réserve des décisions pouvant être prises par le Comité exécutif après leur publication.</w:t>
        </w:r>
      </w:p>
    </w:sdtContent>
  </w:sdt>
  <w:p w14:paraId="6144135C" w14:textId="77777777" w:rsidR="00441083" w:rsidRPr="00F84C2E" w:rsidRDefault="00441083">
    <w:pPr>
      <w:jc w:val="center"/>
      <w:rPr>
        <w:sz w:val="18"/>
        <w:szCs w:val="18"/>
        <w:lang w:val="fr-C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E5099" w14:textId="77777777" w:rsidR="00861252" w:rsidRDefault="00861252">
      <w:r>
        <w:separator/>
      </w:r>
    </w:p>
  </w:footnote>
  <w:footnote w:type="continuationSeparator" w:id="0">
    <w:p w14:paraId="1D8CD123" w14:textId="77777777" w:rsidR="00861252" w:rsidRDefault="00861252">
      <w:r>
        <w:continuationSeparator/>
      </w:r>
    </w:p>
  </w:footnote>
  <w:footnote w:id="1">
    <w:p w14:paraId="581FD318" w14:textId="4AD47443" w:rsidR="003029F8" w:rsidRPr="003029F8" w:rsidRDefault="002C06D4" w:rsidP="003029F8">
      <w:pPr>
        <w:pStyle w:val="FootnoteText"/>
        <w:rPr>
          <w:lang w:val="fr-CA"/>
        </w:rPr>
      </w:pPr>
      <w:r>
        <w:rPr>
          <w:rStyle w:val="FootnoteReference"/>
        </w:rPr>
        <w:footnoteRef/>
      </w:r>
      <w:r w:rsidRPr="003029F8">
        <w:rPr>
          <w:lang w:val="fr-CA"/>
        </w:rPr>
        <w:t xml:space="preserve"> </w:t>
      </w:r>
      <w:r w:rsidR="003029F8" w:rsidRPr="0004647F">
        <w:rPr>
          <w:lang w:val="fr-CA"/>
        </w:rPr>
        <w:t>Des réunions en ligne et un processus d’approbation intersessio</w:t>
      </w:r>
      <w:r w:rsidR="003029F8">
        <w:rPr>
          <w:lang w:val="fr-CA"/>
        </w:rPr>
        <w:t xml:space="preserve">ns se tiendront </w:t>
      </w:r>
      <w:r w:rsidR="003029F8" w:rsidRPr="0004647F">
        <w:rPr>
          <w:lang w:val="fr-CA"/>
        </w:rPr>
        <w:t>e</w:t>
      </w:r>
      <w:r w:rsidR="003029F8">
        <w:rPr>
          <w:lang w:val="fr-CA"/>
        </w:rPr>
        <w:t xml:space="preserve">n </w:t>
      </w:r>
      <w:r w:rsidR="009F6617">
        <w:rPr>
          <w:lang w:val="fr-CA"/>
        </w:rPr>
        <w:t xml:space="preserve">novembre et décembre </w:t>
      </w:r>
      <w:r w:rsidR="003029F8">
        <w:rPr>
          <w:lang w:val="fr-CA"/>
        </w:rPr>
        <w:t>2021 à cause du coronaviru</w:t>
      </w:r>
      <w:r w:rsidR="003029F8" w:rsidRPr="0004647F">
        <w:rPr>
          <w:lang w:val="fr-CA"/>
        </w:rPr>
        <w:t>s</w:t>
      </w:r>
      <w:r w:rsidR="003029F8">
        <w:rPr>
          <w:lang w:val="fr-CA"/>
        </w:rPr>
        <w:t xml:space="preserve"> (COVID-19)</w:t>
      </w:r>
    </w:p>
  </w:footnote>
  <w:footnote w:id="2">
    <w:p w14:paraId="61EA6283" w14:textId="391E41E7" w:rsidR="00731386" w:rsidRDefault="00731386" w:rsidP="00731386">
      <w:pPr>
        <w:pStyle w:val="FootnoteText"/>
        <w:rPr>
          <w:lang w:val="fr-CA"/>
        </w:rPr>
      </w:pPr>
      <w:r w:rsidRPr="00055E89">
        <w:rPr>
          <w:rStyle w:val="FootnoteReference"/>
          <w:lang w:val="fr-CA"/>
        </w:rPr>
        <w:footnoteRef/>
      </w:r>
      <w:r w:rsidRPr="00055E89">
        <w:rPr>
          <w:lang w:val="fr-CA"/>
        </w:rPr>
        <w:t xml:space="preserve"> </w:t>
      </w:r>
      <w:r w:rsidR="00055E89" w:rsidRPr="00055E89">
        <w:rPr>
          <w:lang w:val="fr-CA"/>
        </w:rPr>
        <w:t>L</w:t>
      </w:r>
      <w:r w:rsidRPr="00055E89">
        <w:rPr>
          <w:lang w:val="fr-CA"/>
        </w:rPr>
        <w:t xml:space="preserve">e </w:t>
      </w:r>
      <w:r w:rsidR="0014546A" w:rsidRPr="00055E89">
        <w:rPr>
          <w:lang w:val="fr-CA"/>
        </w:rPr>
        <w:t>Système de planificat</w:t>
      </w:r>
      <w:r w:rsidR="00D52E66">
        <w:rPr>
          <w:lang w:val="fr-CA"/>
        </w:rPr>
        <w:t>i</w:t>
      </w:r>
      <w:r w:rsidR="0014546A" w:rsidRPr="00055E89">
        <w:rPr>
          <w:lang w:val="fr-CA"/>
        </w:rPr>
        <w:t>on des ressources de l’entreprise</w:t>
      </w:r>
      <w:r w:rsidRPr="00055E89">
        <w:rPr>
          <w:lang w:val="fr-CA"/>
        </w:rPr>
        <w:t xml:space="preserve"> </w:t>
      </w:r>
      <w:r w:rsidR="0014546A" w:rsidRPr="00055E89">
        <w:rPr>
          <w:lang w:val="fr-CA"/>
        </w:rPr>
        <w:t>des Nations Unies</w:t>
      </w:r>
      <w:r w:rsidRPr="00055E89">
        <w:rPr>
          <w:lang w:val="fr-CA"/>
        </w:rPr>
        <w:t>.</w:t>
      </w:r>
    </w:p>
    <w:p w14:paraId="58D30D90" w14:textId="77777777" w:rsidR="00F84C2E" w:rsidRPr="00055E89" w:rsidRDefault="00F84C2E" w:rsidP="00731386">
      <w:pPr>
        <w:pStyle w:val="FootnoteText"/>
        <w:rPr>
          <w:lang w:val="fr-CA"/>
        </w:rPr>
      </w:pPr>
    </w:p>
  </w:footnote>
  <w:footnote w:id="3">
    <w:p w14:paraId="77D214C0" w14:textId="2016E1AC" w:rsidR="00731386" w:rsidRPr="00CE5996" w:rsidRDefault="00731386" w:rsidP="00731386">
      <w:pPr>
        <w:pStyle w:val="FootnoteText"/>
        <w:rPr>
          <w:lang w:val="fr-CA"/>
        </w:rPr>
      </w:pPr>
      <w:r>
        <w:rPr>
          <w:rStyle w:val="FootnoteReference"/>
        </w:rPr>
        <w:footnoteRef/>
      </w:r>
      <w:r w:rsidRPr="00A672BF">
        <w:rPr>
          <w:lang w:val="fr-FR"/>
        </w:rPr>
        <w:t xml:space="preserve"> </w:t>
      </w:r>
      <w:r w:rsidR="00CE5996" w:rsidRPr="00CE5996">
        <w:rPr>
          <w:lang w:val="fr-CA"/>
        </w:rPr>
        <w:t xml:space="preserve">Selon la classification du </w:t>
      </w:r>
      <w:r w:rsidR="0014412C" w:rsidRPr="00CE5996">
        <w:rPr>
          <w:lang w:val="fr-CA"/>
        </w:rPr>
        <w:t>BSCI</w:t>
      </w:r>
      <w:r w:rsidRPr="00CE5996">
        <w:rPr>
          <w:lang w:val="fr-CA"/>
        </w:rPr>
        <w:t xml:space="preserve">, </w:t>
      </w:r>
      <w:r w:rsidR="00CE5996">
        <w:rPr>
          <w:lang w:val="fr-CA"/>
        </w:rPr>
        <w:t xml:space="preserve">les « recommandations importantes » couvrent les problèmes de risques qui appellent une attention </w:t>
      </w:r>
      <w:r w:rsidR="00100F9C">
        <w:rPr>
          <w:lang w:val="fr-CA"/>
        </w:rPr>
        <w:t>rapid</w:t>
      </w:r>
      <w:r w:rsidR="00CE5996">
        <w:rPr>
          <w:lang w:val="fr-CA"/>
        </w:rPr>
        <w:t xml:space="preserve">e de </w:t>
      </w:r>
      <w:proofErr w:type="gramStart"/>
      <w:r w:rsidR="00CE5996">
        <w:rPr>
          <w:lang w:val="fr-CA"/>
        </w:rPr>
        <w:t>l’administration</w:t>
      </w:r>
      <w:r w:rsidRPr="00CE5996">
        <w:rPr>
          <w:lang w:val="fr-CA"/>
        </w:rPr>
        <w:t>;</w:t>
      </w:r>
      <w:proofErr w:type="gramEnd"/>
      <w:r w:rsidRPr="00CE5996">
        <w:rPr>
          <w:lang w:val="fr-CA"/>
        </w:rPr>
        <w:t xml:space="preserve"> </w:t>
      </w:r>
      <w:r w:rsidR="00A56798">
        <w:rPr>
          <w:lang w:val="fr-CA"/>
        </w:rPr>
        <w:t xml:space="preserve">l’absence de mesures risque d’entraîner des incidences </w:t>
      </w:r>
      <w:r w:rsidR="00100F9C">
        <w:rPr>
          <w:lang w:val="fr-CA"/>
        </w:rPr>
        <w:t>néfastes sérieuses</w:t>
      </w:r>
      <w:r w:rsidR="00A56798">
        <w:rPr>
          <w:lang w:val="fr-CA"/>
        </w:rPr>
        <w:t xml:space="preserve"> ou modéré</w:t>
      </w:r>
      <w:r w:rsidR="00100F9C">
        <w:rPr>
          <w:lang w:val="fr-CA"/>
        </w:rPr>
        <w:t xml:space="preserve">es </w:t>
      </w:r>
      <w:r w:rsidR="00806CC3">
        <w:rPr>
          <w:lang w:val="fr-CA"/>
        </w:rPr>
        <w:t>pour l’</w:t>
      </w:r>
      <w:r w:rsidRPr="00CE5996">
        <w:rPr>
          <w:lang w:val="fr-CA"/>
        </w:rPr>
        <w:t>Organi</w:t>
      </w:r>
      <w:r w:rsidR="00806CC3">
        <w:rPr>
          <w:lang w:val="fr-CA"/>
        </w:rPr>
        <w:t>s</w:t>
      </w:r>
      <w:r w:rsidRPr="00CE5996">
        <w:rPr>
          <w:lang w:val="fr-CA"/>
        </w:rPr>
        <w:t xml:space="preserve">ation. </w:t>
      </w:r>
      <w:r w:rsidR="00806CC3">
        <w:rPr>
          <w:lang w:val="fr-CA"/>
        </w:rPr>
        <w:t>Les « recommandations critiques » visent les problèmes de risque qui appellent une attention immédiate de l’administration</w:t>
      </w:r>
      <w:r w:rsidRPr="00CE5996">
        <w:rPr>
          <w:lang w:val="fr-CA"/>
        </w:rPr>
        <w:t xml:space="preserve">; </w:t>
      </w:r>
      <w:r w:rsidR="00806CC3">
        <w:rPr>
          <w:lang w:val="fr-CA"/>
        </w:rPr>
        <w:t>l’absence de mesures risque d’entraîner des incidences néfastes critiques ou importantes pour l’</w:t>
      </w:r>
      <w:r w:rsidRPr="00CE5996">
        <w:rPr>
          <w:lang w:val="fr-CA"/>
        </w:rPr>
        <w:t>Organi</w:t>
      </w:r>
      <w:r w:rsidR="00806CC3">
        <w:rPr>
          <w:lang w:val="fr-CA"/>
        </w:rPr>
        <w:t>s</w:t>
      </w:r>
      <w:r w:rsidRPr="00CE5996">
        <w:rPr>
          <w:lang w:val="fr-CA"/>
        </w:rPr>
        <w:t>ation.</w:t>
      </w:r>
    </w:p>
  </w:footnote>
  <w:footnote w:id="4">
    <w:p w14:paraId="51730FCC" w14:textId="7E918109" w:rsidR="00731386" w:rsidRPr="00FB7341" w:rsidRDefault="00731386" w:rsidP="00731386">
      <w:pPr>
        <w:pStyle w:val="FootnoteText"/>
        <w:rPr>
          <w:lang w:val="fr-CA"/>
        </w:rPr>
      </w:pPr>
      <w:r>
        <w:rPr>
          <w:rStyle w:val="FootnoteReference"/>
        </w:rPr>
        <w:footnoteRef/>
      </w:r>
      <w:r w:rsidRPr="00A672BF">
        <w:rPr>
          <w:lang w:val="fr-FR"/>
        </w:rPr>
        <w:t xml:space="preserve"> </w:t>
      </w:r>
      <w:r w:rsidR="00FB7341" w:rsidRPr="00FB7341">
        <w:rPr>
          <w:lang w:val="fr-CA"/>
        </w:rPr>
        <w:t xml:space="preserve">La </w:t>
      </w:r>
      <w:r w:rsidR="0073230C" w:rsidRPr="00FB7341">
        <w:rPr>
          <w:lang w:val="fr-CA"/>
        </w:rPr>
        <w:t xml:space="preserve">GRE </w:t>
      </w:r>
      <w:r w:rsidRPr="00FB7341">
        <w:rPr>
          <w:lang w:val="fr-CA"/>
        </w:rPr>
        <w:t>facilit</w:t>
      </w:r>
      <w:r w:rsidR="00FB7341" w:rsidRPr="00FB7341">
        <w:rPr>
          <w:lang w:val="fr-CA"/>
        </w:rPr>
        <w:t>e la prise de d</w:t>
      </w:r>
      <w:r w:rsidR="00FB7341">
        <w:rPr>
          <w:lang w:val="fr-CA"/>
        </w:rPr>
        <w:t>é</w:t>
      </w:r>
      <w:r w:rsidR="00FB7341" w:rsidRPr="00FB7341">
        <w:rPr>
          <w:lang w:val="fr-CA"/>
        </w:rPr>
        <w:t xml:space="preserve">cisions stratégiques </w:t>
      </w:r>
      <w:r w:rsidR="00FB7341">
        <w:rPr>
          <w:lang w:val="fr-CA"/>
        </w:rPr>
        <w:t>en fournissant à l’administration les outils pour comprendre totalement les causes fondamentales des risques et pour mettre sur pied des stratégies correctrices</w:t>
      </w:r>
      <w:r w:rsidRPr="00FB7341">
        <w:rPr>
          <w:lang w:val="fr-CA"/>
        </w:rPr>
        <w:t xml:space="preserve">. </w:t>
      </w:r>
      <w:r w:rsidR="00FB7341">
        <w:rPr>
          <w:lang w:val="fr-CA"/>
        </w:rPr>
        <w:t xml:space="preserve">La </w:t>
      </w:r>
      <w:r w:rsidR="0073230C" w:rsidRPr="00FB7341">
        <w:rPr>
          <w:lang w:val="fr-CA"/>
        </w:rPr>
        <w:t xml:space="preserve">GRE </w:t>
      </w:r>
      <w:r w:rsidR="001D33C6">
        <w:rPr>
          <w:lang w:val="fr-CA"/>
        </w:rPr>
        <w:t>est apparue comme une démarche structurée et disciplinée alignant stratégie, procédures, acteurs, technologies et connaissances, aux fins d’évaluation et de gestion des incertitudes qu’une entreprise doit résoudre dans la poursuite de ses objectifs</w:t>
      </w:r>
      <w:r w:rsidRPr="00FB7341">
        <w:rPr>
          <w:lang w:val="fr-CA"/>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1F407" w14:textId="71401232" w:rsidR="00A672BF" w:rsidRDefault="00A672BF" w:rsidP="00A672BF">
    <w:pPr>
      <w:jc w:val="lef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/88/2/Add.1</w:t>
    </w:r>
    <w:r>
      <w:fldChar w:fldCharType="end"/>
    </w:r>
  </w:p>
  <w:p w14:paraId="7125578A" w14:textId="77777777" w:rsidR="00A672BF" w:rsidRDefault="00A672B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6F243" w14:textId="12AA3300" w:rsidR="00A672BF" w:rsidRDefault="00A672BF" w:rsidP="00A672BF">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/88/2/Add.1</w:t>
    </w:r>
    <w:r>
      <w:fldChar w:fldCharType="end"/>
    </w:r>
  </w:p>
  <w:p w14:paraId="42216EC1" w14:textId="77777777" w:rsidR="00A672BF" w:rsidRDefault="00A672BF" w:rsidP="00A672BF">
    <w:pPr>
      <w:pStyle w:val="Heade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DAB11" w14:textId="77777777" w:rsidR="00441083" w:rsidRDefault="00441083">
    <w:pPr>
      <w:jc w:val="right"/>
    </w:pPr>
  </w:p>
  <w:p w14:paraId="35D850B7" w14:textId="77777777" w:rsidR="00441083" w:rsidRDefault="00441083">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5E00F85"/>
    <w:multiLevelType w:val="hybridMultilevel"/>
    <w:tmpl w:val="0262C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7A837CD"/>
    <w:multiLevelType w:val="hybridMultilevel"/>
    <w:tmpl w:val="EA7412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16F612F"/>
    <w:multiLevelType w:val="hybridMultilevel"/>
    <w:tmpl w:val="FCB079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E1A58E3"/>
    <w:multiLevelType w:val="hybridMultilevel"/>
    <w:tmpl w:val="A6E29C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7"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7"/>
  </w:num>
  <w:num w:numId="18">
    <w:abstractNumId w:val="18"/>
  </w:num>
  <w:num w:numId="19">
    <w:abstractNumId w:val="19"/>
  </w:num>
  <w:num w:numId="20">
    <w:abstractNumId w:val="16"/>
  </w:num>
  <w:num w:numId="21">
    <w:abstractNumId w:val="11"/>
  </w:num>
  <w:num w:numId="22">
    <w:abstractNumId w:val="12"/>
  </w:num>
  <w:num w:numId="23">
    <w:abstractNumId w:val="15"/>
  </w:num>
  <w:num w:numId="24">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1"/>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E5B"/>
    <w:rsid w:val="000500E1"/>
    <w:rsid w:val="0005110A"/>
    <w:rsid w:val="00055E89"/>
    <w:rsid w:val="00062E73"/>
    <w:rsid w:val="00092DC2"/>
    <w:rsid w:val="00092E5B"/>
    <w:rsid w:val="000D1877"/>
    <w:rsid w:val="000E3378"/>
    <w:rsid w:val="000F5C1A"/>
    <w:rsid w:val="000F6C8E"/>
    <w:rsid w:val="00100F9C"/>
    <w:rsid w:val="0014412C"/>
    <w:rsid w:val="0014546A"/>
    <w:rsid w:val="00157C7D"/>
    <w:rsid w:val="001C3D0C"/>
    <w:rsid w:val="001D33C6"/>
    <w:rsid w:val="001D4CE7"/>
    <w:rsid w:val="001E743F"/>
    <w:rsid w:val="00225FA2"/>
    <w:rsid w:val="00265AF0"/>
    <w:rsid w:val="00275F55"/>
    <w:rsid w:val="00277470"/>
    <w:rsid w:val="002A2EA2"/>
    <w:rsid w:val="002C06D4"/>
    <w:rsid w:val="002F0B57"/>
    <w:rsid w:val="003029F8"/>
    <w:rsid w:val="00350BD6"/>
    <w:rsid w:val="003A0CA4"/>
    <w:rsid w:val="003A49E9"/>
    <w:rsid w:val="00441083"/>
    <w:rsid w:val="00444619"/>
    <w:rsid w:val="004B1B59"/>
    <w:rsid w:val="004C2C87"/>
    <w:rsid w:val="004E3A36"/>
    <w:rsid w:val="00560EB8"/>
    <w:rsid w:val="00566EEF"/>
    <w:rsid w:val="00573740"/>
    <w:rsid w:val="00584734"/>
    <w:rsid w:val="005B3CAD"/>
    <w:rsid w:val="005C278F"/>
    <w:rsid w:val="005D58D0"/>
    <w:rsid w:val="005E6226"/>
    <w:rsid w:val="00605093"/>
    <w:rsid w:val="006E5419"/>
    <w:rsid w:val="007034FA"/>
    <w:rsid w:val="00707EDF"/>
    <w:rsid w:val="00731386"/>
    <w:rsid w:val="007316DD"/>
    <w:rsid w:val="0073230C"/>
    <w:rsid w:val="007460C7"/>
    <w:rsid w:val="00754BF8"/>
    <w:rsid w:val="0075750B"/>
    <w:rsid w:val="00777120"/>
    <w:rsid w:val="007A1FD0"/>
    <w:rsid w:val="007B613B"/>
    <w:rsid w:val="007D039D"/>
    <w:rsid w:val="00806CC3"/>
    <w:rsid w:val="00837302"/>
    <w:rsid w:val="00861252"/>
    <w:rsid w:val="008630A1"/>
    <w:rsid w:val="008B2FE5"/>
    <w:rsid w:val="008E547D"/>
    <w:rsid w:val="008E6988"/>
    <w:rsid w:val="008F787E"/>
    <w:rsid w:val="009049F1"/>
    <w:rsid w:val="0091161A"/>
    <w:rsid w:val="00972E99"/>
    <w:rsid w:val="009A5180"/>
    <w:rsid w:val="009C191A"/>
    <w:rsid w:val="009E67CD"/>
    <w:rsid w:val="009F6617"/>
    <w:rsid w:val="00A03171"/>
    <w:rsid w:val="00A346ED"/>
    <w:rsid w:val="00A56798"/>
    <w:rsid w:val="00A672BF"/>
    <w:rsid w:val="00AC013C"/>
    <w:rsid w:val="00AE21D0"/>
    <w:rsid w:val="00AE63D8"/>
    <w:rsid w:val="00AF30EC"/>
    <w:rsid w:val="00B47B08"/>
    <w:rsid w:val="00B811F2"/>
    <w:rsid w:val="00B86B72"/>
    <w:rsid w:val="00BC3C7D"/>
    <w:rsid w:val="00C16E3F"/>
    <w:rsid w:val="00C34C3E"/>
    <w:rsid w:val="00C6443E"/>
    <w:rsid w:val="00C9547D"/>
    <w:rsid w:val="00CA2E0C"/>
    <w:rsid w:val="00CC2B33"/>
    <w:rsid w:val="00CE5996"/>
    <w:rsid w:val="00CE7A69"/>
    <w:rsid w:val="00D15AB9"/>
    <w:rsid w:val="00D52E66"/>
    <w:rsid w:val="00D563B3"/>
    <w:rsid w:val="00D7654A"/>
    <w:rsid w:val="00DB4E64"/>
    <w:rsid w:val="00DD3433"/>
    <w:rsid w:val="00DE15FC"/>
    <w:rsid w:val="00E04394"/>
    <w:rsid w:val="00E12EA3"/>
    <w:rsid w:val="00E348C6"/>
    <w:rsid w:val="00E54871"/>
    <w:rsid w:val="00E6042D"/>
    <w:rsid w:val="00E60D9C"/>
    <w:rsid w:val="00EB2067"/>
    <w:rsid w:val="00F031D3"/>
    <w:rsid w:val="00F218B0"/>
    <w:rsid w:val="00F37A42"/>
    <w:rsid w:val="00F557F5"/>
    <w:rsid w:val="00F84C2E"/>
    <w:rsid w:val="00FA0889"/>
    <w:rsid w:val="00FB7341"/>
    <w:rsid w:val="00FC0D87"/>
    <w:rsid w:val="00FC5578"/>
    <w:rsid w:val="00FD22FE"/>
    <w:rsid w:val="00FE431D"/>
    <w:rsid w:val="00FF3C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994E41"/>
  <w15:docId w15:val="{303117B3-6860-4ED8-9D26-383C10D11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uiPriority w:val="9"/>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uiPriority w:val="9"/>
    <w:qFormat/>
    <w:pPr>
      <w:widowControl w:val="0"/>
      <w:numPr>
        <w:ilvl w:val="1"/>
        <w:numId w:val="2"/>
      </w:numPr>
      <w:spacing w:after="240"/>
      <w:outlineLvl w:val="1"/>
    </w:pPr>
  </w:style>
  <w:style w:type="paragraph" w:styleId="Heading3">
    <w:name w:val="heading 3"/>
    <w:aliases w:val="Char,Heading 3 Char,Char Char,Heading 3 Char1,Heading 3 Char Char,Char Char Char,Char Char1,Heading 3 Char1 Char,Heading 3 Char Char Char,Char Char Char Char,Char Char1 Char,Heading 3 Char2,Char Char2,Char Char Char1,Heading 3 Char Char1"/>
    <w:basedOn w:val="Normal"/>
    <w:next w:val="Normal"/>
    <w:uiPriority w:val="9"/>
    <w:qFormat/>
    <w:pPr>
      <w:widowControl w:val="0"/>
      <w:numPr>
        <w:ilvl w:val="2"/>
        <w:numId w:val="3"/>
      </w:numPr>
      <w:spacing w:after="240"/>
      <w:outlineLvl w:val="2"/>
    </w:pPr>
  </w:style>
  <w:style w:type="paragraph" w:styleId="Heading4">
    <w:name w:val="heading 4"/>
    <w:aliases w:val="Heading 11,para 4,Título 41,heading 4,Heading 41,标题 41"/>
    <w:basedOn w:val="Normal"/>
    <w:next w:val="Heading9"/>
    <w:uiPriority w:val="9"/>
    <w:qFormat/>
    <w:pPr>
      <w:keepNext/>
      <w:numPr>
        <w:ilvl w:val="3"/>
        <w:numId w:val="4"/>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uiPriority w:val="9"/>
    <w:qFormat/>
    <w:pPr>
      <w:numPr>
        <w:ilvl w:val="5"/>
        <w:numId w:val="1"/>
      </w:numPr>
      <w:spacing w:before="240" w:after="60"/>
      <w:outlineLvl w:val="5"/>
    </w:pPr>
    <w:rPr>
      <w:rFonts w:ascii="Arial" w:hAnsi="Arial"/>
      <w:i/>
    </w:rPr>
  </w:style>
  <w:style w:type="paragraph" w:styleId="Heading7">
    <w:name w:val="heading 7"/>
    <w:basedOn w:val="Normal"/>
    <w:next w:val="Normal"/>
    <w:uiPriority w:val="9"/>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uiPriority w:val="9"/>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paragraph" w:customStyle="1" w:styleId="StyleHeading1Para1Heading1CharHeading1Char3CharHeadin">
    <w:name w:val="Style Heading 1Para (1)Heading 1 CharHeading 1 Char3 CharHeadin..."/>
    <w:basedOn w:val="Heading1"/>
    <w:pPr>
      <w:numPr>
        <w:numId w:val="0"/>
      </w:numPr>
      <w:tabs>
        <w:tab w:val="left" w:pos="720"/>
      </w:tabs>
    </w:pPr>
    <w:rPr>
      <w:szCs w:val="20"/>
    </w:rPr>
  </w:style>
  <w:style w:type="character" w:customStyle="1" w:styleId="FooterChar">
    <w:name w:val="Footer Char"/>
    <w:basedOn w:val="DefaultParagraphFont"/>
    <w:link w:val="Footer"/>
    <w:uiPriority w:val="99"/>
    <w:rPr>
      <w:sz w:val="22"/>
      <w:szCs w:val="22"/>
      <w:lang w:val="en-GB"/>
    </w:rPr>
  </w:style>
  <w:style w:type="paragraph" w:styleId="FootnoteText">
    <w:name w:val="footnote text"/>
    <w:aliases w:val="Fußnotentextf, Char1, Char1 Char Char,Char1,Char1 Char Char,Geneva 9,Font: Geneva 9,Boston 10,f,-E Fußnotentext,Fußnotentext Ursprung,-E Fußnotentext1,-E Fußnotentext2,-E Fußnotentext3,Fußnotentext Char1,Fußnotentext Char Char,FOOTNOTES,fn"/>
    <w:basedOn w:val="Normal"/>
    <w:link w:val="FootnoteTextChar"/>
    <w:unhideWhenUsed/>
    <w:qFormat/>
    <w:rsid w:val="002C06D4"/>
    <w:rPr>
      <w:sz w:val="20"/>
      <w:szCs w:val="20"/>
    </w:rPr>
  </w:style>
  <w:style w:type="character" w:customStyle="1" w:styleId="FootnoteTextChar">
    <w:name w:val="Footnote Text Char"/>
    <w:aliases w:val="Fußnotentextf Char, Char1 Char, Char1 Char Char Char,Char1 Char,Char1 Char Char Char,Geneva 9 Char,Font: Geneva 9 Char,Boston 10 Char,f Char,-E Fußnotentext Char,Fußnotentext Ursprung Char,-E Fußnotentext1 Char,-E Fußnotentext2 Char"/>
    <w:basedOn w:val="DefaultParagraphFont"/>
    <w:link w:val="FootnoteText"/>
    <w:rsid w:val="002C06D4"/>
    <w:rPr>
      <w:lang w:val="en-GB"/>
    </w:rPr>
  </w:style>
  <w:style w:type="character" w:styleId="FootnoteReference">
    <w:name w:val="footnote reference"/>
    <w:aliases w:val="Footnote text,16 Point,Superscript 6 Point,Footnote Text1,Footnote Text2,-E Fußnotenzeichen,number,Footnote reference number,Footnote symbol,note TESI,SUPERS,stylish,ftref,Footnote Reference Superscript,-E Fuﬂnotenzeichen,fr"/>
    <w:basedOn w:val="DefaultParagraphFont"/>
    <w:link w:val="CharCharCharCharCarChar"/>
    <w:unhideWhenUsed/>
    <w:qFormat/>
    <w:rsid w:val="002C06D4"/>
    <w:rPr>
      <w:vertAlign w:val="superscript"/>
    </w:rPr>
  </w:style>
  <w:style w:type="paragraph" w:styleId="HTMLPreformatted">
    <w:name w:val="HTML Preformatted"/>
    <w:basedOn w:val="Normal"/>
    <w:link w:val="HTMLPreformattedChar"/>
    <w:uiPriority w:val="99"/>
    <w:semiHidden/>
    <w:unhideWhenUsed/>
    <w:rsid w:val="0009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fr-CA" w:eastAsia="fr-CA"/>
    </w:rPr>
  </w:style>
  <w:style w:type="character" w:customStyle="1" w:styleId="HTMLPreformattedChar">
    <w:name w:val="HTML Preformatted Char"/>
    <w:basedOn w:val="DefaultParagraphFont"/>
    <w:link w:val="HTMLPreformatted"/>
    <w:uiPriority w:val="99"/>
    <w:semiHidden/>
    <w:rsid w:val="00092E5B"/>
    <w:rPr>
      <w:rFonts w:ascii="Courier New" w:hAnsi="Courier New" w:cs="Courier New"/>
      <w:lang w:val="fr-CA" w:eastAsia="fr-CA"/>
    </w:rPr>
  </w:style>
  <w:style w:type="character" w:customStyle="1" w:styleId="y2iqfc">
    <w:name w:val="y2iqfc"/>
    <w:basedOn w:val="DefaultParagraphFont"/>
    <w:rsid w:val="00092E5B"/>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uiPriority w:val="9"/>
    <w:rsid w:val="00731386"/>
    <w:rPr>
      <w:sz w:val="22"/>
      <w:szCs w:val="22"/>
      <w:lang w:val="en-GB"/>
    </w:rPr>
  </w:style>
  <w:style w:type="paragraph" w:styleId="ListParagraph">
    <w:name w:val="List Paragraph"/>
    <w:aliases w:val="F5 List Paragraph,List Paragraph1,Dot pt,No Spacing1,List Paragraph Char Char Char,Indicator Text,Numbered Para 1,List Paragraph11,Colorful List - Accent 11,Bullet 1,Bullet Points,MAIN CONTENT,Paragraph"/>
    <w:basedOn w:val="Normal"/>
    <w:link w:val="ListParagraphChar"/>
    <w:uiPriority w:val="34"/>
    <w:qFormat/>
    <w:rsid w:val="00731386"/>
    <w:pPr>
      <w:tabs>
        <w:tab w:val="left" w:pos="850"/>
        <w:tab w:val="left" w:pos="1191"/>
        <w:tab w:val="left" w:pos="1531"/>
      </w:tabs>
      <w:ind w:left="720"/>
      <w:contextualSpacing/>
    </w:pPr>
    <w:rPr>
      <w:rFonts w:asciiTheme="minorHAnsi" w:eastAsiaTheme="minorEastAsia" w:hAnsiTheme="minorHAnsi" w:cstheme="minorBidi"/>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basedOn w:val="DefaultParagraphFont"/>
    <w:link w:val="ListParagraph"/>
    <w:uiPriority w:val="34"/>
    <w:locked/>
    <w:rsid w:val="00731386"/>
    <w:rPr>
      <w:rFonts w:asciiTheme="minorHAnsi" w:eastAsiaTheme="minorEastAsia" w:hAnsiTheme="minorHAnsi" w:cstheme="minorBidi"/>
      <w:sz w:val="22"/>
      <w:szCs w:val="22"/>
      <w:lang w:val="en-GB"/>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rsid w:val="00731386"/>
    <w:pPr>
      <w:spacing w:after="160" w:line="240" w:lineRule="exact"/>
    </w:pPr>
    <w:rPr>
      <w:sz w:val="20"/>
      <w:szCs w:val="20"/>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179690">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GUYEN\AppData\Local\Temp\F88-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umentType xmlns="310e179b-1379-4e79-9b74-d5a32b1812d3">Pre-session</DocumentType>
    <Document_x0020_Number xmlns="8662b4aa-cf42-4f00-a3f0-9d3b4acad230">UNEP/OzL.Pro/ExCom/88/2/Add.1</Document_x0020_Numb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F56DB39A5B9F46AA87ED0A960035E8" ma:contentTypeVersion="2" ma:contentTypeDescription="Create a new document." ma:contentTypeScope="" ma:versionID="9a9384c066cc674c8397f85f8985ec5f">
  <xsd:schema xmlns:xsd="http://www.w3.org/2001/XMLSchema" xmlns:p="http://schemas.microsoft.com/office/2006/metadata/properties" xmlns:ns2="8662b4aa-cf42-4f00-a3f0-9d3b4acad230" xmlns:ns3="310e179b-1379-4e79-9b74-d5a32b1812d3" targetNamespace="http://schemas.microsoft.com/office/2006/metadata/properties" ma:root="true" ma:fieldsID="e0755585b90475625861c97e4ef1469a" ns2:_="" ns3:_="">
    <xsd:import namespace="8662b4aa-cf42-4f00-a3f0-9d3b4acad230"/>
    <xsd:import namespace="310e179b-1379-4e79-9b74-d5a32b1812d3"/>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88/"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C63CF-9E2A-48CE-8992-FBDD3E0EE8CE}"/>
</file>

<file path=customXml/itemProps2.xml><?xml version="1.0" encoding="utf-8"?>
<ds:datastoreItem xmlns:ds="http://schemas.openxmlformats.org/officeDocument/2006/customXml" ds:itemID="{FB1960D9-951C-4BF9-9924-0326C433FE04}"/>
</file>

<file path=customXml/itemProps3.xml><?xml version="1.0" encoding="utf-8"?>
<ds:datastoreItem xmlns:ds="http://schemas.openxmlformats.org/officeDocument/2006/customXml" ds:itemID="{D5475F5E-5BFD-4F26-8BCF-EA3F441612D1}"/>
</file>

<file path=customXml/itemProps4.xml><?xml version="1.0" encoding="utf-8"?>
<ds:datastoreItem xmlns:ds="http://schemas.openxmlformats.org/officeDocument/2006/customXml" ds:itemID="{00BEDCAE-7300-47D9-8046-86495684BFBD}"/>
</file>

<file path=docProps/app.xml><?xml version="1.0" encoding="utf-8"?>
<Properties xmlns="http://schemas.openxmlformats.org/officeDocument/2006/extended-properties" xmlns:vt="http://schemas.openxmlformats.org/officeDocument/2006/docPropsVTypes">
  <Template>F88-Template</Template>
  <TotalTime>3</TotalTime>
  <Pages>5</Pages>
  <Words>2408</Words>
  <Characters>13414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Activités du Secrétariat - Addendum 1</vt:lpstr>
    </vt:vector>
  </TitlesOfParts>
  <Company>UNMFS</Company>
  <LinksUpToDate>false</LinksUpToDate>
  <CharactersWithSpaces>15791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Activités du Secrétariat: Addendum 1</dc:title>
  <dc:creator>NGUYEN</dc:creator>
  <cp:lastModifiedBy>HBE</cp:lastModifiedBy>
  <cp:revision>5</cp:revision>
  <cp:lastPrinted>2001-05-26T16:40:00Z</cp:lastPrinted>
  <dcterms:created xsi:type="dcterms:W3CDTF">2021-11-09T13:21:00Z</dcterms:created>
  <dcterms:modified xsi:type="dcterms:W3CDTF">2021-11-20T04:43:00Z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UNEP/OzL.Pro/ExCom/88/2/Add.1</vt:lpwstr>
  </property>
  <property fmtid="{D5CDD505-2E9C-101B-9397-08002B2CF9AE}" pid="3" name="Revision date">
    <vt:lpwstr>11/11/2021</vt:lpwstr>
  </property>
  <property fmtid="{D5CDD505-2E9C-101B-9397-08002B2CF9AE}" pid="4" name="ContentTypeId">
    <vt:lpwstr>0x01010009F56DB39A5B9F46AA87ED0A960035E8</vt:lpwstr>
  </property>
</Properties>
</file>